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DAF" w:rsidRPr="00155C04" w:rsidRDefault="00155C04" w:rsidP="00155C04">
      <w:pPr>
        <w:jc w:val="center"/>
        <w:rPr>
          <w:rFonts w:cs="Arial"/>
          <w:b/>
        </w:rPr>
      </w:pPr>
      <w:r>
        <w:rPr>
          <w:rFonts w:cs="Arial"/>
          <w:b/>
        </w:rPr>
        <w:t>DŮVODOVÁ ZPRÁVA</w:t>
      </w:r>
    </w:p>
    <w:p w:rsidR="00FD0108" w:rsidRDefault="00FD0108" w:rsidP="001D30BA">
      <w:pPr>
        <w:rPr>
          <w:rFonts w:cs="Arial"/>
        </w:rPr>
      </w:pPr>
    </w:p>
    <w:p w:rsidR="00155C04" w:rsidRPr="00155C04" w:rsidRDefault="00155C04" w:rsidP="001D30BA">
      <w:pPr>
        <w:rPr>
          <w:rFonts w:cs="Arial"/>
          <w:b/>
        </w:rPr>
      </w:pPr>
      <w:r>
        <w:rPr>
          <w:rFonts w:cs="Arial"/>
          <w:b/>
        </w:rPr>
        <w:t>OBECNÁ ČÁST</w:t>
      </w:r>
    </w:p>
    <w:p w:rsidR="00FD0108" w:rsidRDefault="00FD0108" w:rsidP="001D30BA">
      <w:pPr>
        <w:rPr>
          <w:rFonts w:cs="Arial"/>
        </w:rPr>
      </w:pPr>
    </w:p>
    <w:p w:rsidR="00155C04" w:rsidRPr="003D4FF4" w:rsidRDefault="00155C04" w:rsidP="002D66F0">
      <w:pPr>
        <w:numPr>
          <w:ilvl w:val="0"/>
          <w:numId w:val="125"/>
        </w:numPr>
        <w:spacing w:line="240" w:lineRule="auto"/>
        <w:ind w:left="426" w:hanging="426"/>
        <w:rPr>
          <w:b/>
        </w:rPr>
      </w:pPr>
      <w:r w:rsidRPr="003D4FF4">
        <w:rPr>
          <w:b/>
        </w:rPr>
        <w:t>Závěrečná zpráva z hodnocení dopadů regulace</w:t>
      </w:r>
    </w:p>
    <w:p w:rsidR="00155C04" w:rsidRPr="000B7CBF" w:rsidRDefault="00155C04" w:rsidP="001D30BA">
      <w:pPr>
        <w:rPr>
          <w:rFonts w:cs="Arial"/>
        </w:rPr>
      </w:pPr>
    </w:p>
    <w:p w:rsidR="00CA37E5" w:rsidRPr="00155C04" w:rsidRDefault="00CA37E5" w:rsidP="00954175">
      <w:pPr>
        <w:pStyle w:val="Nzev"/>
        <w:rPr>
          <w:rFonts w:cs="Arial"/>
          <w:sz w:val="28"/>
          <w:szCs w:val="28"/>
        </w:rPr>
      </w:pPr>
      <w:bookmarkStart w:id="0" w:name="_Toc441759827"/>
      <w:bookmarkStart w:id="1" w:name="_Toc441760176"/>
      <w:r w:rsidRPr="00155C04">
        <w:rPr>
          <w:rFonts w:cs="Arial"/>
          <w:sz w:val="28"/>
          <w:szCs w:val="28"/>
        </w:rPr>
        <w:t>SHRNUTÍ ZÁVĚREČNÉ ZPRÁVY RIA</w:t>
      </w:r>
      <w:bookmarkEnd w:id="0"/>
      <w:bookmarkEnd w:id="1"/>
    </w:p>
    <w:p w:rsidR="00CA37E5" w:rsidRPr="000B7CBF" w:rsidRDefault="00CA37E5" w:rsidP="00CA37E5">
      <w:pPr>
        <w:tabs>
          <w:tab w:val="left" w:pos="6660"/>
        </w:tabs>
        <w:spacing w:before="120" w:after="120" w:line="240" w:lineRule="auto"/>
        <w:jc w:val="center"/>
        <w:rPr>
          <w:rFonts w:eastAsia="MS Mincho" w:cs="Arial"/>
          <w:bCs/>
          <w:noProof w:val="0"/>
          <w:lang w:bidi="ar-SA"/>
        </w:rPr>
      </w:pPr>
      <w:r w:rsidRPr="000B7CBF">
        <w:rPr>
          <w:rFonts w:eastAsia="MS Mincho" w:cs="Arial"/>
          <w:bCs/>
          <w:noProof w:val="0"/>
          <w:lang w:bidi="ar-SA"/>
        </w:rPr>
        <w:t>1. Základní identifikační údaje</w:t>
      </w:r>
    </w:p>
    <w:tbl>
      <w:tblPr>
        <w:tblW w:w="9648" w:type="dxa"/>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firstRow="1" w:lastRow="0" w:firstColumn="1" w:lastColumn="0" w:noHBand="0" w:noVBand="0"/>
      </w:tblPr>
      <w:tblGrid>
        <w:gridCol w:w="4644"/>
        <w:gridCol w:w="5004"/>
      </w:tblGrid>
      <w:tr w:rsidR="00CA37E5" w:rsidRPr="000B7CBF" w:rsidTr="006731BC">
        <w:trPr>
          <w:trHeight w:val="187"/>
        </w:trPr>
        <w:tc>
          <w:tcPr>
            <w:tcW w:w="9648" w:type="dxa"/>
            <w:gridSpan w:val="2"/>
            <w:tcBorders>
              <w:top w:val="single" w:sz="12" w:space="0" w:color="000000"/>
              <w:left w:val="single" w:sz="12" w:space="0" w:color="000000"/>
              <w:bottom w:val="single" w:sz="4" w:space="0" w:color="auto"/>
              <w:right w:val="single" w:sz="12" w:space="0" w:color="000000"/>
            </w:tcBorders>
            <w:shd w:val="clear" w:color="auto" w:fill="auto"/>
            <w:vAlign w:val="bottom"/>
          </w:tcPr>
          <w:p w:rsidR="00CA37E5" w:rsidRPr="000B7CBF" w:rsidRDefault="00CA37E5" w:rsidP="00C13894">
            <w:pPr>
              <w:tabs>
                <w:tab w:val="left" w:pos="6660"/>
              </w:tabs>
              <w:spacing w:before="120" w:after="120" w:line="240" w:lineRule="auto"/>
              <w:jc w:val="center"/>
              <w:rPr>
                <w:rFonts w:eastAsia="MS Mincho" w:cs="Arial"/>
                <w:bCs/>
                <w:i/>
                <w:iCs/>
                <w:noProof w:val="0"/>
                <w:lang w:bidi="ar-SA"/>
              </w:rPr>
            </w:pPr>
            <w:r w:rsidRPr="000B7CBF">
              <w:rPr>
                <w:rFonts w:eastAsia="MS Mincho" w:cs="Arial"/>
                <w:bCs/>
                <w:noProof w:val="0"/>
                <w:lang w:bidi="ar-SA"/>
              </w:rPr>
              <w:t xml:space="preserve">Název návrhu zákona: </w:t>
            </w:r>
            <w:r w:rsidR="00C13894" w:rsidRPr="000B7CBF">
              <w:rPr>
                <w:rFonts w:eastAsia="MS Mincho" w:cs="Arial"/>
                <w:bCs/>
                <w:noProof w:val="0"/>
                <w:lang w:bidi="ar-SA"/>
              </w:rPr>
              <w:t>Návrh zákona o vybraných výrobcích s ukončenou životností</w:t>
            </w:r>
          </w:p>
        </w:tc>
      </w:tr>
      <w:tr w:rsidR="00CA37E5" w:rsidRPr="000B7CBF" w:rsidTr="006731BC">
        <w:trPr>
          <w:trHeight w:val="979"/>
        </w:trPr>
        <w:tc>
          <w:tcPr>
            <w:tcW w:w="4644" w:type="dxa"/>
            <w:tcBorders>
              <w:top w:val="single" w:sz="4" w:space="0" w:color="auto"/>
              <w:left w:val="single" w:sz="12" w:space="0" w:color="000000"/>
              <w:bottom w:val="single" w:sz="4" w:space="0" w:color="auto"/>
              <w:right w:val="single" w:sz="4" w:space="0" w:color="auto"/>
            </w:tcBorders>
            <w:shd w:val="clear" w:color="auto" w:fill="auto"/>
            <w:vAlign w:val="center"/>
          </w:tcPr>
          <w:p w:rsidR="00CA37E5" w:rsidRPr="000B7CBF" w:rsidRDefault="00CA37E5" w:rsidP="00CA37E5">
            <w:pPr>
              <w:tabs>
                <w:tab w:val="left" w:pos="6660"/>
              </w:tabs>
              <w:spacing w:before="120" w:after="120" w:line="240" w:lineRule="auto"/>
              <w:jc w:val="center"/>
              <w:rPr>
                <w:rFonts w:eastAsia="MS Mincho" w:cs="Arial"/>
                <w:bCs/>
                <w:noProof w:val="0"/>
                <w:lang w:bidi="ar-SA"/>
              </w:rPr>
            </w:pPr>
            <w:r w:rsidRPr="000B7CBF">
              <w:rPr>
                <w:rFonts w:eastAsia="MS Mincho" w:cs="Arial"/>
                <w:bCs/>
                <w:noProof w:val="0"/>
                <w:lang w:bidi="ar-SA"/>
              </w:rPr>
              <w:t xml:space="preserve">Zpracovatel / zástupce předkladatele: </w:t>
            </w:r>
          </w:p>
          <w:p w:rsidR="00CA37E5" w:rsidRPr="000B7CBF" w:rsidRDefault="00C13894" w:rsidP="00CA37E5">
            <w:pPr>
              <w:tabs>
                <w:tab w:val="left" w:pos="6660"/>
              </w:tabs>
              <w:spacing w:before="120" w:after="120" w:line="240" w:lineRule="auto"/>
              <w:jc w:val="center"/>
              <w:rPr>
                <w:rFonts w:eastAsia="MS Mincho" w:cs="Arial"/>
                <w:bCs/>
                <w:noProof w:val="0"/>
                <w:u w:val="single"/>
                <w:lang w:bidi="ar-SA"/>
              </w:rPr>
            </w:pPr>
            <w:r w:rsidRPr="000B7CBF">
              <w:rPr>
                <w:rFonts w:eastAsia="MS Mincho" w:cs="Arial"/>
                <w:bCs/>
                <w:noProof w:val="0"/>
                <w:lang w:bidi="ar-SA"/>
              </w:rPr>
              <w:t>Ministerstvo životního prostředí, Ministerstvo průmyslu a obchodu</w:t>
            </w:r>
            <w:r w:rsidR="00CA37E5" w:rsidRPr="000B7CBF">
              <w:rPr>
                <w:rFonts w:eastAsia="MS Mincho" w:cs="Arial"/>
                <w:bCs/>
                <w:noProof w:val="0"/>
                <w:u w:val="single"/>
                <w:lang w:bidi="ar-SA"/>
              </w:rPr>
              <w:t xml:space="preserve"> </w:t>
            </w:r>
          </w:p>
        </w:tc>
        <w:tc>
          <w:tcPr>
            <w:tcW w:w="5004" w:type="dxa"/>
            <w:tcBorders>
              <w:top w:val="single" w:sz="4" w:space="0" w:color="auto"/>
              <w:left w:val="single" w:sz="4" w:space="0" w:color="auto"/>
              <w:bottom w:val="single" w:sz="4" w:space="0" w:color="auto"/>
              <w:right w:val="single" w:sz="12" w:space="0" w:color="000000"/>
            </w:tcBorders>
            <w:shd w:val="clear" w:color="auto" w:fill="auto"/>
            <w:vAlign w:val="center"/>
          </w:tcPr>
          <w:p w:rsidR="00CA37E5" w:rsidRPr="000B7CBF" w:rsidRDefault="00CA37E5" w:rsidP="00CA37E5">
            <w:pPr>
              <w:tabs>
                <w:tab w:val="left" w:pos="6660"/>
              </w:tabs>
              <w:spacing w:before="120" w:after="120" w:line="240" w:lineRule="auto"/>
              <w:jc w:val="center"/>
              <w:rPr>
                <w:rFonts w:eastAsia="MS Mincho" w:cs="Arial"/>
                <w:bCs/>
                <w:noProof w:val="0"/>
                <w:lang w:bidi="ar-SA"/>
              </w:rPr>
            </w:pPr>
            <w:r w:rsidRPr="000B7CBF">
              <w:rPr>
                <w:rFonts w:eastAsia="MS Mincho" w:cs="Arial"/>
                <w:bCs/>
                <w:noProof w:val="0"/>
                <w:lang w:bidi="ar-SA"/>
              </w:rPr>
              <w:t>Předpokládaný termín nabytí účinnosti, v případě dělené účinnosti rozveďte</w:t>
            </w:r>
          </w:p>
          <w:p w:rsidR="00CA37E5" w:rsidRPr="000B7CBF" w:rsidRDefault="00C13894" w:rsidP="00C16927">
            <w:pPr>
              <w:tabs>
                <w:tab w:val="left" w:pos="6660"/>
              </w:tabs>
              <w:spacing w:before="120" w:after="120" w:line="240" w:lineRule="auto"/>
              <w:jc w:val="center"/>
              <w:rPr>
                <w:rFonts w:eastAsia="MS Mincho" w:cs="Arial"/>
                <w:bCs/>
                <w:noProof w:val="0"/>
                <w:lang w:bidi="ar-SA"/>
              </w:rPr>
            </w:pPr>
            <w:r w:rsidRPr="000B7CBF">
              <w:rPr>
                <w:rFonts w:eastAsia="MS Mincho" w:cs="Arial"/>
                <w:bCs/>
                <w:noProof w:val="0"/>
                <w:lang w:bidi="ar-SA"/>
              </w:rPr>
              <w:t>1</w:t>
            </w:r>
            <w:r w:rsidR="00CA37E5" w:rsidRPr="000B7CBF">
              <w:rPr>
                <w:rFonts w:eastAsia="MS Mincho" w:cs="Arial"/>
                <w:i/>
                <w:iCs/>
                <w:noProof w:val="0"/>
                <w:lang w:bidi="ar-SA"/>
              </w:rPr>
              <w:t>.</w:t>
            </w:r>
            <w:r w:rsidR="004F77DD" w:rsidRPr="000B7CBF">
              <w:rPr>
                <w:rFonts w:eastAsia="MS Mincho" w:cs="Arial"/>
                <w:bCs/>
                <w:noProof w:val="0"/>
                <w:lang w:bidi="ar-SA"/>
              </w:rPr>
              <w:t xml:space="preserve"> </w:t>
            </w:r>
            <w:r w:rsidR="00C16927">
              <w:rPr>
                <w:rFonts w:eastAsia="MS Mincho" w:cs="Arial"/>
                <w:bCs/>
                <w:noProof w:val="0"/>
                <w:lang w:bidi="ar-SA"/>
              </w:rPr>
              <w:t>1</w:t>
            </w:r>
            <w:r w:rsidR="004F77DD" w:rsidRPr="000B7CBF">
              <w:rPr>
                <w:rFonts w:eastAsia="MS Mincho" w:cs="Arial"/>
                <w:bCs/>
                <w:noProof w:val="0"/>
                <w:lang w:bidi="ar-SA"/>
              </w:rPr>
              <w:t>. 201</w:t>
            </w:r>
            <w:r w:rsidR="00FD6C9B">
              <w:rPr>
                <w:rFonts w:eastAsia="MS Mincho" w:cs="Arial"/>
                <w:bCs/>
                <w:noProof w:val="0"/>
                <w:lang w:bidi="ar-SA"/>
              </w:rPr>
              <w:t>8</w:t>
            </w:r>
          </w:p>
        </w:tc>
      </w:tr>
      <w:tr w:rsidR="00CA37E5" w:rsidRPr="000B7CBF" w:rsidTr="006731BC">
        <w:tblPrEx>
          <w:tblBorders>
            <w:top w:val="single" w:sz="4" w:space="0" w:color="auto"/>
            <w:left w:val="single" w:sz="4" w:space="0" w:color="auto"/>
            <w:bottom w:val="single" w:sz="4" w:space="0" w:color="auto"/>
            <w:right w:val="single" w:sz="4" w:space="0" w:color="auto"/>
          </w:tblBorders>
        </w:tblPrEx>
        <w:trPr>
          <w:trHeight w:val="1080"/>
        </w:trPr>
        <w:tc>
          <w:tcPr>
            <w:tcW w:w="9648" w:type="dxa"/>
            <w:gridSpan w:val="2"/>
            <w:tcBorders>
              <w:top w:val="single" w:sz="12" w:space="0" w:color="000000"/>
              <w:left w:val="single" w:sz="12" w:space="0" w:color="000000"/>
              <w:right w:val="single" w:sz="12" w:space="0" w:color="000000"/>
            </w:tcBorders>
            <w:shd w:val="clear" w:color="auto" w:fill="auto"/>
            <w:vAlign w:val="center"/>
          </w:tcPr>
          <w:p w:rsidR="00CA37E5" w:rsidRPr="000B7CBF" w:rsidRDefault="00CA37E5" w:rsidP="00CA37E5">
            <w:pPr>
              <w:tabs>
                <w:tab w:val="left" w:pos="6660"/>
              </w:tabs>
              <w:spacing w:before="100" w:beforeAutospacing="1" w:line="240" w:lineRule="auto"/>
              <w:jc w:val="left"/>
              <w:rPr>
                <w:rFonts w:eastAsia="MS Mincho" w:cs="Arial"/>
                <w:bCs/>
                <w:noProof w:val="0"/>
                <w:lang w:bidi="ar-SA"/>
              </w:rPr>
            </w:pPr>
            <w:r w:rsidRPr="000B7CBF">
              <w:rPr>
                <w:rFonts w:eastAsia="MS Mincho" w:cs="Arial"/>
                <w:bCs/>
                <w:noProof w:val="0"/>
                <w:lang w:bidi="ar-SA"/>
              </w:rPr>
              <w:t xml:space="preserve">Implementace práva EU: </w:t>
            </w:r>
            <w:r w:rsidR="00E37F8A">
              <w:rPr>
                <w:rFonts w:eastAsia="MS Mincho" w:cs="Arial"/>
                <w:bCs/>
                <w:i/>
                <w:noProof w:val="0"/>
                <w:lang w:bidi="ar-SA"/>
              </w:rPr>
              <w:t>Ano</w:t>
            </w:r>
            <w:r w:rsidR="00E37F8A" w:rsidRPr="000B7CBF">
              <w:rPr>
                <w:rFonts w:eastAsia="MS Mincho" w:cs="Arial"/>
                <w:noProof w:val="0"/>
                <w:lang w:bidi="ar-SA"/>
              </w:rPr>
              <w:t xml:space="preserve">; </w:t>
            </w:r>
            <w:r w:rsidRPr="000B7CBF">
              <w:rPr>
                <w:rFonts w:eastAsia="MS Mincho" w:cs="Arial"/>
                <w:noProof w:val="0"/>
                <w:lang w:bidi="ar-SA"/>
              </w:rPr>
              <w:t>(p</w:t>
            </w:r>
            <w:r w:rsidRPr="000B7CBF">
              <w:rPr>
                <w:rFonts w:eastAsia="MS Mincho" w:cs="Arial"/>
                <w:bCs/>
                <w:noProof w:val="0"/>
                <w:lang w:bidi="ar-SA"/>
              </w:rPr>
              <w:t>okud zvolíte Ano):</w:t>
            </w:r>
          </w:p>
          <w:p w:rsidR="00CA37E5" w:rsidRPr="000B7CBF" w:rsidRDefault="00CA37E5" w:rsidP="00CA37E5">
            <w:pPr>
              <w:tabs>
                <w:tab w:val="left" w:pos="6660"/>
              </w:tabs>
              <w:spacing w:before="120" w:after="120" w:line="240" w:lineRule="auto"/>
              <w:jc w:val="left"/>
              <w:rPr>
                <w:rFonts w:eastAsia="MS Mincho" w:cs="Arial"/>
                <w:i/>
                <w:iCs/>
                <w:noProof w:val="0"/>
                <w:lang w:bidi="ar-SA"/>
              </w:rPr>
            </w:pPr>
            <w:r w:rsidRPr="000B7CBF">
              <w:rPr>
                <w:rFonts w:eastAsia="MS Mincho" w:cs="Arial"/>
                <w:bCs/>
                <w:noProof w:val="0"/>
                <w:lang w:bidi="ar-SA"/>
              </w:rPr>
              <w:t xml:space="preserve">- uveďte termín stanovený pro implementaci: </w:t>
            </w:r>
            <w:r w:rsidR="00381FB7" w:rsidRPr="000B7CBF">
              <w:rPr>
                <w:rFonts w:eastAsia="MS Mincho" w:cs="Arial"/>
                <w:bCs/>
                <w:noProof w:val="0"/>
                <w:lang w:bidi="ar-SA"/>
              </w:rPr>
              <w:fldChar w:fldCharType="begin">
                <w:ffData>
                  <w:name w:val=""/>
                  <w:enabled/>
                  <w:calcOnExit w:val="0"/>
                  <w:helpText w:type="text" w:val="Vyplňte měsíc číslovkou (např. březen: 03)"/>
                  <w:textInput/>
                </w:ffData>
              </w:fldChar>
            </w:r>
            <w:r w:rsidR="00E37F8A" w:rsidRPr="000B7CBF">
              <w:rPr>
                <w:rFonts w:eastAsia="MS Mincho" w:cs="Arial"/>
                <w:bCs/>
                <w:noProof w:val="0"/>
                <w:lang w:bidi="ar-SA"/>
              </w:rPr>
              <w:instrText xml:space="preserve"> FORMTEXT </w:instrText>
            </w:r>
            <w:r w:rsidR="00381FB7" w:rsidRPr="000B7CBF">
              <w:rPr>
                <w:rFonts w:eastAsia="MS Mincho" w:cs="Arial"/>
                <w:bCs/>
                <w:noProof w:val="0"/>
                <w:lang w:bidi="ar-SA"/>
              </w:rPr>
            </w:r>
            <w:r w:rsidR="00381FB7" w:rsidRPr="000B7CBF">
              <w:rPr>
                <w:rFonts w:eastAsia="MS Mincho" w:cs="Arial"/>
                <w:bCs/>
                <w:noProof w:val="0"/>
                <w:lang w:bidi="ar-SA"/>
              </w:rPr>
              <w:fldChar w:fldCharType="separate"/>
            </w:r>
            <w:r w:rsidR="00E37F8A" w:rsidRPr="000B7CBF">
              <w:rPr>
                <w:rFonts w:eastAsia="MS Mincho" w:cs="Arial"/>
                <w:bCs/>
                <w:lang w:bidi="ar-SA"/>
              </w:rPr>
              <w:t> </w:t>
            </w:r>
            <w:r w:rsidR="00E37F8A" w:rsidRPr="000B7CBF">
              <w:rPr>
                <w:rFonts w:eastAsia="MS Mincho" w:cs="Arial"/>
                <w:bCs/>
                <w:lang w:bidi="ar-SA"/>
              </w:rPr>
              <w:t> </w:t>
            </w:r>
            <w:r w:rsidR="00E37F8A" w:rsidRPr="000B7CBF">
              <w:rPr>
                <w:rFonts w:eastAsia="MS Mincho" w:cs="Arial"/>
                <w:bCs/>
                <w:lang w:bidi="ar-SA"/>
              </w:rPr>
              <w:t> </w:t>
            </w:r>
            <w:r w:rsidR="00E37F8A" w:rsidRPr="000B7CBF">
              <w:rPr>
                <w:rFonts w:eastAsia="MS Mincho" w:cs="Arial"/>
                <w:bCs/>
                <w:lang w:bidi="ar-SA"/>
              </w:rPr>
              <w:t> </w:t>
            </w:r>
            <w:r w:rsidR="00E37F8A" w:rsidRPr="000B7CBF">
              <w:rPr>
                <w:rFonts w:eastAsia="MS Mincho" w:cs="Arial"/>
                <w:bCs/>
                <w:lang w:bidi="ar-SA"/>
              </w:rPr>
              <w:t> </w:t>
            </w:r>
            <w:r w:rsidR="00381FB7" w:rsidRPr="000B7CBF">
              <w:rPr>
                <w:rFonts w:eastAsia="MS Mincho" w:cs="Arial"/>
                <w:bCs/>
                <w:noProof w:val="0"/>
                <w:lang w:bidi="ar-SA"/>
              </w:rPr>
              <w:fldChar w:fldCharType="end"/>
            </w:r>
            <w:r w:rsidR="00E37F8A" w:rsidRPr="000B7CBF">
              <w:rPr>
                <w:rFonts w:eastAsia="MS Mincho" w:cs="Arial"/>
                <w:i/>
                <w:iCs/>
                <w:noProof w:val="0"/>
                <w:lang w:bidi="ar-SA"/>
              </w:rPr>
              <w:t>.</w:t>
            </w:r>
            <w:r w:rsidR="00E37F8A">
              <w:rPr>
                <w:rFonts w:eastAsia="MS Mincho" w:cs="Arial"/>
                <w:bCs/>
                <w:noProof w:val="0"/>
                <w:lang w:bidi="ar-SA"/>
              </w:rPr>
              <w:t xml:space="preserve">Implementace je již zajištěna stávajícími právními předpisy, které budou </w:t>
            </w:r>
            <w:r w:rsidR="003A1393">
              <w:rPr>
                <w:rFonts w:eastAsia="MS Mincho" w:cs="Arial"/>
                <w:bCs/>
                <w:noProof w:val="0"/>
                <w:lang w:bidi="ar-SA"/>
              </w:rPr>
              <w:t>navrhovanou právní úpravou nahrazeny.</w:t>
            </w:r>
          </w:p>
          <w:p w:rsidR="00CA37E5" w:rsidRPr="000B7CBF" w:rsidRDefault="00CA37E5" w:rsidP="00E37F8A">
            <w:pPr>
              <w:tabs>
                <w:tab w:val="left" w:pos="6660"/>
              </w:tabs>
              <w:spacing w:before="120" w:after="120" w:line="264" w:lineRule="auto"/>
              <w:jc w:val="left"/>
              <w:rPr>
                <w:rFonts w:eastAsia="MS Mincho" w:cs="Arial"/>
                <w:i/>
                <w:iCs/>
                <w:noProof w:val="0"/>
                <w:u w:val="single"/>
                <w:lang w:bidi="ar-SA"/>
              </w:rPr>
            </w:pPr>
            <w:r w:rsidRPr="000B7CBF">
              <w:rPr>
                <w:rFonts w:eastAsia="MS Mincho" w:cs="Arial"/>
                <w:bCs/>
                <w:noProof w:val="0"/>
                <w:lang w:bidi="ar-SA"/>
              </w:rPr>
              <w:t xml:space="preserve">- uveďte, zda jde návrh nad rámec požadavků stanovených předpisem EU?: </w:t>
            </w:r>
            <w:r w:rsidR="00E37F8A">
              <w:rPr>
                <w:rFonts w:eastAsia="MS Mincho" w:cs="Arial"/>
                <w:bCs/>
                <w:i/>
                <w:noProof w:val="0"/>
                <w:lang w:bidi="ar-SA"/>
              </w:rPr>
              <w:t>Ano</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12" w:space="0" w:color="auto"/>
              <w:left w:val="single" w:sz="12" w:space="0" w:color="auto"/>
              <w:bottom w:val="single" w:sz="12" w:space="0" w:color="auto"/>
              <w:right w:val="single" w:sz="12" w:space="0" w:color="auto"/>
            </w:tcBorders>
            <w:shd w:val="clear" w:color="auto" w:fill="99CCFF"/>
          </w:tcPr>
          <w:p w:rsidR="00CA37E5" w:rsidRPr="000B7CBF" w:rsidRDefault="00CA37E5" w:rsidP="00CA37E5">
            <w:pPr>
              <w:tabs>
                <w:tab w:val="left" w:pos="6660"/>
              </w:tabs>
              <w:spacing w:before="120" w:after="120" w:line="240" w:lineRule="auto"/>
              <w:rPr>
                <w:rFonts w:eastAsia="MS Mincho" w:cs="Arial"/>
                <w:bCs/>
                <w:noProof w:val="0"/>
                <w:lang w:bidi="ar-SA"/>
              </w:rPr>
            </w:pPr>
            <w:r w:rsidRPr="000B7CBF">
              <w:rPr>
                <w:rFonts w:eastAsia="MS Mincho" w:cs="Arial"/>
                <w:bCs/>
                <w:noProof w:val="0"/>
                <w:lang w:bidi="ar-SA"/>
              </w:rPr>
              <w:t xml:space="preserve">2. </w:t>
            </w:r>
            <w:r w:rsidR="00381FB7" w:rsidRPr="00381FB7">
              <w:rPr>
                <w:rFonts w:eastAsia="MS Mincho" w:cs="Arial"/>
                <w:bCs/>
                <w:noProof w:val="0"/>
                <w:lang w:bidi="ar-SA"/>
              </w:rPr>
              <w:t xml:space="preserve">Cíl návrhu zákona </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12" w:space="0" w:color="auto"/>
              <w:left w:val="single" w:sz="12" w:space="0" w:color="auto"/>
              <w:bottom w:val="single" w:sz="12" w:space="0" w:color="auto"/>
              <w:right w:val="single" w:sz="12" w:space="0" w:color="auto"/>
            </w:tcBorders>
            <w:shd w:val="clear" w:color="auto" w:fill="auto"/>
          </w:tcPr>
          <w:p w:rsidR="00722668" w:rsidRPr="000B7CBF" w:rsidRDefault="00722668" w:rsidP="00722668">
            <w:pPr>
              <w:autoSpaceDE w:val="0"/>
              <w:autoSpaceDN w:val="0"/>
              <w:adjustRightInd w:val="0"/>
              <w:spacing w:after="120" w:line="240" w:lineRule="auto"/>
              <w:rPr>
                <w:rFonts w:cs="Arial"/>
                <w:noProof w:val="0"/>
                <w:color w:val="000000"/>
                <w:lang w:eastAsia="cs-CZ" w:bidi="ar-SA"/>
              </w:rPr>
            </w:pPr>
            <w:r w:rsidRPr="000B7CBF">
              <w:rPr>
                <w:rFonts w:cs="Arial"/>
                <w:noProof w:val="0"/>
                <w:color w:val="000000"/>
                <w:lang w:eastAsia="cs-CZ" w:bidi="ar-SA"/>
              </w:rPr>
              <w:t>Platný zákon o odpadech byl schválen v roce 2001. Tento zákon je koncipován jako systematická a komplexní právní úprava odpadového hospodářství, která zajišťuje též povinnou implementaci pro tuto oblast platných předpisů EU. Zákon o odpadech byl od doby svého schválení mnohokrát novelizován. Postupně tak byla nově zavedena, upravena nebo doplněna zejména problematika integrovaného systému plnění ohlašovacích povinností, poplatků za komunální odpad, autovraků, přeshraniční přepravy odpadů, PCB, elektrozařízení a elektroodpadu, baterií a akumulátorů a</w:t>
            </w:r>
            <w:r w:rsidR="0089277C">
              <w:rPr>
                <w:rFonts w:cs="Arial"/>
                <w:noProof w:val="0"/>
                <w:color w:val="000000"/>
                <w:lang w:eastAsia="cs-CZ" w:bidi="ar-SA"/>
              </w:rPr>
              <w:t> </w:t>
            </w:r>
            <w:r w:rsidRPr="000B7CBF">
              <w:rPr>
                <w:rFonts w:cs="Arial"/>
                <w:noProof w:val="0"/>
                <w:color w:val="000000"/>
                <w:lang w:eastAsia="cs-CZ" w:bidi="ar-SA"/>
              </w:rPr>
              <w:t>hierarchie způsobů nakládání s odpady.</w:t>
            </w:r>
          </w:p>
          <w:p w:rsidR="00CA37E5" w:rsidRPr="000B7CBF" w:rsidRDefault="00722668" w:rsidP="0089277C">
            <w:pPr>
              <w:tabs>
                <w:tab w:val="left" w:pos="1037"/>
              </w:tabs>
              <w:spacing w:before="120" w:after="120" w:line="240" w:lineRule="auto"/>
              <w:rPr>
                <w:rFonts w:eastAsia="MS Mincho" w:cs="Arial"/>
                <w:bCs/>
                <w:noProof w:val="0"/>
                <w:lang w:bidi="ar-SA"/>
              </w:rPr>
            </w:pPr>
            <w:r w:rsidRPr="000B7CBF">
              <w:rPr>
                <w:rFonts w:cs="Arial"/>
                <w:noProof w:val="0"/>
                <w:color w:val="000000"/>
                <w:lang w:eastAsia="cs-CZ" w:bidi="ar-SA"/>
              </w:rPr>
              <w:t>V důsledku tohoto značného zásahu do původní koncepce, resp. rozsahu zákona se jeví současné znění zákona jako velmi komplikované, nepřehledné a obtížně aplikovatelné. V rámci aplikace stávajícího zákona se některé zavedené instituty neosvědčily nebo potřebují upravit, jiné instituty naopak zcela chybí. Zároveň se stále v souladu s rozvojem vědeckých poznatků operativně vyvíjí a mění i již transponované evropské právní předpisy. Tím je dána potřeba zcela nové koncepce i</w:t>
            </w:r>
            <w:r w:rsidR="0089277C">
              <w:rPr>
                <w:rFonts w:cs="Arial"/>
                <w:noProof w:val="0"/>
                <w:color w:val="000000"/>
                <w:lang w:eastAsia="cs-CZ" w:bidi="ar-SA"/>
              </w:rPr>
              <w:t> </w:t>
            </w:r>
            <w:r w:rsidRPr="000B7CBF">
              <w:rPr>
                <w:rFonts w:cs="Arial"/>
                <w:noProof w:val="0"/>
                <w:color w:val="000000"/>
                <w:lang w:eastAsia="cs-CZ" w:bidi="ar-SA"/>
              </w:rPr>
              <w:t>detailní úpravy problematiky odpadového hospodářství. S novou právní úpravou v této oblasti počítají také Rozšířené teze rozvoje odpadového hospodářství v ČR schválené usnesením vlády ČR ze dne 25. srpna 2010 č. 604. Vyčlenění pravidel pro nakládání s výrobky s ukončenou životností do samostatného zákona vychází také z materiálu „Návrhy na řešení opatření k posílení konkurenceschopnosti a rozvoje podnikání v České republice z pohledu ochrany životního prostředí“ (tzv. „</w:t>
            </w:r>
            <w:proofErr w:type="spellStart"/>
            <w:r w:rsidRPr="000B7CBF">
              <w:rPr>
                <w:rFonts w:cs="Arial"/>
                <w:noProof w:val="0"/>
                <w:color w:val="000000"/>
                <w:lang w:eastAsia="cs-CZ" w:bidi="ar-SA"/>
              </w:rPr>
              <w:t>ekoaudit</w:t>
            </w:r>
            <w:proofErr w:type="spellEnd"/>
            <w:r w:rsidRPr="000B7CBF">
              <w:rPr>
                <w:rFonts w:cs="Arial"/>
                <w:noProof w:val="0"/>
                <w:color w:val="000000"/>
                <w:lang w:eastAsia="cs-CZ" w:bidi="ar-SA"/>
              </w:rPr>
              <w:t>“), který byl dne 31. května 2010 schválen vládou ČR (usnesení č. 419) a který je cílený na zjednodušení environmentální legislativy, resp. na snížení administrativní náročnosti procesů spojených s ochranou životního prostředí.</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A37E5" w:rsidRPr="000B7CBF" w:rsidRDefault="00CA37E5" w:rsidP="00CA37E5">
            <w:p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3. </w:t>
            </w:r>
            <w:r w:rsidRPr="000B7CBF">
              <w:rPr>
                <w:rFonts w:eastAsia="MS Mincho" w:cs="Arial"/>
                <w:noProof w:val="0"/>
                <w:lang w:bidi="ar-SA"/>
              </w:rPr>
              <w:t>Agregované</w:t>
            </w:r>
            <w:r w:rsidRPr="000B7CBF">
              <w:rPr>
                <w:rFonts w:eastAsia="MS Mincho" w:cs="Arial"/>
                <w:bCs/>
                <w:noProof w:val="0"/>
                <w:lang w:bidi="ar-SA"/>
              </w:rPr>
              <w:t xml:space="preserve"> dopady návrhu zákona</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A37E5" w:rsidRPr="000B7CBF" w:rsidRDefault="00CA37E5" w:rsidP="00CA37E5">
            <w:p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3.1 Dopady na státní rozpočet a ostatní veřejné rozpočty: </w:t>
            </w:r>
            <w:r w:rsidR="00381FB7" w:rsidRPr="000B7CBF">
              <w:rPr>
                <w:rFonts w:eastAsia="MS Mincho" w:cs="Arial"/>
                <w:bCs/>
                <w:i/>
                <w:noProof w:val="0"/>
                <w:lang w:bidi="ar-SA"/>
              </w:rPr>
              <w:fldChar w:fldCharType="begin">
                <w:ffData>
                  <w:name w:val=""/>
                  <w:enabled/>
                  <w:calcOnExit w:val="0"/>
                  <w:ddList>
                    <w:result w:val="1"/>
                    <w:listEntry w:val="Vyberte Ano / Ne"/>
                    <w:listEntry w:val="Ano"/>
                    <w:listEntry w:val="Ne"/>
                  </w:ddList>
                </w:ffData>
              </w:fldChar>
            </w:r>
            <w:r w:rsidRPr="000B7CBF">
              <w:rPr>
                <w:rFonts w:eastAsia="MS Mincho" w:cs="Arial"/>
                <w:bCs/>
                <w:i/>
                <w:noProof w:val="0"/>
                <w:lang w:bidi="ar-SA"/>
              </w:rPr>
              <w:instrText xml:space="preserve"> FORMDROPDOWN </w:instrText>
            </w:r>
            <w:r w:rsidR="00FA5A62">
              <w:rPr>
                <w:rFonts w:eastAsia="MS Mincho" w:cs="Arial"/>
                <w:bCs/>
                <w:i/>
                <w:noProof w:val="0"/>
                <w:lang w:bidi="ar-SA"/>
              </w:rPr>
            </w:r>
            <w:r w:rsidR="00FA5A62">
              <w:rPr>
                <w:rFonts w:eastAsia="MS Mincho" w:cs="Arial"/>
                <w:bCs/>
                <w:i/>
                <w:noProof w:val="0"/>
                <w:lang w:bidi="ar-SA"/>
              </w:rPr>
              <w:fldChar w:fldCharType="separate"/>
            </w:r>
            <w:r w:rsidR="00381FB7" w:rsidRPr="000B7CBF">
              <w:rPr>
                <w:rFonts w:eastAsia="MS Mincho" w:cs="Arial"/>
                <w:bCs/>
                <w:i/>
                <w:noProof w:val="0"/>
                <w:lang w:bidi="ar-SA"/>
              </w:rPr>
              <w:fldChar w:fldCharType="end"/>
            </w:r>
            <w:r w:rsidRPr="000B7CBF">
              <w:rPr>
                <w:rFonts w:eastAsia="MS Mincho" w:cs="Arial"/>
                <w:bCs/>
                <w:noProof w:val="0"/>
                <w:lang w:bidi="ar-SA"/>
              </w:rPr>
              <w:t xml:space="preserve"> </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A37E5" w:rsidRPr="000B7CBF" w:rsidRDefault="008646A4"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lastRenderedPageBreak/>
              <w:t xml:space="preserve">zlepšení </w:t>
            </w:r>
            <w:r w:rsidR="00A053F5" w:rsidRPr="000B7CBF">
              <w:rPr>
                <w:rFonts w:eastAsia="MS Mincho" w:cs="Arial"/>
                <w:bCs/>
                <w:noProof w:val="0"/>
                <w:lang w:bidi="ar-SA"/>
              </w:rPr>
              <w:t>kontrolní činnosti míst ZO (</w:t>
            </w:r>
            <w:r w:rsidRPr="000B7CBF">
              <w:rPr>
                <w:rFonts w:eastAsia="MS Mincho" w:cs="Arial"/>
                <w:bCs/>
                <w:noProof w:val="0"/>
                <w:lang w:bidi="ar-SA"/>
              </w:rPr>
              <w:t>bod 1),</w:t>
            </w:r>
          </w:p>
          <w:p w:rsidR="008646A4" w:rsidRPr="000B7CBF" w:rsidRDefault="00A053F5"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MŽP - rozšíření aktuálního </w:t>
            </w:r>
            <w:r w:rsidR="00645C31" w:rsidRPr="00645C31">
              <w:rPr>
                <w:rFonts w:eastAsia="MS Mincho" w:cs="Arial"/>
                <w:bCs/>
                <w:noProof w:val="0"/>
                <w:lang w:bidi="ar-SA"/>
              </w:rPr>
              <w:t xml:space="preserve">registru míst zpětného odběru </w:t>
            </w:r>
            <w:r w:rsidRPr="000B7CBF">
              <w:rPr>
                <w:rFonts w:eastAsia="MS Mincho" w:cs="Arial"/>
                <w:bCs/>
                <w:noProof w:val="0"/>
                <w:lang w:bidi="ar-SA"/>
              </w:rPr>
              <w:t>cca 150 tis. Kč (bod 2),</w:t>
            </w:r>
          </w:p>
          <w:p w:rsidR="00A053F5" w:rsidRPr="000B7CBF" w:rsidRDefault="00053FE6"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MŽP - náklady spojené s novými žádostmi o oprávnění </w:t>
            </w:r>
            <w:r w:rsidR="00ED3272" w:rsidRPr="000B7CBF">
              <w:rPr>
                <w:rFonts w:eastAsia="MS Mincho" w:cs="Arial"/>
                <w:bCs/>
                <w:noProof w:val="0"/>
                <w:lang w:bidi="ar-SA"/>
              </w:rPr>
              <w:t xml:space="preserve">k provozování </w:t>
            </w:r>
            <w:r w:rsidR="00ED3272">
              <w:rPr>
                <w:rFonts w:eastAsia="MS Mincho" w:cs="Arial"/>
                <w:bCs/>
                <w:noProof w:val="0"/>
                <w:lang w:bidi="ar-SA"/>
              </w:rPr>
              <w:t xml:space="preserve">KS </w:t>
            </w:r>
            <w:r w:rsidRPr="000B7CBF">
              <w:rPr>
                <w:rFonts w:eastAsia="MS Mincho" w:cs="Arial"/>
                <w:bCs/>
                <w:noProof w:val="0"/>
                <w:lang w:bidi="ar-SA"/>
              </w:rPr>
              <w:t>cca 330 tis. Kč (bod 3),</w:t>
            </w:r>
          </w:p>
          <w:p w:rsidR="00053FE6" w:rsidRPr="000B7CBF" w:rsidRDefault="00AB68E0"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MŽP - sjednocení podmínek pro udělení oprávnění k provozování KS (bod 3),</w:t>
            </w:r>
          </w:p>
          <w:p w:rsidR="00A804A6" w:rsidRPr="000B7CBF" w:rsidRDefault="009D670E"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finanční záruky, resp</w:t>
            </w:r>
            <w:r w:rsidR="009F1026" w:rsidRPr="000B7CBF">
              <w:rPr>
                <w:rFonts w:eastAsia="MS Mincho" w:cs="Arial"/>
                <w:bCs/>
                <w:noProof w:val="0"/>
                <w:lang w:bidi="ar-SA"/>
              </w:rPr>
              <w:t>.</w:t>
            </w:r>
            <w:r w:rsidRPr="000B7CBF">
              <w:rPr>
                <w:rFonts w:eastAsia="MS Mincho" w:cs="Arial"/>
                <w:bCs/>
                <w:noProof w:val="0"/>
                <w:lang w:bidi="ar-SA"/>
              </w:rPr>
              <w:t xml:space="preserve"> rezervy pro krytí budoucích nákladů ze strany KS (bod 4),</w:t>
            </w:r>
          </w:p>
          <w:p w:rsidR="009D670E" w:rsidRPr="000B7CBF" w:rsidRDefault="009D670E"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MŽP - náklady spojené se zápisem a evidencí (bod 5),</w:t>
            </w:r>
          </w:p>
          <w:p w:rsidR="00AB68E0" w:rsidRPr="000B7CBF" w:rsidRDefault="00602057"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snížení rizika </w:t>
            </w:r>
            <w:proofErr w:type="spellStart"/>
            <w:r w:rsidR="00E0117F">
              <w:rPr>
                <w:rFonts w:eastAsia="MS Mincho" w:cs="Arial"/>
                <w:bCs/>
                <w:noProof w:val="0"/>
                <w:lang w:bidi="ar-SA"/>
              </w:rPr>
              <w:t>infringement</w:t>
            </w:r>
            <w:r w:rsidRPr="000B7CBF">
              <w:rPr>
                <w:rFonts w:eastAsia="MS Mincho" w:cs="Arial"/>
                <w:bCs/>
                <w:noProof w:val="0"/>
                <w:lang w:bidi="ar-SA"/>
              </w:rPr>
              <w:t>u</w:t>
            </w:r>
            <w:proofErr w:type="spellEnd"/>
            <w:r w:rsidRPr="000B7CBF">
              <w:rPr>
                <w:rFonts w:eastAsia="MS Mincho" w:cs="Arial"/>
                <w:bCs/>
                <w:noProof w:val="0"/>
                <w:lang w:bidi="ar-SA"/>
              </w:rPr>
              <w:t xml:space="preserve"> za neplnění cílů při sběru a zpracování OEEZ (bod </w:t>
            </w:r>
            <w:r w:rsidR="00FA6FC4">
              <w:rPr>
                <w:rFonts w:eastAsia="MS Mincho" w:cs="Arial"/>
                <w:bCs/>
                <w:noProof w:val="0"/>
                <w:lang w:bidi="ar-SA"/>
              </w:rPr>
              <w:t>7</w:t>
            </w:r>
            <w:r w:rsidRPr="000B7CBF">
              <w:rPr>
                <w:rFonts w:eastAsia="MS Mincho" w:cs="Arial"/>
                <w:bCs/>
                <w:noProof w:val="0"/>
                <w:lang w:bidi="ar-SA"/>
              </w:rPr>
              <w:t>),</w:t>
            </w:r>
          </w:p>
          <w:p w:rsidR="008A690E" w:rsidRPr="000B7CBF" w:rsidRDefault="008A690E"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snížení AZ kontrolním orgánům (bod </w:t>
            </w:r>
            <w:r w:rsidR="00764BE4">
              <w:rPr>
                <w:rFonts w:eastAsia="MS Mincho" w:cs="Arial"/>
                <w:bCs/>
                <w:noProof w:val="0"/>
                <w:lang w:bidi="ar-SA"/>
              </w:rPr>
              <w:t>17</w:t>
            </w:r>
            <w:r w:rsidRPr="000B7CBF">
              <w:rPr>
                <w:rFonts w:eastAsia="MS Mincho" w:cs="Arial"/>
                <w:bCs/>
                <w:noProof w:val="0"/>
                <w:lang w:bidi="ar-SA"/>
              </w:rPr>
              <w:t>),</w:t>
            </w:r>
          </w:p>
          <w:p w:rsidR="00602057" w:rsidRPr="000B7CBF" w:rsidRDefault="00601A43"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MŽP - mírné navýšení AZ spojené s komunikací s MPO (bod 1</w:t>
            </w:r>
            <w:r w:rsidR="00E73A86">
              <w:rPr>
                <w:rFonts w:eastAsia="MS Mincho" w:cs="Arial"/>
                <w:bCs/>
                <w:noProof w:val="0"/>
                <w:lang w:bidi="ar-SA"/>
              </w:rPr>
              <w:t>9</w:t>
            </w:r>
            <w:r w:rsidRPr="000B7CBF">
              <w:rPr>
                <w:rFonts w:eastAsia="MS Mincho" w:cs="Arial"/>
                <w:bCs/>
                <w:noProof w:val="0"/>
                <w:lang w:bidi="ar-SA"/>
              </w:rPr>
              <w:t>),</w:t>
            </w:r>
          </w:p>
          <w:p w:rsidR="00601A43" w:rsidRPr="000B7CBF" w:rsidRDefault="00601A43"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MPO - mírné navýšení nákladů na zpracování zaslaných nákladů a vytvoření stanoviska spojené s komunikací s MŽP ohledně oprávnění (bod 1</w:t>
            </w:r>
            <w:r w:rsidR="00E73A86">
              <w:rPr>
                <w:rFonts w:eastAsia="MS Mincho" w:cs="Arial"/>
                <w:bCs/>
                <w:noProof w:val="0"/>
                <w:lang w:bidi="ar-SA"/>
              </w:rPr>
              <w:t>9</w:t>
            </w:r>
            <w:r w:rsidRPr="000B7CBF">
              <w:rPr>
                <w:rFonts w:eastAsia="MS Mincho" w:cs="Arial"/>
                <w:bCs/>
                <w:noProof w:val="0"/>
                <w:lang w:bidi="ar-SA"/>
              </w:rPr>
              <w:t>),</w:t>
            </w:r>
          </w:p>
          <w:p w:rsidR="00601A43" w:rsidRPr="000B7CBF" w:rsidRDefault="00491CDF"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získání dat i od KS v oblasti ZO pneumatik (bod 2</w:t>
            </w:r>
            <w:r w:rsidR="00764BE4">
              <w:rPr>
                <w:rFonts w:eastAsia="MS Mincho" w:cs="Arial"/>
                <w:bCs/>
                <w:noProof w:val="0"/>
                <w:lang w:bidi="ar-SA"/>
              </w:rPr>
              <w:t>0</w:t>
            </w:r>
            <w:r w:rsidRPr="000B7CBF">
              <w:rPr>
                <w:rFonts w:eastAsia="MS Mincho" w:cs="Arial"/>
                <w:bCs/>
                <w:noProof w:val="0"/>
                <w:lang w:bidi="ar-SA"/>
              </w:rPr>
              <w:t>),</w:t>
            </w:r>
          </w:p>
          <w:p w:rsidR="00CA3F08" w:rsidRPr="000B7CBF" w:rsidRDefault="00CA3F08"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průběžná kontrola KS v oblasti odpadních pneumatik (bod </w:t>
            </w:r>
            <w:r w:rsidR="00C04C5C">
              <w:rPr>
                <w:rFonts w:eastAsia="MS Mincho" w:cs="Arial"/>
                <w:bCs/>
                <w:noProof w:val="0"/>
                <w:lang w:bidi="ar-SA"/>
              </w:rPr>
              <w:t>23</w:t>
            </w:r>
            <w:r w:rsidRPr="000B7CBF">
              <w:rPr>
                <w:rFonts w:eastAsia="MS Mincho" w:cs="Arial"/>
                <w:bCs/>
                <w:noProof w:val="0"/>
                <w:lang w:bidi="ar-SA"/>
              </w:rPr>
              <w:t>),</w:t>
            </w:r>
          </w:p>
          <w:p w:rsidR="008F52EF" w:rsidRPr="000B7CBF" w:rsidRDefault="008F52EF"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SFŽP ČR - navýšení příjmů z poplatků na podporu sběru, zpracování, využití a</w:t>
            </w:r>
            <w:r w:rsidR="004F77DD" w:rsidRPr="000B7CBF">
              <w:rPr>
                <w:rFonts w:eastAsia="MS Mincho" w:cs="Arial"/>
                <w:bCs/>
                <w:noProof w:val="0"/>
                <w:lang w:bidi="ar-SA"/>
              </w:rPr>
              <w:t> </w:t>
            </w:r>
            <w:r w:rsidRPr="000B7CBF">
              <w:rPr>
                <w:rFonts w:eastAsia="MS Mincho" w:cs="Arial"/>
                <w:bCs/>
                <w:noProof w:val="0"/>
                <w:lang w:bidi="ar-SA"/>
              </w:rPr>
              <w:t xml:space="preserve">odstranění autovraků (bod </w:t>
            </w:r>
            <w:r w:rsidR="00C04C5C">
              <w:rPr>
                <w:rFonts w:eastAsia="MS Mincho" w:cs="Arial"/>
                <w:bCs/>
                <w:noProof w:val="0"/>
                <w:lang w:bidi="ar-SA"/>
              </w:rPr>
              <w:t>25</w:t>
            </w:r>
            <w:r w:rsidRPr="000B7CBF">
              <w:rPr>
                <w:rFonts w:eastAsia="MS Mincho" w:cs="Arial"/>
                <w:bCs/>
                <w:noProof w:val="0"/>
                <w:lang w:bidi="ar-SA"/>
              </w:rPr>
              <w:t>),</w:t>
            </w:r>
          </w:p>
          <w:p w:rsidR="00085C33" w:rsidRPr="000B7CBF" w:rsidRDefault="00EF413E"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MŽP - snížení AZ zrušením povinnosti odesílat roční zprávy výrobci či akreditovanými zástupci (bod </w:t>
            </w:r>
            <w:r w:rsidR="00C04C5C">
              <w:rPr>
                <w:rFonts w:eastAsia="MS Mincho" w:cs="Arial"/>
                <w:bCs/>
                <w:noProof w:val="0"/>
                <w:lang w:bidi="ar-SA"/>
              </w:rPr>
              <w:t>26</w:t>
            </w:r>
            <w:r w:rsidRPr="000B7CBF">
              <w:rPr>
                <w:rFonts w:eastAsia="MS Mincho" w:cs="Arial"/>
                <w:bCs/>
                <w:noProof w:val="0"/>
                <w:lang w:bidi="ar-SA"/>
              </w:rPr>
              <w:t>),</w:t>
            </w:r>
          </w:p>
          <w:p w:rsidR="00EF413E" w:rsidRPr="000B7CBF" w:rsidRDefault="00143504"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MŽP - náklady na vytvoření nového informačního systému (bod 2</w:t>
            </w:r>
            <w:r w:rsidR="00C04C5C">
              <w:rPr>
                <w:rFonts w:eastAsia="MS Mincho" w:cs="Arial"/>
                <w:bCs/>
                <w:noProof w:val="0"/>
                <w:lang w:bidi="ar-SA"/>
              </w:rPr>
              <w:t>7</w:t>
            </w:r>
            <w:r w:rsidRPr="000B7CBF">
              <w:rPr>
                <w:rFonts w:eastAsia="MS Mincho" w:cs="Arial"/>
                <w:bCs/>
                <w:noProof w:val="0"/>
                <w:lang w:bidi="ar-SA"/>
              </w:rPr>
              <w:t>),</w:t>
            </w:r>
          </w:p>
          <w:p w:rsidR="00143504" w:rsidRPr="000B7CBF" w:rsidRDefault="00143504"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zamezení riziku sankcí vytvořením nového informačního systému a tím lepší kontrolovatelností a hodnocení cílů zpracování (bod 2</w:t>
            </w:r>
            <w:r w:rsidR="00C04C5C">
              <w:rPr>
                <w:rFonts w:eastAsia="MS Mincho" w:cs="Arial"/>
                <w:bCs/>
                <w:noProof w:val="0"/>
                <w:lang w:bidi="ar-SA"/>
              </w:rPr>
              <w:t>7</w:t>
            </w:r>
            <w:r w:rsidRPr="000B7CBF">
              <w:rPr>
                <w:rFonts w:eastAsia="MS Mincho" w:cs="Arial"/>
                <w:bCs/>
                <w:noProof w:val="0"/>
                <w:lang w:bidi="ar-SA"/>
              </w:rPr>
              <w:t>),</w:t>
            </w:r>
          </w:p>
          <w:p w:rsidR="00F768CA" w:rsidRPr="000B7CBF" w:rsidRDefault="00F768CA" w:rsidP="002D66F0">
            <w:pPr>
              <w:pStyle w:val="Odstavecseseznamem"/>
              <w:numPr>
                <w:ilvl w:val="0"/>
                <w:numId w:val="115"/>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MPO - navýšení nákladů na provoz ČOI (bod 2</w:t>
            </w:r>
            <w:r w:rsidR="00C04C5C">
              <w:rPr>
                <w:rFonts w:eastAsia="MS Mincho" w:cs="Arial"/>
                <w:bCs/>
                <w:noProof w:val="0"/>
                <w:lang w:bidi="ar-SA"/>
              </w:rPr>
              <w:t>8</w:t>
            </w:r>
            <w:r w:rsidRPr="000B7CBF">
              <w:rPr>
                <w:rFonts w:eastAsia="MS Mincho" w:cs="Arial"/>
                <w:bCs/>
                <w:noProof w:val="0"/>
                <w:lang w:bidi="ar-SA"/>
              </w:rPr>
              <w:t>),</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A37E5" w:rsidRPr="000B7CBF" w:rsidRDefault="00CA37E5" w:rsidP="00CA37E5">
            <w:p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3.2 Dopady na podnikatelské subjekty: </w:t>
            </w:r>
            <w:r w:rsidR="00381FB7" w:rsidRPr="00ED38E9">
              <w:rPr>
                <w:rFonts w:eastAsia="MS Mincho" w:cs="Arial"/>
                <w:bCs/>
                <w:i/>
                <w:noProof w:val="0"/>
                <w:lang w:bidi="ar-SA"/>
              </w:rPr>
              <w:fldChar w:fldCharType="begin">
                <w:ffData>
                  <w:name w:val=""/>
                  <w:enabled/>
                  <w:calcOnExit w:val="0"/>
                  <w:ddList>
                    <w:result w:val="1"/>
                    <w:listEntry w:val="Vyberte Ano / Ne"/>
                    <w:listEntry w:val="Ano"/>
                    <w:listEntry w:val="Ne"/>
                  </w:ddList>
                </w:ffData>
              </w:fldChar>
            </w:r>
            <w:r w:rsidRPr="000B7CBF">
              <w:rPr>
                <w:rFonts w:eastAsia="MS Mincho" w:cs="Arial"/>
                <w:bCs/>
                <w:i/>
                <w:noProof w:val="0"/>
                <w:lang w:bidi="ar-SA"/>
              </w:rPr>
              <w:instrText xml:space="preserve"> FORMDROPDOWN </w:instrText>
            </w:r>
            <w:r w:rsidR="00FA5A62">
              <w:rPr>
                <w:rFonts w:eastAsia="MS Mincho" w:cs="Arial"/>
                <w:bCs/>
                <w:i/>
                <w:noProof w:val="0"/>
                <w:lang w:bidi="ar-SA"/>
              </w:rPr>
            </w:r>
            <w:r w:rsidR="00FA5A62">
              <w:rPr>
                <w:rFonts w:eastAsia="MS Mincho" w:cs="Arial"/>
                <w:bCs/>
                <w:i/>
                <w:noProof w:val="0"/>
                <w:lang w:bidi="ar-SA"/>
              </w:rPr>
              <w:fldChar w:fldCharType="separate"/>
            </w:r>
            <w:r w:rsidR="00381FB7" w:rsidRPr="00ED38E9">
              <w:rPr>
                <w:rFonts w:eastAsia="MS Mincho" w:cs="Arial"/>
                <w:bCs/>
                <w:i/>
                <w:noProof w:val="0"/>
                <w:lang w:bidi="ar-SA"/>
              </w:rPr>
              <w:fldChar w:fldCharType="end"/>
            </w:r>
            <w:r w:rsidRPr="000B7CBF">
              <w:rPr>
                <w:rFonts w:eastAsia="MS Mincho" w:cs="Arial"/>
                <w:bCs/>
                <w:i/>
                <w:noProof w:val="0"/>
                <w:lang w:bidi="ar-SA"/>
              </w:rPr>
              <w:t xml:space="preserve"> </w:t>
            </w:r>
          </w:p>
        </w:tc>
      </w:tr>
      <w:tr w:rsidR="00CA37E5" w:rsidRPr="000B7CBF" w:rsidTr="006731BC">
        <w:tblPrEx>
          <w:tblBorders>
            <w:top w:val="single" w:sz="4" w:space="0" w:color="auto"/>
            <w:left w:val="single" w:sz="4" w:space="0" w:color="auto"/>
            <w:bottom w:val="single" w:sz="4" w:space="0" w:color="auto"/>
            <w:right w:val="single" w:sz="4" w:space="0" w:color="auto"/>
          </w:tblBorders>
        </w:tblPrEx>
        <w:trPr>
          <w:trHeight w:val="369"/>
        </w:trPr>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A37E5" w:rsidRPr="000B7CBF" w:rsidRDefault="008646A4"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w:t>
            </w:r>
            <w:r w:rsidR="00881DBA" w:rsidRPr="000B7CBF">
              <w:rPr>
                <w:rFonts w:eastAsia="MS Mincho" w:cs="Arial"/>
                <w:bCs/>
                <w:noProof w:val="0"/>
                <w:lang w:bidi="ar-SA"/>
              </w:rPr>
              <w:t>írné navýšení AZ u míst ZO (</w:t>
            </w:r>
            <w:r w:rsidRPr="000B7CBF">
              <w:rPr>
                <w:rFonts w:eastAsia="MS Mincho" w:cs="Arial"/>
                <w:bCs/>
                <w:noProof w:val="0"/>
                <w:lang w:bidi="ar-SA"/>
              </w:rPr>
              <w:t>bod 1),</w:t>
            </w:r>
          </w:p>
          <w:p w:rsidR="008646A4" w:rsidRPr="000B7CBF" w:rsidRDefault="00881DBA"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mírné navýšení AZ zapojením do registru míst zpětného odběru (bod 2),</w:t>
            </w:r>
          </w:p>
          <w:p w:rsidR="00881DBA" w:rsidRPr="000B7CBF" w:rsidRDefault="00881DBA"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zjednodušení povinného informování spotřebitelů, snížení AZ (bod 2),</w:t>
            </w:r>
          </w:p>
          <w:p w:rsidR="00881DBA" w:rsidRPr="000B7CBF" w:rsidRDefault="00AB68E0"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náklady spojené s novými žádostmi o oprávnění </w:t>
            </w:r>
            <w:r w:rsidR="00ED3272" w:rsidRPr="000B7CBF">
              <w:rPr>
                <w:rFonts w:eastAsia="MS Mincho" w:cs="Arial"/>
                <w:bCs/>
                <w:noProof w:val="0"/>
                <w:lang w:bidi="ar-SA"/>
              </w:rPr>
              <w:t>k provozování</w:t>
            </w:r>
            <w:r w:rsidR="00ED3272">
              <w:rPr>
                <w:rFonts w:eastAsia="MS Mincho" w:cs="Arial"/>
                <w:bCs/>
                <w:noProof w:val="0"/>
                <w:lang w:bidi="ar-SA"/>
              </w:rPr>
              <w:t xml:space="preserve"> KS </w:t>
            </w:r>
            <w:r w:rsidRPr="000B7CBF">
              <w:rPr>
                <w:rFonts w:eastAsia="MS Mincho" w:cs="Arial"/>
                <w:bCs/>
                <w:noProof w:val="0"/>
                <w:lang w:bidi="ar-SA"/>
              </w:rPr>
              <w:t>(bod 3),</w:t>
            </w:r>
          </w:p>
          <w:p w:rsidR="00AB68E0" w:rsidRPr="000B7CBF" w:rsidRDefault="00AB68E0"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riziko ukončení činnosti některých současných KS (bod 3),</w:t>
            </w:r>
          </w:p>
          <w:p w:rsidR="00AB68E0" w:rsidRPr="000B7CBF" w:rsidRDefault="00AB68E0"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výrobci - udržení či vznik kvalitních partnerů v oblasti ZO (bod 3),</w:t>
            </w:r>
          </w:p>
          <w:p w:rsidR="00A804A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snížení rizika parazitování KS (bod 4),</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povinnost vytvářet finanční rezervu u KS (bod 4),</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plnění specifických cílů ve skupinách </w:t>
            </w:r>
            <w:r w:rsidR="00ED3272">
              <w:rPr>
                <w:rFonts w:eastAsia="MS Mincho" w:cs="Arial"/>
                <w:bCs/>
                <w:noProof w:val="0"/>
                <w:lang w:bidi="ar-SA"/>
              </w:rPr>
              <w:t xml:space="preserve">EEZ </w:t>
            </w:r>
            <w:r w:rsidRPr="000B7CBF">
              <w:rPr>
                <w:rFonts w:eastAsia="MS Mincho" w:cs="Arial"/>
                <w:bCs/>
                <w:noProof w:val="0"/>
                <w:lang w:bidi="ar-SA"/>
              </w:rPr>
              <w:t>- výrobci, KS (bod 4),</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možnost </w:t>
            </w:r>
            <w:proofErr w:type="spellStart"/>
            <w:r w:rsidRPr="000B7CBF">
              <w:rPr>
                <w:rFonts w:eastAsia="MS Mincho" w:cs="Arial"/>
                <w:bCs/>
                <w:noProof w:val="0"/>
                <w:lang w:bidi="ar-SA"/>
              </w:rPr>
              <w:t>přeprodeje</w:t>
            </w:r>
            <w:proofErr w:type="spellEnd"/>
            <w:r w:rsidRPr="000B7CBF">
              <w:rPr>
                <w:rFonts w:eastAsia="MS Mincho" w:cs="Arial"/>
                <w:bCs/>
                <w:noProof w:val="0"/>
                <w:lang w:bidi="ar-SA"/>
              </w:rPr>
              <w:t xml:space="preserve"> nebo odkupu OEEZ v případě </w:t>
            </w:r>
            <w:proofErr w:type="spellStart"/>
            <w:r w:rsidRPr="000B7CBF">
              <w:rPr>
                <w:rFonts w:eastAsia="MS Mincho" w:cs="Arial"/>
                <w:bCs/>
                <w:noProof w:val="0"/>
                <w:lang w:bidi="ar-SA"/>
              </w:rPr>
              <w:t>nadlimitu</w:t>
            </w:r>
            <w:proofErr w:type="spellEnd"/>
            <w:r w:rsidRPr="000B7CBF">
              <w:rPr>
                <w:rFonts w:eastAsia="MS Mincho" w:cs="Arial"/>
                <w:bCs/>
                <w:noProof w:val="0"/>
                <w:lang w:bidi="ar-SA"/>
              </w:rPr>
              <w:t xml:space="preserve"> (bod 5),</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snížení rizika parazitování KS (bod 5),</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náklady spojené s povinnými audity u KS (bod 5),</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náklady vyplývající ze změn smluv při změně klasifikace EEZ (bod 5),</w:t>
            </w:r>
          </w:p>
          <w:p w:rsidR="008A690E" w:rsidRPr="000B7CBF" w:rsidRDefault="008A690E"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zamezení free-</w:t>
            </w:r>
            <w:proofErr w:type="spellStart"/>
            <w:r w:rsidRPr="000B7CBF">
              <w:rPr>
                <w:rFonts w:eastAsia="MS Mincho" w:cs="Arial"/>
                <w:bCs/>
                <w:noProof w:val="0"/>
                <w:lang w:bidi="ar-SA"/>
              </w:rPr>
              <w:t>riding</w:t>
            </w:r>
            <w:r w:rsidR="00C56B9C">
              <w:rPr>
                <w:rFonts w:eastAsia="MS Mincho" w:cs="Arial"/>
                <w:bCs/>
                <w:noProof w:val="0"/>
                <w:lang w:bidi="ar-SA"/>
              </w:rPr>
              <w:t>u</w:t>
            </w:r>
            <w:proofErr w:type="spellEnd"/>
            <w:r w:rsidRPr="000B7CBF">
              <w:rPr>
                <w:rFonts w:eastAsia="MS Mincho" w:cs="Arial"/>
                <w:bCs/>
                <w:noProof w:val="0"/>
                <w:lang w:bidi="ar-SA"/>
              </w:rPr>
              <w:t xml:space="preserve"> a špatného finančního plánování (bod </w:t>
            </w:r>
            <w:r w:rsidR="00F23C51">
              <w:rPr>
                <w:rFonts w:eastAsia="MS Mincho" w:cs="Arial"/>
                <w:bCs/>
                <w:noProof w:val="0"/>
                <w:lang w:bidi="ar-SA"/>
              </w:rPr>
              <w:t>8</w:t>
            </w:r>
            <w:r w:rsidRPr="000B7CBF">
              <w:rPr>
                <w:rFonts w:eastAsia="MS Mincho" w:cs="Arial"/>
                <w:bCs/>
                <w:noProof w:val="0"/>
                <w:lang w:bidi="ar-SA"/>
              </w:rPr>
              <w:t>),</w:t>
            </w:r>
          </w:p>
          <w:p w:rsidR="008A690E" w:rsidRPr="000B7CBF" w:rsidRDefault="008A690E"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mírné navýšení nákladů spojených s rozšířením míst ZO (bod 1</w:t>
            </w:r>
            <w:r w:rsidR="00246AE7">
              <w:rPr>
                <w:rFonts w:eastAsia="MS Mincho" w:cs="Arial"/>
                <w:bCs/>
                <w:noProof w:val="0"/>
                <w:lang w:bidi="ar-SA"/>
              </w:rPr>
              <w:t>8</w:t>
            </w:r>
            <w:r w:rsidRPr="000B7CBF">
              <w:rPr>
                <w:rFonts w:eastAsia="MS Mincho" w:cs="Arial"/>
                <w:bCs/>
                <w:noProof w:val="0"/>
                <w:lang w:bidi="ar-SA"/>
              </w:rPr>
              <w:t xml:space="preserve">), </w:t>
            </w:r>
          </w:p>
          <w:p w:rsidR="00491CDF" w:rsidRPr="000B7CBF" w:rsidRDefault="00491CDF"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sjednocení podmínek na trhu při plnění povinností ZO pneumatik (bod </w:t>
            </w:r>
            <w:r w:rsidR="00154DB6">
              <w:rPr>
                <w:rFonts w:eastAsia="MS Mincho" w:cs="Arial"/>
                <w:bCs/>
                <w:noProof w:val="0"/>
                <w:lang w:bidi="ar-SA"/>
              </w:rPr>
              <w:t>21</w:t>
            </w:r>
            <w:r w:rsidRPr="000B7CBF">
              <w:rPr>
                <w:rFonts w:eastAsia="MS Mincho" w:cs="Arial"/>
                <w:bCs/>
                <w:noProof w:val="0"/>
                <w:lang w:bidi="ar-SA"/>
              </w:rPr>
              <w:t>),</w:t>
            </w:r>
          </w:p>
          <w:p w:rsidR="00CA3F08" w:rsidRPr="000B7CBF" w:rsidRDefault="00CA3F08"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navýšení nákladů KS v souvislosti s povinností provádět roční audit a předkládat ho MŽP (bod </w:t>
            </w:r>
            <w:r w:rsidR="00154DB6">
              <w:rPr>
                <w:rFonts w:eastAsia="MS Mincho" w:cs="Arial"/>
                <w:bCs/>
                <w:noProof w:val="0"/>
                <w:lang w:bidi="ar-SA"/>
              </w:rPr>
              <w:t>22</w:t>
            </w:r>
            <w:r w:rsidRPr="000B7CBF">
              <w:rPr>
                <w:rFonts w:eastAsia="MS Mincho" w:cs="Arial"/>
                <w:bCs/>
                <w:noProof w:val="0"/>
                <w:lang w:bidi="ar-SA"/>
              </w:rPr>
              <w:t>),</w:t>
            </w:r>
          </w:p>
          <w:p w:rsidR="00CA3F08" w:rsidRPr="000B7CBF" w:rsidRDefault="00CA3F08"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riziko sankcí při neplnění úrovně </w:t>
            </w:r>
            <w:r w:rsidR="00154DB6">
              <w:rPr>
                <w:rFonts w:eastAsia="MS Mincho" w:cs="Arial"/>
                <w:bCs/>
                <w:noProof w:val="0"/>
                <w:lang w:bidi="ar-SA"/>
              </w:rPr>
              <w:t>zpětného odběru</w:t>
            </w:r>
            <w:r w:rsidRPr="000B7CBF">
              <w:rPr>
                <w:rFonts w:eastAsia="MS Mincho" w:cs="Arial"/>
                <w:bCs/>
                <w:noProof w:val="0"/>
                <w:lang w:bidi="ar-SA"/>
              </w:rPr>
              <w:t xml:space="preserve"> odpadních pneumatik (bod </w:t>
            </w:r>
            <w:r w:rsidR="00154DB6">
              <w:rPr>
                <w:rFonts w:eastAsia="MS Mincho" w:cs="Arial"/>
                <w:bCs/>
                <w:noProof w:val="0"/>
                <w:lang w:bidi="ar-SA"/>
              </w:rPr>
              <w:t>23</w:t>
            </w:r>
            <w:r w:rsidRPr="000B7CBF">
              <w:rPr>
                <w:rFonts w:eastAsia="MS Mincho" w:cs="Arial"/>
                <w:bCs/>
                <w:noProof w:val="0"/>
                <w:lang w:bidi="ar-SA"/>
              </w:rPr>
              <w:t>),</w:t>
            </w:r>
          </w:p>
          <w:p w:rsidR="00CA3F08" w:rsidRPr="000B7CBF" w:rsidRDefault="00CA3F08"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navýšení AZ sjednocením podmínek na trhu pro zpracovatele autovraků (bod </w:t>
            </w:r>
            <w:r w:rsidR="00154DB6">
              <w:rPr>
                <w:rFonts w:eastAsia="MS Mincho" w:cs="Arial"/>
                <w:bCs/>
                <w:noProof w:val="0"/>
                <w:lang w:bidi="ar-SA"/>
              </w:rPr>
              <w:t>24</w:t>
            </w:r>
            <w:r w:rsidRPr="000B7CBF">
              <w:rPr>
                <w:rFonts w:eastAsia="MS Mincho" w:cs="Arial"/>
                <w:bCs/>
                <w:noProof w:val="0"/>
                <w:lang w:bidi="ar-SA"/>
              </w:rPr>
              <w:t>),</w:t>
            </w:r>
          </w:p>
          <w:p w:rsidR="00085C33" w:rsidRPr="000B7CBF" w:rsidRDefault="00085C33"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podpora prodeje nových či novějších vozidel v souvislosti s navýšením poplatků na podporu sběru, zpracování, využití a odstranění autovraků (bod </w:t>
            </w:r>
            <w:r w:rsidR="00154DB6">
              <w:rPr>
                <w:rFonts w:eastAsia="MS Mincho" w:cs="Arial"/>
                <w:bCs/>
                <w:noProof w:val="0"/>
                <w:lang w:bidi="ar-SA"/>
              </w:rPr>
              <w:t>25</w:t>
            </w:r>
            <w:r w:rsidRPr="000B7CBF">
              <w:rPr>
                <w:rFonts w:eastAsia="MS Mincho" w:cs="Arial"/>
                <w:bCs/>
                <w:noProof w:val="0"/>
                <w:lang w:bidi="ar-SA"/>
              </w:rPr>
              <w:t>),</w:t>
            </w:r>
          </w:p>
          <w:p w:rsidR="00CA3F08" w:rsidRPr="000B7CBF" w:rsidRDefault="00085C33"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lastRenderedPageBreak/>
              <w:t>snížení AZ výrobců či akreditovaných zástupců (oblast autovraky) z</w:t>
            </w:r>
            <w:r w:rsidR="009C4567" w:rsidRPr="000B7CBF">
              <w:rPr>
                <w:rFonts w:eastAsia="MS Mincho" w:cs="Arial"/>
                <w:bCs/>
                <w:noProof w:val="0"/>
                <w:lang w:bidi="ar-SA"/>
              </w:rPr>
              <w:t>rušením povinnosti odesílat roční zprávy</w:t>
            </w:r>
            <w:r w:rsidRPr="000B7CBF">
              <w:rPr>
                <w:rFonts w:eastAsia="MS Mincho" w:cs="Arial"/>
                <w:bCs/>
                <w:noProof w:val="0"/>
                <w:lang w:bidi="ar-SA"/>
              </w:rPr>
              <w:t xml:space="preserve"> (bod </w:t>
            </w:r>
            <w:r w:rsidR="00154DB6">
              <w:rPr>
                <w:rFonts w:eastAsia="MS Mincho" w:cs="Arial"/>
                <w:bCs/>
                <w:noProof w:val="0"/>
                <w:lang w:bidi="ar-SA"/>
              </w:rPr>
              <w:t>26</w:t>
            </w:r>
            <w:r w:rsidRPr="000B7CBF">
              <w:rPr>
                <w:rFonts w:eastAsia="MS Mincho" w:cs="Arial"/>
                <w:bCs/>
                <w:noProof w:val="0"/>
                <w:lang w:bidi="ar-SA"/>
              </w:rPr>
              <w:t>),</w:t>
            </w:r>
          </w:p>
          <w:p w:rsidR="00085C33" w:rsidRPr="000B7CBF" w:rsidRDefault="00F6524F"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mírné navýšení AZ spojené s vydávání potvrzení prostřednictvím IS (bod 2</w:t>
            </w:r>
            <w:r w:rsidR="00154DB6">
              <w:rPr>
                <w:rFonts w:eastAsia="MS Mincho" w:cs="Arial"/>
                <w:bCs/>
                <w:noProof w:val="0"/>
                <w:lang w:bidi="ar-SA"/>
              </w:rPr>
              <w:t>7</w:t>
            </w:r>
            <w:r w:rsidRPr="000B7CBF">
              <w:rPr>
                <w:rFonts w:eastAsia="MS Mincho" w:cs="Arial"/>
                <w:bCs/>
                <w:noProof w:val="0"/>
                <w:lang w:bidi="ar-SA"/>
              </w:rPr>
              <w:t>),</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A37E5" w:rsidRPr="000B7CBF" w:rsidRDefault="00CA37E5" w:rsidP="00CA37E5">
            <w:p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lastRenderedPageBreak/>
              <w:t xml:space="preserve">3.3 Dopady na územní samosprávné celky (obce, kraje) </w:t>
            </w:r>
            <w:r w:rsidR="00381FB7" w:rsidRPr="00ED38E9">
              <w:rPr>
                <w:rFonts w:eastAsia="MS Mincho" w:cs="Arial"/>
                <w:bCs/>
                <w:i/>
                <w:noProof w:val="0"/>
                <w:lang w:bidi="ar-SA"/>
              </w:rPr>
              <w:fldChar w:fldCharType="begin">
                <w:ffData>
                  <w:name w:val=""/>
                  <w:enabled/>
                  <w:calcOnExit w:val="0"/>
                  <w:ddList>
                    <w:result w:val="1"/>
                    <w:listEntry w:val="Vyberte Ano / Ne"/>
                    <w:listEntry w:val="Ano"/>
                    <w:listEntry w:val="Ne"/>
                  </w:ddList>
                </w:ffData>
              </w:fldChar>
            </w:r>
            <w:r w:rsidRPr="000B7CBF">
              <w:rPr>
                <w:rFonts w:eastAsia="MS Mincho" w:cs="Arial"/>
                <w:bCs/>
                <w:i/>
                <w:noProof w:val="0"/>
                <w:lang w:bidi="ar-SA"/>
              </w:rPr>
              <w:instrText xml:space="preserve"> FORMDROPDOWN </w:instrText>
            </w:r>
            <w:r w:rsidR="00FA5A62">
              <w:rPr>
                <w:rFonts w:eastAsia="MS Mincho" w:cs="Arial"/>
                <w:bCs/>
                <w:i/>
                <w:noProof w:val="0"/>
                <w:lang w:bidi="ar-SA"/>
              </w:rPr>
            </w:r>
            <w:r w:rsidR="00FA5A62">
              <w:rPr>
                <w:rFonts w:eastAsia="MS Mincho" w:cs="Arial"/>
                <w:bCs/>
                <w:i/>
                <w:noProof w:val="0"/>
                <w:lang w:bidi="ar-SA"/>
              </w:rPr>
              <w:fldChar w:fldCharType="separate"/>
            </w:r>
            <w:r w:rsidR="00381FB7" w:rsidRPr="00ED38E9">
              <w:rPr>
                <w:rFonts w:eastAsia="MS Mincho" w:cs="Arial"/>
                <w:bCs/>
                <w:i/>
                <w:noProof w:val="0"/>
                <w:lang w:bidi="ar-SA"/>
              </w:rPr>
              <w:fldChar w:fldCharType="end"/>
            </w:r>
            <w:r w:rsidRPr="000B7CBF">
              <w:rPr>
                <w:rFonts w:eastAsia="MS Mincho" w:cs="Arial"/>
                <w:bCs/>
                <w:noProof w:val="0"/>
                <w:lang w:bidi="ar-SA"/>
              </w:rPr>
              <w:t xml:space="preserve"> </w:t>
            </w:r>
          </w:p>
        </w:tc>
      </w:tr>
      <w:tr w:rsidR="00CA37E5" w:rsidRPr="000B7CBF" w:rsidDel="007D15F9"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A37E5" w:rsidRPr="000B7CBF" w:rsidRDefault="00C502A3"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w:t>
            </w:r>
            <w:r w:rsidR="00881DBA" w:rsidRPr="000B7CBF">
              <w:rPr>
                <w:rFonts w:eastAsia="MS Mincho" w:cs="Arial"/>
                <w:bCs/>
                <w:noProof w:val="0"/>
                <w:lang w:bidi="ar-SA"/>
              </w:rPr>
              <w:t>írné navýšení AZ u míst ZO (</w:t>
            </w:r>
            <w:r w:rsidRPr="000B7CBF">
              <w:rPr>
                <w:rFonts w:eastAsia="MS Mincho" w:cs="Arial"/>
                <w:bCs/>
                <w:noProof w:val="0"/>
                <w:lang w:bidi="ar-SA"/>
              </w:rPr>
              <w:t>bod 1),</w:t>
            </w:r>
          </w:p>
          <w:p w:rsidR="00C502A3" w:rsidRPr="000B7CBF" w:rsidRDefault="00881DBA"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předpokládané snížení nákladů na likvidaci černých skládek zlepšením informovanosti spotřebitelů (bod 2),</w:t>
            </w:r>
          </w:p>
          <w:p w:rsidR="00AB68E0" w:rsidRPr="000B7CBF" w:rsidRDefault="00AB68E0"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snížení rizika nákladů na likvidaci černých skládek zpřísněním podmínek pro založení KS (bod 3),</w:t>
            </w:r>
          </w:p>
          <w:p w:rsidR="00A804A6" w:rsidRPr="000B7CBF" w:rsidRDefault="00A804A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více míst ZO OEEZ a tím snížení nákladů za </w:t>
            </w:r>
            <w:r w:rsidR="00D71817">
              <w:rPr>
                <w:rFonts w:eastAsia="MS Mincho" w:cs="Arial"/>
                <w:bCs/>
                <w:noProof w:val="0"/>
                <w:lang w:bidi="ar-SA"/>
              </w:rPr>
              <w:t>odstraňování</w:t>
            </w:r>
            <w:r w:rsidR="00D71817" w:rsidRPr="000B7CBF">
              <w:rPr>
                <w:rFonts w:eastAsia="MS Mincho" w:cs="Arial"/>
                <w:bCs/>
                <w:noProof w:val="0"/>
                <w:lang w:bidi="ar-SA"/>
              </w:rPr>
              <w:t xml:space="preserve"> </w:t>
            </w:r>
            <w:r w:rsidRPr="000B7CBF">
              <w:rPr>
                <w:rFonts w:eastAsia="MS Mincho" w:cs="Arial"/>
                <w:bCs/>
                <w:noProof w:val="0"/>
                <w:lang w:bidi="ar-SA"/>
              </w:rPr>
              <w:t xml:space="preserve">uloženého </w:t>
            </w:r>
            <w:r w:rsidR="00977513">
              <w:rPr>
                <w:rFonts w:eastAsia="MS Mincho" w:cs="Arial"/>
                <w:bCs/>
                <w:noProof w:val="0"/>
                <w:lang w:bidi="ar-SA"/>
              </w:rPr>
              <w:t xml:space="preserve">odpadu </w:t>
            </w:r>
            <w:r w:rsidRPr="000B7CBF">
              <w:rPr>
                <w:rFonts w:eastAsia="MS Mincho" w:cs="Arial"/>
                <w:bCs/>
                <w:noProof w:val="0"/>
                <w:lang w:bidi="ar-SA"/>
              </w:rPr>
              <w:t>mimo místa k tomu určená (bod 4),</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zachování možnosti uzavřít s KS či výrobci smlouvu na sběrná místa (bod 4),</w:t>
            </w:r>
          </w:p>
          <w:p w:rsidR="008A690E" w:rsidRPr="000B7CBF" w:rsidRDefault="008A690E"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mírné navýšení AZ spojené s uzavíráním smluv na zřízení míst ZO (bod 1</w:t>
            </w:r>
            <w:r w:rsidR="00F23C51">
              <w:rPr>
                <w:rFonts w:eastAsia="MS Mincho" w:cs="Arial"/>
                <w:bCs/>
                <w:noProof w:val="0"/>
                <w:lang w:bidi="ar-SA"/>
              </w:rPr>
              <w:t>8</w:t>
            </w:r>
            <w:r w:rsidRPr="000B7CBF">
              <w:rPr>
                <w:rFonts w:eastAsia="MS Mincho" w:cs="Arial"/>
                <w:bCs/>
                <w:noProof w:val="0"/>
                <w:lang w:bidi="ar-SA"/>
              </w:rPr>
              <w:t>),</w:t>
            </w:r>
          </w:p>
          <w:p w:rsidR="00AB68E0" w:rsidRPr="000B7CBF" w:rsidRDefault="00CA3F08"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navýšení AZ krajů vydáním nových </w:t>
            </w:r>
            <w:r w:rsidR="00F23C51">
              <w:rPr>
                <w:rFonts w:eastAsia="MS Mincho" w:cs="Arial"/>
                <w:bCs/>
                <w:noProof w:val="0"/>
                <w:lang w:bidi="ar-SA"/>
              </w:rPr>
              <w:t>povolení zpracovatelům autovraků (bod 24)</w:t>
            </w:r>
            <w:r w:rsidRPr="000B7CBF">
              <w:rPr>
                <w:rFonts w:eastAsia="MS Mincho" w:cs="Arial"/>
                <w:bCs/>
                <w:noProof w:val="0"/>
                <w:lang w:bidi="ar-SA"/>
              </w:rPr>
              <w:t>,</w:t>
            </w:r>
          </w:p>
          <w:p w:rsidR="00CA3F08" w:rsidRPr="000B7CBF" w:rsidDel="007D15F9" w:rsidRDefault="00F768CA"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kontrola ze strany ČOI může vést k méně odpadu uloženého mimo místa k tomu určená a tím ke snížení nákladů (bod 2</w:t>
            </w:r>
            <w:r w:rsidR="00133193">
              <w:rPr>
                <w:rFonts w:eastAsia="MS Mincho" w:cs="Arial"/>
                <w:bCs/>
                <w:noProof w:val="0"/>
                <w:lang w:bidi="ar-SA"/>
              </w:rPr>
              <w:t>8</w:t>
            </w:r>
            <w:r w:rsidRPr="000B7CBF">
              <w:rPr>
                <w:rFonts w:eastAsia="MS Mincho" w:cs="Arial"/>
                <w:bCs/>
                <w:noProof w:val="0"/>
                <w:lang w:bidi="ar-SA"/>
              </w:rPr>
              <w:t>),</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A37E5" w:rsidRPr="000B7CBF" w:rsidRDefault="00CA37E5" w:rsidP="00CA37E5">
            <w:pPr>
              <w:tabs>
                <w:tab w:val="left" w:pos="1037"/>
                <w:tab w:val="left" w:pos="3970"/>
              </w:tabs>
              <w:spacing w:before="120" w:after="120" w:line="240" w:lineRule="auto"/>
              <w:rPr>
                <w:rFonts w:eastAsia="MS Mincho" w:cs="Arial"/>
                <w:bCs/>
                <w:noProof w:val="0"/>
                <w:lang w:bidi="ar-SA"/>
              </w:rPr>
            </w:pPr>
            <w:r w:rsidRPr="000B7CBF">
              <w:rPr>
                <w:rFonts w:eastAsia="MS Mincho" w:cs="Arial"/>
                <w:bCs/>
                <w:noProof w:val="0"/>
                <w:lang w:bidi="ar-SA"/>
              </w:rPr>
              <w:t xml:space="preserve">3.4 Sociální dopady: </w:t>
            </w:r>
            <w:r w:rsidR="00381FB7" w:rsidRPr="00ED38E9">
              <w:rPr>
                <w:rFonts w:eastAsia="MS Mincho" w:cs="Arial"/>
                <w:bCs/>
                <w:i/>
                <w:noProof w:val="0"/>
                <w:lang w:bidi="ar-SA"/>
              </w:rPr>
              <w:fldChar w:fldCharType="begin">
                <w:ffData>
                  <w:name w:val=""/>
                  <w:enabled/>
                  <w:calcOnExit w:val="0"/>
                  <w:ddList>
                    <w:result w:val="1"/>
                    <w:listEntry w:val="Vyberte Ano / Ne"/>
                    <w:listEntry w:val="Ano"/>
                    <w:listEntry w:val="Ne"/>
                  </w:ddList>
                </w:ffData>
              </w:fldChar>
            </w:r>
            <w:r w:rsidRPr="000B7CBF">
              <w:rPr>
                <w:rFonts w:eastAsia="MS Mincho" w:cs="Arial"/>
                <w:bCs/>
                <w:i/>
                <w:noProof w:val="0"/>
                <w:lang w:bidi="ar-SA"/>
              </w:rPr>
              <w:instrText xml:space="preserve"> FORMDROPDOWN </w:instrText>
            </w:r>
            <w:r w:rsidR="00FA5A62">
              <w:rPr>
                <w:rFonts w:eastAsia="MS Mincho" w:cs="Arial"/>
                <w:bCs/>
                <w:i/>
                <w:noProof w:val="0"/>
                <w:lang w:bidi="ar-SA"/>
              </w:rPr>
            </w:r>
            <w:r w:rsidR="00FA5A62">
              <w:rPr>
                <w:rFonts w:eastAsia="MS Mincho" w:cs="Arial"/>
                <w:bCs/>
                <w:i/>
                <w:noProof w:val="0"/>
                <w:lang w:bidi="ar-SA"/>
              </w:rPr>
              <w:fldChar w:fldCharType="separate"/>
            </w:r>
            <w:r w:rsidR="00381FB7" w:rsidRPr="00ED38E9">
              <w:rPr>
                <w:rFonts w:eastAsia="MS Mincho" w:cs="Arial"/>
                <w:bCs/>
                <w:i/>
                <w:noProof w:val="0"/>
                <w:lang w:bidi="ar-SA"/>
              </w:rPr>
              <w:fldChar w:fldCharType="end"/>
            </w:r>
            <w:r w:rsidRPr="000B7CBF">
              <w:rPr>
                <w:rFonts w:eastAsia="MS Mincho" w:cs="Arial"/>
                <w:bCs/>
                <w:noProof w:val="0"/>
                <w:lang w:bidi="ar-SA"/>
              </w:rPr>
              <w:t xml:space="preserve"> </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A37E5" w:rsidRPr="000B7CBF" w:rsidRDefault="00881DBA"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zjednodušení přístupu k informacím o místech ZO (bod 2),</w:t>
            </w:r>
          </w:p>
          <w:p w:rsidR="00A10629" w:rsidRPr="000B7CBF" w:rsidRDefault="00A10629"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zlepšení dostupnosti míst ZO zpřísněním podmínek pro založení KS (bod 3),</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lepší informovanost spotřebitelů o recyklačním </w:t>
            </w:r>
            <w:r w:rsidR="00E22F09">
              <w:rPr>
                <w:rFonts w:eastAsia="MS Mincho" w:cs="Arial"/>
                <w:bCs/>
                <w:noProof w:val="0"/>
                <w:lang w:bidi="ar-SA"/>
              </w:rPr>
              <w:t>příspěvku</w:t>
            </w:r>
            <w:r w:rsidR="00E22F09" w:rsidRPr="000B7CBF">
              <w:rPr>
                <w:rFonts w:eastAsia="MS Mincho" w:cs="Arial"/>
                <w:bCs/>
                <w:noProof w:val="0"/>
                <w:lang w:bidi="ar-SA"/>
              </w:rPr>
              <w:t xml:space="preserve"> </w:t>
            </w:r>
            <w:r w:rsidRPr="000B7CBF">
              <w:rPr>
                <w:rFonts w:eastAsia="MS Mincho" w:cs="Arial"/>
                <w:bCs/>
                <w:noProof w:val="0"/>
                <w:lang w:bidi="ar-SA"/>
              </w:rPr>
              <w:t>(bod 4),</w:t>
            </w:r>
          </w:p>
          <w:p w:rsidR="009F1026"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riziko promítnutí skrytých zvýšených nákladů výrobci (bod 4),</w:t>
            </w:r>
          </w:p>
          <w:p w:rsidR="00A10629" w:rsidRPr="000B7CBF" w:rsidRDefault="002C5357"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předpoklad navýšení počtu míst ZO přenesením cílů sběru na KS a výrobce (bod </w:t>
            </w:r>
            <w:r w:rsidR="00133193">
              <w:rPr>
                <w:rFonts w:eastAsia="MS Mincho" w:cs="Arial"/>
                <w:bCs/>
                <w:noProof w:val="0"/>
                <w:lang w:bidi="ar-SA"/>
              </w:rPr>
              <w:t>7</w:t>
            </w:r>
            <w:r w:rsidRPr="000B7CBF">
              <w:rPr>
                <w:rFonts w:eastAsia="MS Mincho" w:cs="Arial"/>
                <w:bCs/>
                <w:noProof w:val="0"/>
                <w:lang w:bidi="ar-SA"/>
              </w:rPr>
              <w:t>),</w:t>
            </w:r>
          </w:p>
          <w:p w:rsidR="008A690E" w:rsidRPr="000B7CBF" w:rsidRDefault="008A690E"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zlepšení dostupnosti míst ZO OEEZ pro občany (bod 1</w:t>
            </w:r>
            <w:r w:rsidR="00133193">
              <w:rPr>
                <w:rFonts w:eastAsia="MS Mincho" w:cs="Arial"/>
                <w:bCs/>
                <w:noProof w:val="0"/>
                <w:lang w:bidi="ar-SA"/>
              </w:rPr>
              <w:t>8</w:t>
            </w:r>
            <w:r w:rsidRPr="000B7CBF">
              <w:rPr>
                <w:rFonts w:eastAsia="MS Mincho" w:cs="Arial"/>
                <w:bCs/>
                <w:noProof w:val="0"/>
                <w:lang w:bidi="ar-SA"/>
              </w:rPr>
              <w:t>),</w:t>
            </w:r>
          </w:p>
          <w:p w:rsidR="00CA3F08" w:rsidRPr="000B7CBF" w:rsidRDefault="00CA3F08"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předpoklad navýšení míst ZO odpadních pneumatik pro spotřebitele (bod </w:t>
            </w:r>
            <w:r w:rsidR="00133193">
              <w:rPr>
                <w:rFonts w:eastAsia="MS Mincho" w:cs="Arial"/>
                <w:bCs/>
                <w:noProof w:val="0"/>
                <w:lang w:bidi="ar-SA"/>
              </w:rPr>
              <w:t>23</w:t>
            </w:r>
            <w:r w:rsidRPr="000B7CBF">
              <w:rPr>
                <w:rFonts w:eastAsia="MS Mincho" w:cs="Arial"/>
                <w:bCs/>
                <w:noProof w:val="0"/>
                <w:lang w:bidi="ar-SA"/>
              </w:rPr>
              <w:t>),</w:t>
            </w:r>
          </w:p>
          <w:p w:rsidR="00CA3F08" w:rsidRPr="000B7CBF" w:rsidRDefault="00085C33"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zvýšení pracovních příležitostí v souvislosti s navýšením poplatků na podporu sběru, zpracování, využití a odstranění autovraků (bod </w:t>
            </w:r>
            <w:r w:rsidR="00133193">
              <w:rPr>
                <w:rFonts w:eastAsia="MS Mincho" w:cs="Arial"/>
                <w:bCs/>
                <w:noProof w:val="0"/>
                <w:lang w:bidi="ar-SA"/>
              </w:rPr>
              <w:t>25</w:t>
            </w:r>
            <w:r w:rsidRPr="000B7CBF">
              <w:rPr>
                <w:rFonts w:eastAsia="MS Mincho" w:cs="Arial"/>
                <w:bCs/>
                <w:noProof w:val="0"/>
                <w:lang w:bidi="ar-SA"/>
              </w:rPr>
              <w:t>),</w:t>
            </w:r>
          </w:p>
          <w:p w:rsidR="00F6524F" w:rsidRPr="000B7CBF" w:rsidRDefault="00F6524F"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snížení obchodu s kradenými díly zavedením nového IS (bod 2</w:t>
            </w:r>
            <w:r w:rsidR="00133193">
              <w:rPr>
                <w:rFonts w:eastAsia="MS Mincho" w:cs="Arial"/>
                <w:bCs/>
                <w:noProof w:val="0"/>
                <w:lang w:bidi="ar-SA"/>
              </w:rPr>
              <w:t>7</w:t>
            </w:r>
            <w:r w:rsidRPr="000B7CBF">
              <w:rPr>
                <w:rFonts w:eastAsia="MS Mincho" w:cs="Arial"/>
                <w:bCs/>
                <w:noProof w:val="0"/>
                <w:lang w:bidi="ar-SA"/>
              </w:rPr>
              <w:t>),</w:t>
            </w:r>
          </w:p>
        </w:tc>
      </w:tr>
      <w:tr w:rsidR="00CA37E5" w:rsidRPr="000B7CBF" w:rsidTr="006731BC">
        <w:tblPrEx>
          <w:tblBorders>
            <w:top w:val="single" w:sz="4" w:space="0" w:color="auto"/>
            <w:left w:val="single" w:sz="4" w:space="0" w:color="auto"/>
            <w:bottom w:val="single" w:sz="4" w:space="0" w:color="auto"/>
            <w:right w:val="single" w:sz="4" w:space="0" w:color="auto"/>
          </w:tblBorders>
        </w:tblPrEx>
        <w:tc>
          <w:tcPr>
            <w:tcW w:w="9648" w:type="dxa"/>
            <w:gridSpan w:val="2"/>
            <w:tcBorders>
              <w:top w:val="single" w:sz="4" w:space="0" w:color="auto"/>
              <w:left w:val="single" w:sz="12" w:space="0" w:color="auto"/>
              <w:bottom w:val="single" w:sz="12" w:space="0" w:color="auto"/>
              <w:right w:val="single" w:sz="12" w:space="0" w:color="auto"/>
            </w:tcBorders>
            <w:shd w:val="clear" w:color="auto" w:fill="99CCFF"/>
          </w:tcPr>
          <w:p w:rsidR="00CA37E5" w:rsidRPr="000B7CBF" w:rsidRDefault="00CA37E5" w:rsidP="00CA37E5">
            <w:p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3.5 Dopady na životní prostředí: </w:t>
            </w:r>
            <w:r w:rsidR="00381FB7" w:rsidRPr="00ED38E9">
              <w:rPr>
                <w:rFonts w:eastAsia="MS Mincho" w:cs="Arial"/>
                <w:bCs/>
                <w:i/>
                <w:noProof w:val="0"/>
                <w:lang w:bidi="ar-SA"/>
              </w:rPr>
              <w:fldChar w:fldCharType="begin">
                <w:ffData>
                  <w:name w:val=""/>
                  <w:enabled/>
                  <w:calcOnExit w:val="0"/>
                  <w:ddList>
                    <w:result w:val="1"/>
                    <w:listEntry w:val="Vyberte Ano / Ne"/>
                    <w:listEntry w:val="Ano"/>
                    <w:listEntry w:val="Ne"/>
                  </w:ddList>
                </w:ffData>
              </w:fldChar>
            </w:r>
            <w:r w:rsidRPr="000B7CBF">
              <w:rPr>
                <w:rFonts w:eastAsia="MS Mincho" w:cs="Arial"/>
                <w:bCs/>
                <w:i/>
                <w:noProof w:val="0"/>
                <w:lang w:bidi="ar-SA"/>
              </w:rPr>
              <w:instrText xml:space="preserve"> FORMDROPDOWN </w:instrText>
            </w:r>
            <w:r w:rsidR="00FA5A62">
              <w:rPr>
                <w:rFonts w:eastAsia="MS Mincho" w:cs="Arial"/>
                <w:bCs/>
                <w:i/>
                <w:noProof w:val="0"/>
                <w:lang w:bidi="ar-SA"/>
              </w:rPr>
            </w:r>
            <w:r w:rsidR="00FA5A62">
              <w:rPr>
                <w:rFonts w:eastAsia="MS Mincho" w:cs="Arial"/>
                <w:bCs/>
                <w:i/>
                <w:noProof w:val="0"/>
                <w:lang w:bidi="ar-SA"/>
              </w:rPr>
              <w:fldChar w:fldCharType="separate"/>
            </w:r>
            <w:r w:rsidR="00381FB7" w:rsidRPr="00ED38E9">
              <w:rPr>
                <w:rFonts w:eastAsia="MS Mincho" w:cs="Arial"/>
                <w:bCs/>
                <w:i/>
                <w:noProof w:val="0"/>
                <w:lang w:bidi="ar-SA"/>
              </w:rPr>
              <w:fldChar w:fldCharType="end"/>
            </w:r>
            <w:r w:rsidRPr="000B7CBF">
              <w:rPr>
                <w:rFonts w:eastAsia="MS Mincho" w:cs="Arial"/>
                <w:bCs/>
                <w:noProof w:val="0"/>
                <w:lang w:bidi="ar-SA"/>
              </w:rPr>
              <w:t xml:space="preserve"> </w:t>
            </w:r>
          </w:p>
        </w:tc>
      </w:tr>
      <w:tr w:rsidR="00CA37E5" w:rsidRPr="000B7CBF" w:rsidTr="006731BC">
        <w:tblPrEx>
          <w:tblBorders>
            <w:top w:val="single" w:sz="4" w:space="0" w:color="auto"/>
            <w:left w:val="single" w:sz="4" w:space="0" w:color="auto"/>
            <w:bottom w:val="single" w:sz="4" w:space="0" w:color="auto"/>
            <w:right w:val="single" w:sz="4" w:space="0" w:color="auto"/>
          </w:tblBorders>
        </w:tblPrEx>
        <w:trPr>
          <w:trHeight w:val="281"/>
        </w:trPr>
        <w:tc>
          <w:tcPr>
            <w:tcW w:w="9648" w:type="dxa"/>
            <w:gridSpan w:val="2"/>
            <w:tcBorders>
              <w:top w:val="single" w:sz="4" w:space="0" w:color="auto"/>
              <w:left w:val="single" w:sz="12" w:space="0" w:color="auto"/>
              <w:bottom w:val="single" w:sz="12" w:space="0" w:color="auto"/>
              <w:right w:val="single" w:sz="12" w:space="0" w:color="auto"/>
            </w:tcBorders>
            <w:shd w:val="clear" w:color="auto" w:fill="auto"/>
          </w:tcPr>
          <w:p w:rsidR="00CA37E5" w:rsidRPr="000B7CBF" w:rsidRDefault="00A053F5"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lepší dohled nad subjekty nakládajícími s VUŽ - sníže</w:t>
            </w:r>
            <w:r w:rsidR="00881DBA" w:rsidRPr="000B7CBF">
              <w:rPr>
                <w:rFonts w:eastAsia="MS Mincho" w:cs="Arial"/>
                <w:bCs/>
                <w:noProof w:val="0"/>
                <w:lang w:bidi="ar-SA"/>
              </w:rPr>
              <w:t>ní dopadů na ŽP (</w:t>
            </w:r>
            <w:r w:rsidRPr="000B7CBF">
              <w:rPr>
                <w:rFonts w:eastAsia="MS Mincho" w:cs="Arial"/>
                <w:bCs/>
                <w:noProof w:val="0"/>
                <w:lang w:bidi="ar-SA"/>
              </w:rPr>
              <w:t>bod 1),</w:t>
            </w:r>
          </w:p>
          <w:p w:rsidR="00881DBA" w:rsidRPr="000B7CBF" w:rsidRDefault="00881DBA"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méně odpadu uloženého mimo místa ZO (bod 2)</w:t>
            </w:r>
            <w:r w:rsidR="00A10629" w:rsidRPr="000B7CBF">
              <w:rPr>
                <w:rFonts w:eastAsia="MS Mincho" w:cs="Arial"/>
                <w:bCs/>
                <w:noProof w:val="0"/>
                <w:lang w:bidi="ar-SA"/>
              </w:rPr>
              <w:t>,</w:t>
            </w:r>
          </w:p>
          <w:p w:rsidR="00A053F5" w:rsidRPr="000B7CBF" w:rsidRDefault="00A10629"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snížení rizika nesprávného nakládání s odpady zpřísněním podmínek pro založení KS (bod 3),</w:t>
            </w:r>
          </w:p>
          <w:p w:rsidR="0024210A" w:rsidRPr="000B7CBF" w:rsidRDefault="009F1026"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lepší kontrolovatelnost objemu OEEZ a jejich skutečná recyklace (bod 4, 5),</w:t>
            </w:r>
          </w:p>
          <w:p w:rsidR="00A10629" w:rsidRPr="000B7CBF" w:rsidRDefault="004B554E"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lepší kontrolovatelnost míst ZO a vyšší zpracovatelnost OEEZ přenesením cílů sběru na KS a výrobce a možností sběru pouze místy ZO, které mají smlouvu s KS nebo výrobci (bod </w:t>
            </w:r>
            <w:r w:rsidR="008F70FB">
              <w:rPr>
                <w:rFonts w:eastAsia="MS Mincho" w:cs="Arial"/>
                <w:bCs/>
                <w:noProof w:val="0"/>
                <w:lang w:bidi="ar-SA"/>
              </w:rPr>
              <w:t>16</w:t>
            </w:r>
            <w:r w:rsidRPr="000B7CBF">
              <w:rPr>
                <w:rFonts w:eastAsia="MS Mincho" w:cs="Arial"/>
                <w:bCs/>
                <w:noProof w:val="0"/>
                <w:lang w:bidi="ar-SA"/>
              </w:rPr>
              <w:t>),</w:t>
            </w:r>
          </w:p>
          <w:p w:rsidR="0006157B" w:rsidRPr="000B7CBF" w:rsidRDefault="0006157B"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snížení rizika omezení sběru OEEZ (bod </w:t>
            </w:r>
            <w:r w:rsidR="008F70FB">
              <w:rPr>
                <w:rFonts w:eastAsia="MS Mincho" w:cs="Arial"/>
                <w:bCs/>
                <w:noProof w:val="0"/>
                <w:lang w:bidi="ar-SA"/>
              </w:rPr>
              <w:t>17</w:t>
            </w:r>
            <w:r w:rsidRPr="000B7CBF">
              <w:rPr>
                <w:rFonts w:eastAsia="MS Mincho" w:cs="Arial"/>
                <w:bCs/>
                <w:noProof w:val="0"/>
                <w:lang w:bidi="ar-SA"/>
              </w:rPr>
              <w:t>),</w:t>
            </w:r>
          </w:p>
          <w:p w:rsidR="004D7EA0" w:rsidRPr="000B7CBF" w:rsidRDefault="0006157B"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zvýšení množství OEEZ předaných k recyklaci (bod 1</w:t>
            </w:r>
            <w:r w:rsidR="008F70FB">
              <w:rPr>
                <w:rFonts w:eastAsia="MS Mincho" w:cs="Arial"/>
                <w:bCs/>
                <w:noProof w:val="0"/>
                <w:lang w:bidi="ar-SA"/>
              </w:rPr>
              <w:t>8</w:t>
            </w:r>
            <w:r w:rsidRPr="000B7CBF">
              <w:rPr>
                <w:rFonts w:eastAsia="MS Mincho" w:cs="Arial"/>
                <w:bCs/>
                <w:noProof w:val="0"/>
                <w:lang w:bidi="ar-SA"/>
              </w:rPr>
              <w:t>),</w:t>
            </w:r>
          </w:p>
          <w:p w:rsidR="00491CDF" w:rsidRPr="000B7CBF" w:rsidRDefault="00CA3F08"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předcházení rizika neplnění povinností KS při nakládání s odpadními pneumatikami (bod </w:t>
            </w:r>
            <w:r w:rsidR="008F70FB">
              <w:rPr>
                <w:rFonts w:eastAsia="MS Mincho" w:cs="Arial"/>
                <w:bCs/>
                <w:noProof w:val="0"/>
                <w:lang w:bidi="ar-SA"/>
              </w:rPr>
              <w:t>23</w:t>
            </w:r>
            <w:r w:rsidRPr="000B7CBF">
              <w:rPr>
                <w:rFonts w:eastAsia="MS Mincho" w:cs="Arial"/>
                <w:bCs/>
                <w:noProof w:val="0"/>
                <w:lang w:bidi="ar-SA"/>
              </w:rPr>
              <w:t>),</w:t>
            </w:r>
          </w:p>
          <w:p w:rsidR="00CA3F08" w:rsidRPr="000B7CBF" w:rsidRDefault="00CA3F08"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 xml:space="preserve">snížení rizika negativních dopadů na ŽP nedostatečnou kontrolou či technologií při zpracování autovraků (bod </w:t>
            </w:r>
            <w:r w:rsidR="008F70FB">
              <w:rPr>
                <w:rFonts w:eastAsia="MS Mincho" w:cs="Arial"/>
                <w:bCs/>
                <w:noProof w:val="0"/>
                <w:lang w:bidi="ar-SA"/>
              </w:rPr>
              <w:t>24</w:t>
            </w:r>
            <w:r w:rsidRPr="000B7CBF">
              <w:rPr>
                <w:rFonts w:eastAsia="MS Mincho" w:cs="Arial"/>
                <w:bCs/>
                <w:noProof w:val="0"/>
                <w:lang w:bidi="ar-SA"/>
              </w:rPr>
              <w:t>),</w:t>
            </w:r>
          </w:p>
          <w:p w:rsidR="00CA3F08" w:rsidRPr="000B7CBF" w:rsidRDefault="00F6524F" w:rsidP="002D66F0">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lastRenderedPageBreak/>
              <w:t>kontrola toku odpadů a tím snížení rizika negativních dopadů na ŽP (bod 2</w:t>
            </w:r>
            <w:r w:rsidR="008F70FB">
              <w:rPr>
                <w:rFonts w:eastAsia="MS Mincho" w:cs="Arial"/>
                <w:bCs/>
                <w:noProof w:val="0"/>
                <w:lang w:bidi="ar-SA"/>
              </w:rPr>
              <w:t>7</w:t>
            </w:r>
            <w:r w:rsidRPr="000B7CBF">
              <w:rPr>
                <w:rFonts w:eastAsia="MS Mincho" w:cs="Arial"/>
                <w:bCs/>
                <w:noProof w:val="0"/>
                <w:lang w:bidi="ar-SA"/>
              </w:rPr>
              <w:t>),</w:t>
            </w:r>
          </w:p>
          <w:p w:rsidR="009F1026" w:rsidRPr="000B7CBF" w:rsidRDefault="00F768CA" w:rsidP="0089277C">
            <w:pPr>
              <w:pStyle w:val="Odstavecseseznamem"/>
              <w:numPr>
                <w:ilvl w:val="0"/>
                <w:numId w:val="116"/>
              </w:numPr>
              <w:tabs>
                <w:tab w:val="left" w:pos="1037"/>
              </w:tabs>
              <w:spacing w:before="120" w:after="120" w:line="240" w:lineRule="auto"/>
              <w:rPr>
                <w:rFonts w:eastAsia="MS Mincho" w:cs="Arial"/>
                <w:bCs/>
                <w:noProof w:val="0"/>
                <w:lang w:bidi="ar-SA"/>
              </w:rPr>
            </w:pPr>
            <w:r w:rsidRPr="000B7CBF">
              <w:rPr>
                <w:rFonts w:eastAsia="MS Mincho" w:cs="Arial"/>
                <w:bCs/>
                <w:noProof w:val="0"/>
                <w:lang w:bidi="ar-SA"/>
              </w:rPr>
              <w:t>kontrola ze strany ČOI může vést k méně odpadu uloženého mimo místa k tomu určená a</w:t>
            </w:r>
            <w:r w:rsidR="0089277C">
              <w:rPr>
                <w:rFonts w:eastAsia="MS Mincho" w:cs="Arial"/>
                <w:bCs/>
                <w:noProof w:val="0"/>
                <w:lang w:bidi="ar-SA"/>
              </w:rPr>
              <w:t> </w:t>
            </w:r>
            <w:r w:rsidRPr="000B7CBF">
              <w:rPr>
                <w:rFonts w:eastAsia="MS Mincho" w:cs="Arial"/>
                <w:bCs/>
                <w:noProof w:val="0"/>
                <w:lang w:bidi="ar-SA"/>
              </w:rPr>
              <w:t>tím ke snížení rizika negativních dopadů na ŽP (bod 2</w:t>
            </w:r>
            <w:r w:rsidR="008F70FB">
              <w:rPr>
                <w:rFonts w:eastAsia="MS Mincho" w:cs="Arial"/>
                <w:bCs/>
                <w:noProof w:val="0"/>
                <w:lang w:bidi="ar-SA"/>
              </w:rPr>
              <w:t>8</w:t>
            </w:r>
            <w:r w:rsidRPr="000B7CBF">
              <w:rPr>
                <w:rFonts w:eastAsia="MS Mincho" w:cs="Arial"/>
                <w:bCs/>
                <w:noProof w:val="0"/>
                <w:lang w:bidi="ar-SA"/>
              </w:rPr>
              <w:t>),</w:t>
            </w:r>
          </w:p>
        </w:tc>
      </w:tr>
    </w:tbl>
    <w:p w:rsidR="00704CCB" w:rsidRPr="00ED38E9" w:rsidRDefault="00704CCB" w:rsidP="009F6DCD">
      <w:pPr>
        <w:pStyle w:val="Nzev"/>
        <w:rPr>
          <w:rFonts w:cs="Arial"/>
        </w:rPr>
      </w:pPr>
    </w:p>
    <w:p w:rsidR="00704CCB" w:rsidRPr="00ED38E9" w:rsidRDefault="00704CCB">
      <w:pPr>
        <w:spacing w:line="240" w:lineRule="auto"/>
        <w:jc w:val="left"/>
        <w:rPr>
          <w:rFonts w:cs="Arial"/>
          <w:b/>
          <w:bCs/>
          <w:kern w:val="28"/>
          <w:sz w:val="32"/>
          <w:szCs w:val="32"/>
        </w:rPr>
      </w:pPr>
      <w:r w:rsidRPr="00ED38E9">
        <w:rPr>
          <w:rFonts w:cs="Arial"/>
        </w:rPr>
        <w:br w:type="page"/>
      </w:r>
    </w:p>
    <w:p w:rsidR="00EF3B62" w:rsidRPr="00ED38E9" w:rsidRDefault="00EF3B62" w:rsidP="005D660F">
      <w:pPr>
        <w:pStyle w:val="Nadpis1"/>
      </w:pPr>
      <w:bookmarkStart w:id="2" w:name="_Toc441759828"/>
      <w:bookmarkStart w:id="3" w:name="_Toc441760177"/>
      <w:r w:rsidRPr="00ED38E9">
        <w:lastRenderedPageBreak/>
        <w:t>Zjednodušený odpadový režim</w:t>
      </w:r>
      <w:bookmarkEnd w:id="2"/>
      <w:bookmarkEnd w:id="3"/>
    </w:p>
    <w:p w:rsidR="004F311D" w:rsidRPr="00ED38E9" w:rsidRDefault="004F311D" w:rsidP="005D660F">
      <w:pPr>
        <w:pStyle w:val="Nadpis2"/>
      </w:pPr>
      <w:bookmarkStart w:id="4" w:name="_Toc441759829"/>
      <w:r w:rsidRPr="00ED38E9">
        <w:t>Důvod předložení a cíle</w:t>
      </w:r>
      <w:bookmarkEnd w:id="4"/>
    </w:p>
    <w:p w:rsidR="004F311D" w:rsidRPr="00ED38E9" w:rsidRDefault="004F311D" w:rsidP="005D660F">
      <w:pPr>
        <w:pStyle w:val="Nadpis3"/>
      </w:pPr>
      <w:r w:rsidRPr="00ED38E9">
        <w:t>Definice problému</w:t>
      </w:r>
    </w:p>
    <w:p w:rsidR="004F311D" w:rsidRPr="00ED38E9" w:rsidRDefault="004F311D" w:rsidP="00783869">
      <w:pPr>
        <w:rPr>
          <w:rFonts w:cs="Arial"/>
        </w:rPr>
      </w:pPr>
      <w:r w:rsidRPr="00ED38E9">
        <w:rPr>
          <w:rFonts w:cs="Arial"/>
        </w:rPr>
        <w:t>Dle současné</w:t>
      </w:r>
      <w:r w:rsidR="002B5D43" w:rsidRPr="00ED38E9">
        <w:rPr>
          <w:rFonts w:cs="Arial"/>
        </w:rPr>
        <w:t>ho</w:t>
      </w:r>
      <w:r w:rsidRPr="00ED38E9">
        <w:rPr>
          <w:rFonts w:cs="Arial"/>
        </w:rPr>
        <w:t xml:space="preserve"> zákona se některé </w:t>
      </w:r>
      <w:r w:rsidR="00C94CD5" w:rsidRPr="00ED38E9">
        <w:rPr>
          <w:rFonts w:cs="Arial"/>
        </w:rPr>
        <w:t xml:space="preserve">zpětně odebrané </w:t>
      </w:r>
      <w:r w:rsidRPr="00ED38E9">
        <w:rPr>
          <w:rFonts w:cs="Arial"/>
        </w:rPr>
        <w:t>výrobky stávají odpadem (např. baterie a</w:t>
      </w:r>
      <w:r w:rsidR="00C94CD5" w:rsidRPr="00ED38E9">
        <w:rPr>
          <w:rFonts w:cs="Arial"/>
        </w:rPr>
        <w:t xml:space="preserve"> akumulátory, pneumatiky) </w:t>
      </w:r>
      <w:r w:rsidRPr="00ED38E9">
        <w:rPr>
          <w:rFonts w:cs="Arial"/>
        </w:rPr>
        <w:t>až ve chvíli, kdy dojde k jejímu předání osobě oprávněné ke</w:t>
      </w:r>
      <w:r w:rsidR="00C94CD5" w:rsidRPr="00ED38E9">
        <w:rPr>
          <w:rFonts w:cs="Arial"/>
        </w:rPr>
        <w:t> </w:t>
      </w:r>
      <w:r w:rsidRPr="00ED38E9">
        <w:rPr>
          <w:rFonts w:cs="Arial"/>
        </w:rPr>
        <w:t xml:space="preserve">zpracování. Z tohoto důvodu některá zařízení (místa zpětného odběru) nespadají pod zákon </w:t>
      </w:r>
      <w:r w:rsidR="00820A7A" w:rsidRPr="00ED38E9">
        <w:rPr>
          <w:rFonts w:cs="Arial"/>
        </w:rPr>
        <w:t>č. 185/2001 Sb., o odpadech</w:t>
      </w:r>
      <w:r w:rsidR="00820A7A">
        <w:rPr>
          <w:rFonts w:cs="Arial"/>
        </w:rPr>
        <w:t xml:space="preserve"> </w:t>
      </w:r>
      <w:r w:rsidR="00820A7A" w:rsidRPr="00EE03D9">
        <w:rPr>
          <w:rFonts w:cs="Arial"/>
        </w:rPr>
        <w:t>a o změně některých dalších zákonů</w:t>
      </w:r>
      <w:r w:rsidR="00820A7A">
        <w:rPr>
          <w:rFonts w:cs="Arial"/>
        </w:rPr>
        <w:t xml:space="preserve">, ve znění pozdějších předpisů </w:t>
      </w:r>
      <w:r w:rsidR="00820A7A" w:rsidRPr="00ED38E9">
        <w:rPr>
          <w:rFonts w:eastAsia="SimSun" w:cs="Arial"/>
          <w:lang w:eastAsia="zh-CN"/>
        </w:rPr>
        <w:t>(dále jen „zákon o odpadech“)</w:t>
      </w:r>
      <w:r w:rsidR="00820A7A">
        <w:rPr>
          <w:rFonts w:eastAsia="SimSun" w:cs="Arial"/>
          <w:lang w:eastAsia="zh-CN"/>
        </w:rPr>
        <w:t>,</w:t>
      </w:r>
      <w:r w:rsidRPr="00ED38E9">
        <w:rPr>
          <w:rFonts w:cs="Arial"/>
        </w:rPr>
        <w:t xml:space="preserve"> a není zde možný řádný dohled některých kontrolních orgánů, čímž se vystavujeme riziku ohrožení životního prostředí a dalších ekologických zátěží.</w:t>
      </w:r>
    </w:p>
    <w:p w:rsidR="004F311D" w:rsidRPr="00ED38E9" w:rsidRDefault="004F311D" w:rsidP="005D660F">
      <w:pPr>
        <w:pStyle w:val="Nadpis3"/>
      </w:pPr>
      <w:r w:rsidRPr="00ED38E9">
        <w:t>Popis existujícího právního stavu v dané oblasti</w:t>
      </w:r>
    </w:p>
    <w:p w:rsidR="004F311D" w:rsidRPr="00ED38E9" w:rsidRDefault="00C94CD5" w:rsidP="00783869">
      <w:pPr>
        <w:rPr>
          <w:rFonts w:cs="Arial"/>
        </w:rPr>
      </w:pPr>
      <w:r w:rsidRPr="00ED38E9">
        <w:rPr>
          <w:rFonts w:cs="Arial"/>
        </w:rPr>
        <w:t>Zákon o odpadech v § 38 uvádí, že zpětně odebraný výrobek</w:t>
      </w:r>
      <w:r w:rsidR="0044305E" w:rsidRPr="00ED38E9">
        <w:rPr>
          <w:rFonts w:cs="Arial"/>
        </w:rPr>
        <w:t xml:space="preserve"> se stává odpadem ve chvíli předání osobě oprávněné k jeho využití nebo odstranění. Do této doby nejsou zpětně odebrané v</w:t>
      </w:r>
      <w:r w:rsidR="0025418D" w:rsidRPr="00ED38E9">
        <w:rPr>
          <w:rFonts w:cs="Arial"/>
        </w:rPr>
        <w:t>ýrobky odpadem a tak se na míst</w:t>
      </w:r>
      <w:r w:rsidR="0044305E" w:rsidRPr="00ED38E9">
        <w:rPr>
          <w:rFonts w:cs="Arial"/>
        </w:rPr>
        <w:t>a zpětného odběru nevztahují povinnosti dle tohoto zákona. V případě průmyslových baterií a akumulátorů se tak naopak děje již v místně odděleného sběru, což v některých případech komplikuje jejich sběr.</w:t>
      </w:r>
    </w:p>
    <w:p w:rsidR="0044305E" w:rsidRPr="00ED38E9" w:rsidRDefault="0044305E" w:rsidP="005D660F">
      <w:pPr>
        <w:pStyle w:val="Nadpis3"/>
      </w:pPr>
      <w:r w:rsidRPr="00ED38E9">
        <w:t>Identifikace dotčených subjektů</w:t>
      </w:r>
    </w:p>
    <w:p w:rsidR="0044305E" w:rsidRPr="00ED38E9" w:rsidRDefault="0044305E" w:rsidP="0044305E">
      <w:pPr>
        <w:pStyle w:val="Odstavecseseznamem"/>
        <w:numPr>
          <w:ilvl w:val="0"/>
          <w:numId w:val="1"/>
        </w:numPr>
        <w:rPr>
          <w:rFonts w:cs="Arial"/>
          <w:noProof w:val="0"/>
        </w:rPr>
      </w:pPr>
      <w:r w:rsidRPr="00ED38E9">
        <w:rPr>
          <w:rFonts w:cs="Arial"/>
          <w:noProof w:val="0"/>
        </w:rPr>
        <w:t>výrobci (kolektivní systémy),</w:t>
      </w:r>
    </w:p>
    <w:p w:rsidR="0044305E" w:rsidRPr="00ED38E9" w:rsidRDefault="0044305E" w:rsidP="0044305E">
      <w:pPr>
        <w:pStyle w:val="Odstavecseseznamem"/>
        <w:numPr>
          <w:ilvl w:val="0"/>
          <w:numId w:val="1"/>
        </w:numPr>
        <w:rPr>
          <w:rFonts w:cs="Arial"/>
          <w:noProof w:val="0"/>
        </w:rPr>
      </w:pPr>
      <w:r w:rsidRPr="00ED38E9">
        <w:rPr>
          <w:rFonts w:cs="Arial"/>
          <w:noProof w:val="0"/>
        </w:rPr>
        <w:t>provozovatelé sběrných míst (obce, prodejci),</w:t>
      </w:r>
    </w:p>
    <w:p w:rsidR="0044305E" w:rsidRPr="00ED38E9" w:rsidRDefault="0044305E" w:rsidP="0044305E">
      <w:pPr>
        <w:pStyle w:val="Odstavecseseznamem"/>
        <w:numPr>
          <w:ilvl w:val="0"/>
          <w:numId w:val="1"/>
        </w:numPr>
        <w:rPr>
          <w:rFonts w:cs="Arial"/>
          <w:noProof w:val="0"/>
        </w:rPr>
      </w:pPr>
      <w:r w:rsidRPr="00ED38E9">
        <w:rPr>
          <w:rFonts w:cs="Arial"/>
          <w:noProof w:val="0"/>
        </w:rPr>
        <w:t>krajské úřady,</w:t>
      </w:r>
    </w:p>
    <w:p w:rsidR="0044305E" w:rsidRPr="00ED38E9" w:rsidRDefault="0044305E" w:rsidP="0044305E">
      <w:pPr>
        <w:pStyle w:val="Odstavecseseznamem"/>
        <w:numPr>
          <w:ilvl w:val="0"/>
          <w:numId w:val="1"/>
        </w:numPr>
        <w:rPr>
          <w:rFonts w:cs="Arial"/>
          <w:noProof w:val="0"/>
        </w:rPr>
      </w:pPr>
      <w:r w:rsidRPr="00ED38E9">
        <w:rPr>
          <w:rFonts w:cs="Arial"/>
          <w:noProof w:val="0"/>
        </w:rPr>
        <w:t>obce,</w:t>
      </w:r>
    </w:p>
    <w:p w:rsidR="0044305E" w:rsidRPr="00ED38E9" w:rsidRDefault="0025418D" w:rsidP="0044305E">
      <w:pPr>
        <w:pStyle w:val="Odstavecseseznamem"/>
        <w:numPr>
          <w:ilvl w:val="0"/>
          <w:numId w:val="1"/>
        </w:numPr>
        <w:rPr>
          <w:rFonts w:cs="Arial"/>
          <w:noProof w:val="0"/>
        </w:rPr>
      </w:pPr>
      <w:r w:rsidRPr="00ED38E9">
        <w:rPr>
          <w:rFonts w:cs="Arial"/>
          <w:noProof w:val="0"/>
        </w:rPr>
        <w:t>Ministerstvo životního prostředí (MŽP, ministerstvo),</w:t>
      </w:r>
    </w:p>
    <w:p w:rsidR="0025418D" w:rsidRPr="00ED38E9" w:rsidRDefault="0025418D" w:rsidP="0044305E">
      <w:pPr>
        <w:pStyle w:val="Odstavecseseznamem"/>
        <w:numPr>
          <w:ilvl w:val="0"/>
          <w:numId w:val="1"/>
        </w:numPr>
        <w:rPr>
          <w:rFonts w:cs="Arial"/>
          <w:noProof w:val="0"/>
        </w:rPr>
      </w:pPr>
      <w:r w:rsidRPr="00ED38E9">
        <w:rPr>
          <w:rFonts w:cs="Arial"/>
          <w:noProof w:val="0"/>
        </w:rPr>
        <w:t>Česká inspekce životního prostředí (ČIŽP).</w:t>
      </w:r>
    </w:p>
    <w:p w:rsidR="0025418D" w:rsidRPr="00ED38E9" w:rsidRDefault="0025418D" w:rsidP="005D660F">
      <w:pPr>
        <w:pStyle w:val="Nadpis3"/>
      </w:pPr>
      <w:r w:rsidRPr="00ED38E9">
        <w:t>Popis cílového stavu</w:t>
      </w:r>
    </w:p>
    <w:p w:rsidR="0025418D" w:rsidRPr="00ED38E9" w:rsidRDefault="0025418D" w:rsidP="00783869">
      <w:pPr>
        <w:rPr>
          <w:rFonts w:cs="Arial"/>
        </w:rPr>
      </w:pPr>
      <w:r w:rsidRPr="00ED38E9">
        <w:rPr>
          <w:rFonts w:cs="Arial"/>
        </w:rPr>
        <w:t>Hlavním cílem je, aby místa zpětného odběru měla určité povinnosti ze zákona, ale nebyla zatížena složitou administrativnou jako u zařízení k využívání, odstraňování, sběru nebo výkupu odpadů.</w:t>
      </w:r>
    </w:p>
    <w:p w:rsidR="0025418D" w:rsidRPr="00ED38E9" w:rsidRDefault="0025418D" w:rsidP="005D660F">
      <w:pPr>
        <w:pStyle w:val="Nadpis3"/>
      </w:pPr>
      <w:r w:rsidRPr="00ED38E9">
        <w:t>Zhodnocení rizika</w:t>
      </w:r>
    </w:p>
    <w:p w:rsidR="0025418D" w:rsidRPr="00ED38E9" w:rsidRDefault="00190573" w:rsidP="00783869">
      <w:pPr>
        <w:rPr>
          <w:rFonts w:cs="Arial"/>
        </w:rPr>
      </w:pPr>
      <w:r w:rsidRPr="00ED38E9">
        <w:rPr>
          <w:rFonts w:cs="Arial"/>
        </w:rPr>
        <w:t>Každá varianta představuje určité riziko</w:t>
      </w:r>
      <w:r w:rsidR="002B5D43" w:rsidRPr="00ED38E9">
        <w:rPr>
          <w:rFonts w:cs="Arial"/>
        </w:rPr>
        <w:t>.</w:t>
      </w:r>
      <w:r w:rsidRPr="00ED38E9">
        <w:rPr>
          <w:rFonts w:cs="Arial"/>
        </w:rPr>
        <w:t xml:space="preserve"> </w:t>
      </w:r>
      <w:r w:rsidR="002B5D43" w:rsidRPr="00ED38E9">
        <w:rPr>
          <w:rFonts w:cs="Arial"/>
        </w:rPr>
        <w:t>V</w:t>
      </w:r>
      <w:r w:rsidRPr="00ED38E9">
        <w:rPr>
          <w:rFonts w:cs="Arial"/>
        </w:rPr>
        <w:t xml:space="preserve"> případě ponechání současného stavu nemáme dostatečné </w:t>
      </w:r>
      <w:r w:rsidR="002B5D43" w:rsidRPr="00ED38E9">
        <w:rPr>
          <w:rFonts w:cs="Arial"/>
        </w:rPr>
        <w:t xml:space="preserve">nástroje </w:t>
      </w:r>
      <w:r w:rsidRPr="00ED38E9">
        <w:rPr>
          <w:rFonts w:cs="Arial"/>
        </w:rPr>
        <w:t>v případě kontrol míst zpětného odběru. V případě zařazení těchto míst jako zařízení ke sběru nebo výkup odpadů se vystavujeme riziku velmi vysokých nákladů nejen u míst zpětného odběru, ale i na straně státní správy.</w:t>
      </w:r>
    </w:p>
    <w:p w:rsidR="00190573" w:rsidRPr="00ED38E9" w:rsidRDefault="00190573" w:rsidP="005D660F">
      <w:pPr>
        <w:pStyle w:val="Nadpis2"/>
      </w:pPr>
      <w:bookmarkStart w:id="5" w:name="_Toc441759830"/>
      <w:r w:rsidRPr="00ED38E9">
        <w:t>Návrh variant řešení</w:t>
      </w:r>
      <w:bookmarkEnd w:id="5"/>
    </w:p>
    <w:p w:rsidR="00190573" w:rsidRPr="00ED38E9" w:rsidRDefault="00190573" w:rsidP="005D660F">
      <w:pPr>
        <w:pStyle w:val="Nadpis3"/>
      </w:pPr>
      <w:r w:rsidRPr="00ED38E9">
        <w:t>Varianta 0</w:t>
      </w:r>
    </w:p>
    <w:p w:rsidR="00190573" w:rsidRPr="00ED38E9" w:rsidRDefault="00190573" w:rsidP="00783869">
      <w:pPr>
        <w:rPr>
          <w:rFonts w:cs="Arial"/>
        </w:rPr>
      </w:pPr>
      <w:r w:rsidRPr="00ED38E9">
        <w:rPr>
          <w:rFonts w:cs="Arial"/>
        </w:rPr>
        <w:t>Ponechání současného stavu, kdy místa zpětného odběru výrobků (prodejci, servisy) nežádají souhlas dle § 14 zákona o odpadech, protože dle současního znění zákona se zpětně odebraný výrobek stá</w:t>
      </w:r>
      <w:r w:rsidR="002B5D43" w:rsidRPr="00ED38E9">
        <w:rPr>
          <w:rFonts w:cs="Arial"/>
        </w:rPr>
        <w:t>vá</w:t>
      </w:r>
      <w:r w:rsidRPr="00ED38E9">
        <w:rPr>
          <w:rFonts w:cs="Arial"/>
        </w:rPr>
        <w:t xml:space="preserve"> odpadem ve chvíli, kdy je předán osobě oprávně</w:t>
      </w:r>
      <w:r w:rsidR="0089277C">
        <w:rPr>
          <w:rFonts w:cs="Arial"/>
        </w:rPr>
        <w:t>né k využití nebo odstranění (§ </w:t>
      </w:r>
      <w:r w:rsidRPr="00ED38E9">
        <w:rPr>
          <w:rFonts w:cs="Arial"/>
        </w:rPr>
        <w:t>38 zákona o odpadech).</w:t>
      </w:r>
    </w:p>
    <w:p w:rsidR="00E15550" w:rsidRPr="00ED38E9" w:rsidRDefault="00E15550" w:rsidP="005D660F">
      <w:pPr>
        <w:pStyle w:val="Nadpis3"/>
      </w:pPr>
      <w:r w:rsidRPr="00ED38E9">
        <w:lastRenderedPageBreak/>
        <w:t>Varianta 1</w:t>
      </w:r>
    </w:p>
    <w:p w:rsidR="00E15550" w:rsidRPr="00ED38E9" w:rsidRDefault="00463825" w:rsidP="00783869">
      <w:pPr>
        <w:rPr>
          <w:rFonts w:cs="Arial"/>
        </w:rPr>
      </w:pPr>
      <w:r w:rsidRPr="00ED38E9">
        <w:rPr>
          <w:rFonts w:cs="Arial"/>
        </w:rPr>
        <w:t>Zahrnutí míst zpětného odběru jako zařízení ke sběru odpadů, včetně povinnosti mít souhlas dle § 14 zákona o odpadech, vést průběžnou evidenci včetně zasílání ročních hlášení.</w:t>
      </w:r>
    </w:p>
    <w:p w:rsidR="00463825" w:rsidRPr="00ED38E9" w:rsidRDefault="00463825" w:rsidP="005D660F">
      <w:pPr>
        <w:pStyle w:val="Nadpis3"/>
      </w:pPr>
      <w:r w:rsidRPr="00ED38E9">
        <w:t>Varianta 2</w:t>
      </w:r>
    </w:p>
    <w:p w:rsidR="00463825" w:rsidRPr="00ED38E9" w:rsidRDefault="00463825" w:rsidP="00783869">
      <w:pPr>
        <w:rPr>
          <w:rFonts w:cs="Arial"/>
        </w:rPr>
      </w:pPr>
      <w:r w:rsidRPr="00ED38E9">
        <w:rPr>
          <w:rFonts w:cs="Arial"/>
        </w:rPr>
        <w:t>Zahrnutí míst zpětného odběru jako zařízení ke sběru odpadů, bez povinnosti mít souhlas dle § 14 zákona o odpadech</w:t>
      </w:r>
      <w:r w:rsidR="00A64F41">
        <w:rPr>
          <w:rFonts w:cs="Arial"/>
        </w:rPr>
        <w:t xml:space="preserve"> a vést průběžnou odpadovou evidenci</w:t>
      </w:r>
      <w:r w:rsidR="004C35BF">
        <w:rPr>
          <w:rFonts w:cs="Arial"/>
        </w:rPr>
        <w:t>. V</w:t>
      </w:r>
      <w:r w:rsidR="00A64F41">
        <w:rPr>
          <w:rFonts w:cs="Arial"/>
        </w:rPr>
        <w:t>ýrobce, jakožto zřizovatel místa zpětného odběru</w:t>
      </w:r>
      <w:r w:rsidR="00625F7A">
        <w:rPr>
          <w:rFonts w:cs="Arial"/>
        </w:rPr>
        <w:t>,</w:t>
      </w:r>
      <w:r w:rsidR="00A64F41">
        <w:rPr>
          <w:rFonts w:cs="Arial"/>
        </w:rPr>
        <w:t xml:space="preserve"> však může požadovat po místě zp</w:t>
      </w:r>
      <w:r w:rsidR="0089277C">
        <w:rPr>
          <w:rFonts w:cs="Arial"/>
        </w:rPr>
        <w:t>ětného odběru vedení evidence o </w:t>
      </w:r>
      <w:r w:rsidR="00A64F41">
        <w:rPr>
          <w:rFonts w:cs="Arial"/>
        </w:rPr>
        <w:t>množství zpětně odebraných výrobků</w:t>
      </w:r>
      <w:r w:rsidR="00625F7A">
        <w:rPr>
          <w:rFonts w:cs="Arial"/>
        </w:rPr>
        <w:t>.</w:t>
      </w:r>
      <w:r w:rsidRPr="00ED38E9">
        <w:rPr>
          <w:rFonts w:cs="Arial"/>
        </w:rPr>
        <w:t xml:space="preserve"> </w:t>
      </w:r>
      <w:r w:rsidR="00625F7A">
        <w:rPr>
          <w:rFonts w:cs="Arial"/>
        </w:rPr>
        <w:t xml:space="preserve">Jedná se o </w:t>
      </w:r>
      <w:r w:rsidRPr="00ED38E9">
        <w:rPr>
          <w:rFonts w:cs="Arial"/>
        </w:rPr>
        <w:t>tzv. „zjednodušený řežim“.</w:t>
      </w:r>
      <w:r w:rsidR="008E6682" w:rsidRPr="008E6682">
        <w:rPr>
          <w:rFonts w:cs="Arial"/>
        </w:rPr>
        <w:t xml:space="preserve"> </w:t>
      </w:r>
      <w:r w:rsidR="008E6682" w:rsidRPr="00ED38E9">
        <w:rPr>
          <w:rFonts w:cs="Arial"/>
        </w:rPr>
        <w:t xml:space="preserve">Evidence bude </w:t>
      </w:r>
      <w:r w:rsidR="008E6682">
        <w:rPr>
          <w:rFonts w:cs="Arial"/>
        </w:rPr>
        <w:t xml:space="preserve">ve Variantě 2 </w:t>
      </w:r>
      <w:r w:rsidR="008E6682" w:rsidRPr="00ED38E9">
        <w:rPr>
          <w:rFonts w:cs="Arial"/>
        </w:rPr>
        <w:t>zjednodušena</w:t>
      </w:r>
      <w:r w:rsidR="008E6682">
        <w:rPr>
          <w:rFonts w:cs="Arial"/>
        </w:rPr>
        <w:t>.</w:t>
      </w:r>
    </w:p>
    <w:p w:rsidR="006468A1" w:rsidRPr="00ED38E9" w:rsidRDefault="006468A1" w:rsidP="005D660F">
      <w:pPr>
        <w:pStyle w:val="Nadpis2"/>
      </w:pPr>
      <w:bookmarkStart w:id="6" w:name="_Toc441759831"/>
      <w:r w:rsidRPr="00ED38E9">
        <w:t>Vyhodnocení nákladů a přínosů</w:t>
      </w:r>
      <w:bookmarkEnd w:id="6"/>
    </w:p>
    <w:p w:rsidR="006468A1" w:rsidRPr="00ED38E9" w:rsidRDefault="006468A1" w:rsidP="005D660F">
      <w:pPr>
        <w:pStyle w:val="Nadpis3"/>
      </w:pPr>
      <w:r w:rsidRPr="00ED38E9">
        <w:t>Identifikace nákladů a přínosů</w:t>
      </w:r>
    </w:p>
    <w:p w:rsidR="006468A1" w:rsidRPr="00ED38E9" w:rsidRDefault="00747098" w:rsidP="00783869">
      <w:pPr>
        <w:rPr>
          <w:rFonts w:cs="Arial"/>
        </w:rPr>
      </w:pPr>
      <w:r w:rsidRPr="00ED38E9">
        <w:rPr>
          <w:rFonts w:cs="Arial"/>
        </w:rPr>
        <w:t xml:space="preserve">Z pohledu přínosů </w:t>
      </w:r>
      <w:r w:rsidR="002B5D43" w:rsidRPr="00ED38E9">
        <w:rPr>
          <w:rFonts w:cs="Arial"/>
        </w:rPr>
        <w:t xml:space="preserve">se </w:t>
      </w:r>
      <w:r w:rsidRPr="00ED38E9">
        <w:rPr>
          <w:rFonts w:cs="Arial"/>
        </w:rPr>
        <w:t xml:space="preserve">uvedené varianty </w:t>
      </w:r>
      <w:r w:rsidR="002B5D43" w:rsidRPr="00ED38E9">
        <w:rPr>
          <w:rFonts w:cs="Arial"/>
        </w:rPr>
        <w:t>významně neliší</w:t>
      </w:r>
      <w:r w:rsidRPr="00ED38E9">
        <w:rPr>
          <w:rFonts w:cs="Arial"/>
        </w:rPr>
        <w:t xml:space="preserve">, pouze u Varianty 1 a 2 jako </w:t>
      </w:r>
      <w:r w:rsidR="002B5D43" w:rsidRPr="00ED38E9">
        <w:rPr>
          <w:rFonts w:cs="Arial"/>
        </w:rPr>
        <w:t>p</w:t>
      </w:r>
      <w:r w:rsidRPr="00ED38E9">
        <w:rPr>
          <w:rFonts w:cs="Arial"/>
        </w:rPr>
        <w:t>řínos označujeme lepší možnosti dohledu nad danými komoditami. Základní odlišnosti v uvedených variantách ale shledáváme zejména v nákladech, které jsou spojené s:</w:t>
      </w:r>
    </w:p>
    <w:p w:rsidR="00747098" w:rsidRPr="00ED38E9" w:rsidRDefault="00747098" w:rsidP="002D66F0">
      <w:pPr>
        <w:pStyle w:val="Odstavecseseznamem"/>
        <w:numPr>
          <w:ilvl w:val="0"/>
          <w:numId w:val="90"/>
        </w:numPr>
        <w:rPr>
          <w:rFonts w:cs="Arial"/>
        </w:rPr>
      </w:pPr>
      <w:r w:rsidRPr="00ED38E9">
        <w:rPr>
          <w:rFonts w:cs="Arial"/>
        </w:rPr>
        <w:t xml:space="preserve">žádostí o udělení souhlasu k provozování zařízení k využívání, odstraňování, sběru nebo výkupu odpadů, </w:t>
      </w:r>
    </w:p>
    <w:p w:rsidR="00747098" w:rsidRPr="00ED38E9" w:rsidRDefault="00747098" w:rsidP="002D66F0">
      <w:pPr>
        <w:pStyle w:val="Odstavecseseznamem"/>
        <w:numPr>
          <w:ilvl w:val="0"/>
          <w:numId w:val="90"/>
        </w:numPr>
        <w:rPr>
          <w:rFonts w:cs="Arial"/>
        </w:rPr>
      </w:pPr>
      <w:r w:rsidRPr="00ED38E9">
        <w:rPr>
          <w:rFonts w:cs="Arial"/>
        </w:rPr>
        <w:t>s průběžnou evidencí a ohlašováním,</w:t>
      </w:r>
    </w:p>
    <w:p w:rsidR="00747098" w:rsidRPr="00ED38E9" w:rsidRDefault="00747098" w:rsidP="002D66F0">
      <w:pPr>
        <w:pStyle w:val="Odstavecseseznamem"/>
        <w:numPr>
          <w:ilvl w:val="0"/>
          <w:numId w:val="90"/>
        </w:numPr>
        <w:rPr>
          <w:rFonts w:cs="Arial"/>
        </w:rPr>
      </w:pPr>
      <w:r w:rsidRPr="00ED38E9">
        <w:rPr>
          <w:rFonts w:cs="Arial"/>
        </w:rPr>
        <w:t>s evidencí při přepravě odpadů.</w:t>
      </w:r>
    </w:p>
    <w:p w:rsidR="00242C3C" w:rsidRPr="00ED38E9" w:rsidRDefault="00242C3C" w:rsidP="002D66F0">
      <w:pPr>
        <w:keepNext/>
        <w:numPr>
          <w:ilvl w:val="0"/>
          <w:numId w:val="53"/>
        </w:numPr>
        <w:spacing w:before="240" w:after="120"/>
        <w:rPr>
          <w:rFonts w:cs="Arial"/>
          <w:bCs/>
          <w:noProof w:val="0"/>
        </w:rPr>
      </w:pPr>
      <w:r w:rsidRPr="00ED38E9">
        <w:rPr>
          <w:rFonts w:cs="Arial"/>
          <w:noProof w:val="0"/>
          <w:lang w:bidi="ar-SA"/>
        </w:rPr>
        <w:t>Varianta</w:t>
      </w:r>
      <w:r w:rsidRPr="00ED38E9">
        <w:rPr>
          <w:rFonts w:cs="Arial"/>
          <w:bCs/>
          <w:noProof w:val="0"/>
        </w:rPr>
        <w:t xml:space="preserve"> 0</w:t>
      </w:r>
    </w:p>
    <w:p w:rsidR="00242C3C" w:rsidRPr="00ED38E9" w:rsidRDefault="00242C3C" w:rsidP="00783869">
      <w:pPr>
        <w:pStyle w:val="Normlntun"/>
        <w:rPr>
          <w:rFonts w:cs="Arial"/>
          <w:sz w:val="20"/>
        </w:rPr>
      </w:pPr>
      <w:r w:rsidRPr="00ED38E9">
        <w:rPr>
          <w:rFonts w:cs="Arial"/>
          <w:sz w:val="20"/>
        </w:rPr>
        <w:t>Dopady na státní rozpočet a ostatní veřejné rozpočty</w:t>
      </w:r>
    </w:p>
    <w:p w:rsidR="009829B0" w:rsidRPr="00ED38E9" w:rsidRDefault="009829B0" w:rsidP="00783869">
      <w:pPr>
        <w:rPr>
          <w:rFonts w:cs="Arial"/>
        </w:rPr>
      </w:pPr>
      <w:r w:rsidRPr="00ED38E9">
        <w:rPr>
          <w:rFonts w:cs="Arial"/>
        </w:rPr>
        <w:t>Současný stav nepředstavuje dopady na státní rozpočet a ostatní veřejné rozpočty.</w:t>
      </w:r>
    </w:p>
    <w:p w:rsidR="009829B0" w:rsidRPr="00621B3E" w:rsidRDefault="009829B0" w:rsidP="00783869">
      <w:pPr>
        <w:pStyle w:val="Normlntun"/>
        <w:rPr>
          <w:rFonts w:cs="Arial"/>
          <w:sz w:val="20"/>
        </w:rPr>
      </w:pPr>
      <w:r w:rsidRPr="00621B3E">
        <w:rPr>
          <w:rFonts w:cs="Arial"/>
          <w:sz w:val="20"/>
        </w:rPr>
        <w:t xml:space="preserve">Dopady na </w:t>
      </w:r>
      <w:r w:rsidR="002B3F84" w:rsidRPr="006F5445">
        <w:rPr>
          <w:rFonts w:cs="Arial"/>
          <w:sz w:val="20"/>
        </w:rPr>
        <w:t>podnikatelské subjekty</w:t>
      </w:r>
    </w:p>
    <w:p w:rsidR="00747098" w:rsidRPr="00A64F41" w:rsidRDefault="009829B0" w:rsidP="002D66F0">
      <w:pPr>
        <w:pStyle w:val="Normlntun"/>
        <w:numPr>
          <w:ilvl w:val="0"/>
          <w:numId w:val="92"/>
        </w:numPr>
        <w:rPr>
          <w:rFonts w:cs="Arial"/>
          <w:szCs w:val="22"/>
        </w:rPr>
      </w:pPr>
      <w:r w:rsidRPr="00621B3E">
        <w:rPr>
          <w:rFonts w:cs="Arial"/>
          <w:szCs w:val="22"/>
        </w:rPr>
        <w:t>Ž</w:t>
      </w:r>
      <w:r w:rsidR="002B3F84" w:rsidRPr="006F5445">
        <w:rPr>
          <w:rFonts w:cs="Arial"/>
          <w:szCs w:val="22"/>
        </w:rPr>
        <w:t>ádost o udělení souhlasu</w:t>
      </w:r>
      <w:r w:rsidR="00242C3C" w:rsidRPr="00621B3E">
        <w:rPr>
          <w:rFonts w:cs="Arial"/>
          <w:szCs w:val="22"/>
        </w:rPr>
        <w:t xml:space="preserve"> k provozování zařízení ke sběru odpadů</w:t>
      </w:r>
    </w:p>
    <w:p w:rsidR="00242C3C" w:rsidRPr="00ED38E9" w:rsidRDefault="00242C3C" w:rsidP="00783869">
      <w:pPr>
        <w:rPr>
          <w:rFonts w:cs="Arial"/>
        </w:rPr>
      </w:pPr>
      <w:r w:rsidRPr="00ED38E9">
        <w:rPr>
          <w:rFonts w:cs="Arial"/>
        </w:rPr>
        <w:t xml:space="preserve">U této varianty nejsou žádné </w:t>
      </w:r>
      <w:r w:rsidR="009829B0" w:rsidRPr="00ED38E9">
        <w:rPr>
          <w:rFonts w:cs="Arial"/>
        </w:rPr>
        <w:t>náklady, protože sběrná místa nežádají o souhlas ke sběru odpadů dle zákona o odpadech.</w:t>
      </w:r>
    </w:p>
    <w:p w:rsidR="009829B0" w:rsidRPr="00ED38E9" w:rsidRDefault="009829B0" w:rsidP="002D66F0">
      <w:pPr>
        <w:pStyle w:val="Normlntun"/>
        <w:numPr>
          <w:ilvl w:val="0"/>
          <w:numId w:val="92"/>
        </w:numPr>
        <w:rPr>
          <w:rFonts w:cs="Arial"/>
        </w:rPr>
      </w:pPr>
      <w:r w:rsidRPr="00ED38E9">
        <w:rPr>
          <w:rFonts w:cs="Arial"/>
        </w:rPr>
        <w:t>Průběžná evidence, roční hlášení</w:t>
      </w:r>
    </w:p>
    <w:p w:rsidR="009829B0" w:rsidRPr="00ED38E9" w:rsidRDefault="009829B0" w:rsidP="00783869">
      <w:pPr>
        <w:rPr>
          <w:rFonts w:cs="Arial"/>
        </w:rPr>
      </w:pPr>
      <w:r w:rsidRPr="00ED38E9">
        <w:rPr>
          <w:rFonts w:cs="Arial"/>
        </w:rPr>
        <w:t xml:space="preserve">Sběrná místa nemusí vést průběžnou evidenci. Většinou ji ale vedou, aby </w:t>
      </w:r>
      <w:r w:rsidR="002B5D43" w:rsidRPr="00ED38E9">
        <w:rPr>
          <w:rFonts w:cs="Arial"/>
        </w:rPr>
        <w:t xml:space="preserve">měla </w:t>
      </w:r>
      <w:r w:rsidRPr="00ED38E9">
        <w:rPr>
          <w:rFonts w:cs="Arial"/>
        </w:rPr>
        <w:t>přehled o</w:t>
      </w:r>
      <w:r w:rsidR="008C475D" w:rsidRPr="00ED38E9">
        <w:rPr>
          <w:rFonts w:cs="Arial"/>
        </w:rPr>
        <w:t> </w:t>
      </w:r>
      <w:r w:rsidRPr="00ED38E9">
        <w:rPr>
          <w:rFonts w:cs="Arial"/>
        </w:rPr>
        <w:t>naplněnosti sběrných nádob, kontejnerů či skladů</w:t>
      </w:r>
      <w:r w:rsidR="002B5D43" w:rsidRPr="00ED38E9">
        <w:rPr>
          <w:rFonts w:cs="Arial"/>
        </w:rPr>
        <w:t>,</w:t>
      </w:r>
      <w:r w:rsidRPr="00ED38E9">
        <w:rPr>
          <w:rFonts w:cs="Arial"/>
        </w:rPr>
        <w:t xml:space="preserve"> a mohl</w:t>
      </w:r>
      <w:r w:rsidR="002B5D43" w:rsidRPr="00ED38E9">
        <w:rPr>
          <w:rFonts w:cs="Arial"/>
        </w:rPr>
        <w:t>a</w:t>
      </w:r>
      <w:r w:rsidRPr="00ED38E9">
        <w:rPr>
          <w:rFonts w:cs="Arial"/>
        </w:rPr>
        <w:t xml:space="preserve"> pak včas objednat svoz. Doklad o převzetí </w:t>
      </w:r>
      <w:r w:rsidR="008C475D" w:rsidRPr="00ED38E9">
        <w:rPr>
          <w:rFonts w:cs="Arial"/>
        </w:rPr>
        <w:t>předávají u některých komodit pouze právnickým osobám, případně fyzickým osobám a na vyžádání.</w:t>
      </w:r>
    </w:p>
    <w:p w:rsidR="009829B0" w:rsidRPr="00ED38E9" w:rsidRDefault="009829B0" w:rsidP="002D66F0">
      <w:pPr>
        <w:pStyle w:val="Normlntun"/>
        <w:numPr>
          <w:ilvl w:val="0"/>
          <w:numId w:val="92"/>
        </w:numPr>
        <w:ind w:left="714" w:hanging="357"/>
        <w:rPr>
          <w:rFonts w:cs="Arial"/>
        </w:rPr>
      </w:pPr>
      <w:r w:rsidRPr="00ED38E9">
        <w:rPr>
          <w:rFonts w:cs="Arial"/>
        </w:rPr>
        <w:t>Evidence při přepravě odpadů</w:t>
      </w:r>
    </w:p>
    <w:p w:rsidR="008C475D" w:rsidRPr="00ED38E9" w:rsidRDefault="008C475D" w:rsidP="00783869">
      <w:pPr>
        <w:rPr>
          <w:rFonts w:cs="Arial"/>
        </w:rPr>
      </w:pPr>
      <w:r w:rsidRPr="00ED38E9">
        <w:rPr>
          <w:rFonts w:cs="Arial"/>
        </w:rPr>
        <w:t>Systém svozu probíhá na základě dohod či smluv s kolektivním systémem či jiným subjektem. Svoz je pak realizován na základě telefonické žádosti nebo nahlášení objemu prostřednictvím elektronického systému. Při samotném odvozu pak probíhá jednoduchá administrativa a následně svozová firma dodatečně dodá doklady o skutečném množství výrobků s ukončenou životností, které převzala, protože se jedná o údaj hmotnostní, který lze zjistit po</w:t>
      </w:r>
      <w:r w:rsidR="002B5D43" w:rsidRPr="00ED38E9">
        <w:rPr>
          <w:rFonts w:cs="Arial"/>
        </w:rPr>
        <w:t>u</w:t>
      </w:r>
      <w:r w:rsidRPr="00ED38E9">
        <w:rPr>
          <w:rFonts w:cs="Arial"/>
        </w:rPr>
        <w:t>ze zvážením vozidla. Vozidla převážející výrobky s ukončenou životností nemusí být označena.</w:t>
      </w:r>
    </w:p>
    <w:p w:rsidR="008C475D" w:rsidRPr="00ED38E9" w:rsidRDefault="008C475D" w:rsidP="00783869">
      <w:pPr>
        <w:pStyle w:val="Normlntun"/>
        <w:rPr>
          <w:rFonts w:cs="Arial"/>
        </w:rPr>
      </w:pPr>
      <w:r w:rsidRPr="00ED38E9">
        <w:rPr>
          <w:rFonts w:cs="Arial"/>
        </w:rPr>
        <w:lastRenderedPageBreak/>
        <w:t>Dopady na územní samosprávné celky (obce, kraje)</w:t>
      </w:r>
    </w:p>
    <w:p w:rsidR="008C475D" w:rsidRPr="00ED38E9" w:rsidRDefault="008C475D" w:rsidP="00783869">
      <w:pPr>
        <w:rPr>
          <w:rFonts w:cs="Arial"/>
        </w:rPr>
      </w:pPr>
      <w:r w:rsidRPr="00ED38E9">
        <w:rPr>
          <w:rFonts w:cs="Arial"/>
        </w:rPr>
        <w:t>Současný stav představuje pouze dopady na obce</w:t>
      </w:r>
      <w:r w:rsidR="004673B1" w:rsidRPr="00ED38E9">
        <w:rPr>
          <w:rFonts w:cs="Arial"/>
        </w:rPr>
        <w:t xml:space="preserve"> a kraje</w:t>
      </w:r>
      <w:r w:rsidRPr="00ED38E9">
        <w:rPr>
          <w:rFonts w:cs="Arial"/>
        </w:rPr>
        <w:t>, které jsou</w:t>
      </w:r>
      <w:r w:rsidR="004673B1" w:rsidRPr="00ED38E9">
        <w:rPr>
          <w:rFonts w:cs="Arial"/>
        </w:rPr>
        <w:t xml:space="preserve"> provozovatelem zařízení, které provozuje místo</w:t>
      </w:r>
      <w:r w:rsidRPr="00ED38E9">
        <w:rPr>
          <w:rFonts w:cs="Arial"/>
        </w:rPr>
        <w:t xml:space="preserve"> zpětného odběru (například sběrný dvůr ve vlastnictví obce)</w:t>
      </w:r>
      <w:r w:rsidR="002B5D43" w:rsidRPr="00ED38E9">
        <w:rPr>
          <w:rFonts w:cs="Arial"/>
        </w:rPr>
        <w:t>.</w:t>
      </w:r>
      <w:r w:rsidRPr="00ED38E9">
        <w:rPr>
          <w:rFonts w:cs="Arial"/>
        </w:rPr>
        <w:t xml:space="preserve"> </w:t>
      </w:r>
      <w:r w:rsidR="002B5D43" w:rsidRPr="00ED38E9">
        <w:rPr>
          <w:rFonts w:cs="Arial"/>
        </w:rPr>
        <w:t>N</w:t>
      </w:r>
      <w:r w:rsidRPr="00ED38E9">
        <w:rPr>
          <w:rFonts w:cs="Arial"/>
        </w:rPr>
        <w:t xml:space="preserve">áklady </w:t>
      </w:r>
      <w:r w:rsidR="002B5D43" w:rsidRPr="00ED38E9">
        <w:rPr>
          <w:rFonts w:cs="Arial"/>
        </w:rPr>
        <w:t xml:space="preserve">jsou </w:t>
      </w:r>
      <w:r w:rsidRPr="00ED38E9">
        <w:rPr>
          <w:rFonts w:cs="Arial"/>
        </w:rPr>
        <w:t xml:space="preserve">srovnatelné s náklady podnikatelských subjetků </w:t>
      </w:r>
      <w:r w:rsidR="002B5D43" w:rsidRPr="00ED38E9">
        <w:rPr>
          <w:rFonts w:cs="Arial"/>
        </w:rPr>
        <w:t xml:space="preserve">uvedenými </w:t>
      </w:r>
      <w:r w:rsidRPr="00ED38E9">
        <w:rPr>
          <w:rFonts w:cs="Arial"/>
        </w:rPr>
        <w:t>výše.</w:t>
      </w:r>
    </w:p>
    <w:p w:rsidR="008C475D" w:rsidRPr="00ED38E9" w:rsidRDefault="008C475D" w:rsidP="00783869">
      <w:pPr>
        <w:pStyle w:val="Normlntun"/>
        <w:rPr>
          <w:rFonts w:cs="Arial"/>
        </w:rPr>
      </w:pPr>
      <w:r w:rsidRPr="00ED38E9">
        <w:rPr>
          <w:rFonts w:cs="Arial"/>
        </w:rPr>
        <w:t>Sociální dopady</w:t>
      </w:r>
    </w:p>
    <w:p w:rsidR="008C475D" w:rsidRPr="00ED38E9" w:rsidRDefault="008C475D" w:rsidP="00783869">
      <w:pPr>
        <w:rPr>
          <w:rFonts w:cs="Arial"/>
        </w:rPr>
      </w:pPr>
      <w:r w:rsidRPr="00ED38E9">
        <w:rPr>
          <w:rFonts w:cs="Arial"/>
        </w:rPr>
        <w:t>Současný stav nepředstavuje dopady na sociální oblast.</w:t>
      </w:r>
    </w:p>
    <w:p w:rsidR="008C475D" w:rsidRPr="00ED38E9" w:rsidRDefault="008C475D" w:rsidP="00783869">
      <w:pPr>
        <w:pStyle w:val="Normlntun"/>
        <w:rPr>
          <w:rFonts w:cs="Arial"/>
        </w:rPr>
      </w:pPr>
      <w:r w:rsidRPr="00ED38E9">
        <w:rPr>
          <w:rFonts w:cs="Arial"/>
        </w:rPr>
        <w:t>Dopady na životní prostředí</w:t>
      </w:r>
    </w:p>
    <w:p w:rsidR="008C475D" w:rsidRPr="00ED38E9" w:rsidRDefault="00CF4734" w:rsidP="00783869">
      <w:pPr>
        <w:rPr>
          <w:rFonts w:cs="Arial"/>
        </w:rPr>
      </w:pPr>
      <w:r w:rsidRPr="00ED38E9">
        <w:rPr>
          <w:rFonts w:cs="Arial"/>
        </w:rPr>
        <w:t>V případě, že se na místa zpětného odběru výrobků nevz</w:t>
      </w:r>
      <w:r w:rsidR="002B5D43" w:rsidRPr="00ED38E9">
        <w:rPr>
          <w:rFonts w:cs="Arial"/>
        </w:rPr>
        <w:t>t</w:t>
      </w:r>
      <w:r w:rsidRPr="00ED38E9">
        <w:rPr>
          <w:rFonts w:cs="Arial"/>
        </w:rPr>
        <w:t>ahují povinnosti dle zákona o odpadech, tak není možné případná problémová místa kontrolovat a zamezit tím riziku ohrožení životního prostředí a velmi vysokých nákladů spojených s případnými ekologickými zátěžemi, které bez dostatečné kontroly mohou vzniknout.</w:t>
      </w:r>
    </w:p>
    <w:p w:rsidR="0044305E" w:rsidRPr="00ED38E9" w:rsidRDefault="004C3E42" w:rsidP="002D66F0">
      <w:pPr>
        <w:keepNext/>
        <w:numPr>
          <w:ilvl w:val="0"/>
          <w:numId w:val="53"/>
        </w:numPr>
        <w:spacing w:before="240" w:after="120"/>
        <w:rPr>
          <w:rFonts w:cs="Arial"/>
        </w:rPr>
      </w:pPr>
      <w:r w:rsidRPr="00ED38E9">
        <w:rPr>
          <w:rFonts w:cs="Arial"/>
        </w:rPr>
        <w:t>Varianta 1</w:t>
      </w:r>
    </w:p>
    <w:p w:rsidR="004C3E42" w:rsidRPr="00ED38E9" w:rsidRDefault="004C3E42" w:rsidP="00783869">
      <w:pPr>
        <w:pStyle w:val="Normlntun"/>
        <w:rPr>
          <w:rFonts w:cs="Arial"/>
        </w:rPr>
      </w:pPr>
      <w:r w:rsidRPr="00ED38E9">
        <w:rPr>
          <w:rFonts w:cs="Arial"/>
        </w:rPr>
        <w:t>Dopady na státní rozpočet a ostatní veřejné rozpočty</w:t>
      </w:r>
    </w:p>
    <w:p w:rsidR="004C3E42" w:rsidRPr="00ED38E9" w:rsidRDefault="004C3E42" w:rsidP="00783869">
      <w:pPr>
        <w:rPr>
          <w:rFonts w:cs="Arial"/>
        </w:rPr>
      </w:pPr>
      <w:r w:rsidRPr="00ED38E9">
        <w:rPr>
          <w:rFonts w:cs="Arial"/>
        </w:rPr>
        <w:t xml:space="preserve">Zavedení určitých povinností místům zpětného odběru a tím možnosti kontrolní činnosti ze strany kontrolních orgánů (ministerstvo, ČIŽP?) můžeme očekávat, že tato kontrolní činnost bude prováděna. Předpokládáme však, že veškerá činnost bude řešena </w:t>
      </w:r>
      <w:r w:rsidR="00F53878" w:rsidRPr="00ED38E9">
        <w:rPr>
          <w:rFonts w:cs="Arial"/>
        </w:rPr>
        <w:t>v rámci současné pracovní činnosti daných subjektů a nebude vyžadovat navýšení finančních prostředků na výkon státní správy.</w:t>
      </w:r>
    </w:p>
    <w:p w:rsidR="004C3E42" w:rsidRPr="00ED38E9" w:rsidRDefault="004673B1" w:rsidP="00783869">
      <w:pPr>
        <w:pStyle w:val="Normlntun"/>
        <w:rPr>
          <w:rFonts w:cs="Arial"/>
        </w:rPr>
      </w:pPr>
      <w:r w:rsidRPr="00ED38E9">
        <w:rPr>
          <w:rFonts w:cs="Arial"/>
        </w:rPr>
        <w:t>Dopady na podnikatelské subjekty</w:t>
      </w:r>
    </w:p>
    <w:p w:rsidR="00735FE3" w:rsidRPr="00ED38E9" w:rsidRDefault="00735FE3" w:rsidP="002D66F0">
      <w:pPr>
        <w:pStyle w:val="Normlntun"/>
        <w:numPr>
          <w:ilvl w:val="0"/>
          <w:numId w:val="93"/>
        </w:numPr>
        <w:rPr>
          <w:rFonts w:cs="Arial"/>
        </w:rPr>
      </w:pPr>
      <w:r w:rsidRPr="00ED38E9">
        <w:rPr>
          <w:rFonts w:cs="Arial"/>
        </w:rPr>
        <w:t>Žádost o udělení souhlasu k provozování zařízení ke sběru odpadů</w:t>
      </w:r>
    </w:p>
    <w:p w:rsidR="00B74989" w:rsidRPr="00ED38E9" w:rsidRDefault="00B74989" w:rsidP="00B74989">
      <w:pPr>
        <w:spacing w:before="120"/>
        <w:rPr>
          <w:rFonts w:cs="Arial"/>
        </w:rPr>
      </w:pPr>
      <w:r w:rsidRPr="00ED38E9">
        <w:rPr>
          <w:rFonts w:cs="Arial"/>
        </w:rPr>
        <w:t>V případě, že by o souhlas dle § 14 zákona o odpadech měly žádat všechny subjekty, které budou zapojeny do zpětného odběru, tak je jedná o velký počet subjektů, protože evidujeme počet míst zpětného odběru:</w:t>
      </w:r>
    </w:p>
    <w:p w:rsidR="00B74989" w:rsidRPr="00ED38E9" w:rsidRDefault="00B74989" w:rsidP="002D66F0">
      <w:pPr>
        <w:pStyle w:val="Odstavecseseznamem"/>
        <w:numPr>
          <w:ilvl w:val="0"/>
          <w:numId w:val="91"/>
        </w:numPr>
        <w:spacing w:before="120"/>
        <w:rPr>
          <w:rFonts w:cs="Arial"/>
        </w:rPr>
      </w:pPr>
      <w:r w:rsidRPr="00ED38E9">
        <w:rPr>
          <w:rFonts w:cs="Arial"/>
        </w:rPr>
        <w:t>odpadní pneumatiky - cca 5 500 subjektů,</w:t>
      </w:r>
    </w:p>
    <w:p w:rsidR="00B74989" w:rsidRPr="00ED38E9" w:rsidRDefault="00B74989" w:rsidP="002D66F0">
      <w:pPr>
        <w:pStyle w:val="Odstavecseseznamem"/>
        <w:numPr>
          <w:ilvl w:val="0"/>
          <w:numId w:val="91"/>
        </w:numPr>
        <w:spacing w:before="120"/>
        <w:rPr>
          <w:rFonts w:cs="Arial"/>
        </w:rPr>
      </w:pPr>
      <w:r w:rsidRPr="00ED38E9">
        <w:rPr>
          <w:rFonts w:cs="Arial"/>
        </w:rPr>
        <w:t>baterie a akumulátory - cca 23 300 subjektů,</w:t>
      </w:r>
    </w:p>
    <w:p w:rsidR="00B74989" w:rsidRPr="00ED38E9" w:rsidRDefault="00B74989" w:rsidP="002D66F0">
      <w:pPr>
        <w:pStyle w:val="Odstavecseseznamem"/>
        <w:numPr>
          <w:ilvl w:val="0"/>
          <w:numId w:val="91"/>
        </w:numPr>
        <w:spacing w:before="120"/>
        <w:rPr>
          <w:rFonts w:cs="Arial"/>
        </w:rPr>
      </w:pPr>
      <w:r w:rsidRPr="00ED38E9">
        <w:rPr>
          <w:rFonts w:cs="Arial"/>
        </w:rPr>
        <w:t>elektrozařízení - cca 27 315 subjektů.</w:t>
      </w:r>
    </w:p>
    <w:p w:rsidR="00B74989" w:rsidRPr="00ED38E9" w:rsidRDefault="00B74989" w:rsidP="00B74989">
      <w:pPr>
        <w:spacing w:before="120"/>
        <w:rPr>
          <w:rFonts w:cs="Arial"/>
        </w:rPr>
      </w:pPr>
      <w:r w:rsidRPr="00ED38E9">
        <w:rPr>
          <w:rFonts w:cs="Arial"/>
        </w:rPr>
        <w:t>Celkově odhadujeme, že by se povinnost žádat o souhlas dle § 14 zákona o odpadech mohla dotknout cca 35 tis. subjektů, protože většina míst zpětného oběru, kde je možné ponechat elektrozařízení,  slouží i jako místo zpětného odběru pro baterie a akumulátory (kontejnery, sběrné dvory, prodejci elektroniky apod.). Náklady na přípravu podkladů nejsme schopni přesně určit, ale časová náročnost na vytvoření dokumentace a předání krajskému úřadu je odhadována až na 40 hodin (pracovní týden) a dále pak cca 2 hodiny spojené s místním šetřením krajského úřadu na provozovně. Jedná se o hrubý odhad, který se může lišit dle velikosti subjektu, komunikace a dalších parametr</w:t>
      </w:r>
      <w:r w:rsidR="002B5D43" w:rsidRPr="00ED38E9">
        <w:rPr>
          <w:rFonts w:cs="Arial"/>
        </w:rPr>
        <w:t>ů</w:t>
      </w:r>
      <w:r w:rsidRPr="00ED38E9">
        <w:rPr>
          <w:rFonts w:cs="Arial"/>
        </w:rPr>
        <w:t>, které ovlivňují časovou náročnost.</w:t>
      </w:r>
      <w:r w:rsidR="005F41E2" w:rsidRPr="00ED38E9">
        <w:rPr>
          <w:rFonts w:cs="Arial"/>
        </w:rPr>
        <w:t xml:space="preserve"> Celkové náklady jsou pak odhadovány na cca 368 mil. Kč v prvním roce účinnosti zákona</w:t>
      </w:r>
      <w:r w:rsidR="0089277C">
        <w:rPr>
          <w:rFonts w:cs="Arial"/>
        </w:rPr>
        <w:t xml:space="preserve"> a </w:t>
      </w:r>
      <w:r w:rsidR="00F22629" w:rsidRPr="00ED38E9">
        <w:rPr>
          <w:rFonts w:cs="Arial"/>
        </w:rPr>
        <w:t>nejedná se o jednorázové náklady, protože souhlas může být udělen pouze na dobu určitou</w:t>
      </w:r>
      <w:r w:rsidR="005F41E2" w:rsidRPr="00ED38E9">
        <w:rPr>
          <w:rFonts w:cs="Arial"/>
        </w:rPr>
        <w:t xml:space="preserve"> (5 let).</w:t>
      </w:r>
    </w:p>
    <w:p w:rsidR="00B74989" w:rsidRPr="00ED38E9" w:rsidRDefault="00B74989">
      <w:pPr>
        <w:pStyle w:val="Titulek"/>
        <w:rPr>
          <w:rFonts w:cs="Arial"/>
        </w:rPr>
      </w:pPr>
      <w:r w:rsidRPr="00ED38E9">
        <w:rPr>
          <w:rFonts w:cs="Arial"/>
        </w:rPr>
        <w:lastRenderedPageBreak/>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w:t>
      </w:r>
      <w:r w:rsidR="00381FB7" w:rsidRPr="00ED38E9">
        <w:rPr>
          <w:rFonts w:cs="Arial"/>
        </w:rPr>
        <w:fldChar w:fldCharType="end"/>
      </w:r>
      <w:r w:rsidRPr="00ED38E9">
        <w:rPr>
          <w:rFonts w:cs="Arial"/>
        </w:rPr>
        <w:t>: Odhadované náklady provozovatelů sběrných míst</w:t>
      </w:r>
    </w:p>
    <w:p w:rsidR="00B74989" w:rsidRPr="00ED38E9" w:rsidRDefault="00B74989" w:rsidP="00B74989">
      <w:pPr>
        <w:spacing w:before="120"/>
        <w:rPr>
          <w:rFonts w:cs="Arial"/>
        </w:rPr>
      </w:pPr>
      <w:r w:rsidRPr="00ED38E9">
        <w:rPr>
          <w:rFonts w:cs="Arial"/>
          <w:lang w:eastAsia="cs-CZ" w:bidi="ar-SA"/>
        </w:rPr>
        <w:drawing>
          <wp:inline distT="0" distB="0" distL="0" distR="0" wp14:anchorId="220C58D9" wp14:editId="4EB94DFB">
            <wp:extent cx="3600000" cy="1726416"/>
            <wp:effectExtent l="0" t="0" r="635" b="762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1726416"/>
                    </a:xfrm>
                    <a:prstGeom prst="rect">
                      <a:avLst/>
                    </a:prstGeom>
                    <a:noFill/>
                    <a:ln>
                      <a:noFill/>
                    </a:ln>
                  </pic:spPr>
                </pic:pic>
              </a:graphicData>
            </a:graphic>
          </wp:inline>
        </w:drawing>
      </w:r>
      <w:r w:rsidRPr="00ED38E9">
        <w:rPr>
          <w:rFonts w:cs="Arial"/>
        </w:rPr>
        <w:t xml:space="preserve"> </w:t>
      </w:r>
    </w:p>
    <w:p w:rsidR="008501E6" w:rsidRPr="00ED38E9" w:rsidRDefault="008501E6" w:rsidP="002D66F0">
      <w:pPr>
        <w:pStyle w:val="Normlntun"/>
        <w:numPr>
          <w:ilvl w:val="0"/>
          <w:numId w:val="93"/>
        </w:numPr>
        <w:rPr>
          <w:rFonts w:cs="Arial"/>
        </w:rPr>
      </w:pPr>
      <w:r w:rsidRPr="00ED38E9">
        <w:rPr>
          <w:rFonts w:cs="Arial"/>
        </w:rPr>
        <w:t>Průběžná evidence, roční hlášení</w:t>
      </w:r>
    </w:p>
    <w:p w:rsidR="008501E6" w:rsidRPr="00ED38E9" w:rsidRDefault="00F22629" w:rsidP="00B74989">
      <w:pPr>
        <w:spacing w:before="120"/>
        <w:rPr>
          <w:rFonts w:cs="Arial"/>
        </w:rPr>
      </w:pPr>
      <w:r w:rsidRPr="00ED38E9">
        <w:rPr>
          <w:rFonts w:cs="Arial"/>
        </w:rPr>
        <w:t>U stanovení nákladů na průběžnou evidenci vycházíme z konzultací, které v minulosti proběhly a ze kterých vzešlo, že časová náročnost na odeslání a samotné vyplnění formuláře je odhadována na cca 30 minut</w:t>
      </w:r>
      <w:r w:rsidR="004F5364" w:rsidRPr="00ED38E9">
        <w:rPr>
          <w:rFonts w:cs="Arial"/>
        </w:rPr>
        <w:t>. Č</w:t>
      </w:r>
      <w:r w:rsidRPr="00ED38E9">
        <w:rPr>
          <w:rFonts w:cs="Arial"/>
        </w:rPr>
        <w:t>asová náročnost může být závislá také na využívaném softwaru</w:t>
      </w:r>
      <w:r w:rsidR="004F5364" w:rsidRPr="00ED38E9">
        <w:rPr>
          <w:rFonts w:cs="Arial"/>
        </w:rPr>
        <w:t>, jehož pořizovací cena se pohybuje v rozmezí cca 4,5–35 tis. Kč</w:t>
      </w:r>
      <w:r w:rsidR="002B5D43" w:rsidRPr="00ED38E9">
        <w:rPr>
          <w:rFonts w:cs="Arial"/>
        </w:rPr>
        <w:t xml:space="preserve"> </w:t>
      </w:r>
      <w:r w:rsidR="002B5D43" w:rsidRPr="00ED38E9">
        <w:rPr>
          <w:rFonts w:cs="Arial"/>
        </w:rPr>
        <w:br/>
      </w:r>
      <w:r w:rsidR="004F5364" w:rsidRPr="00ED38E9">
        <w:rPr>
          <w:rFonts w:cs="Arial"/>
        </w:rPr>
        <w:t>a systém je pak možné rozšířit o různé moduly, jejichž cena se pohybuje od 920 Kč do 4 950 Kč (zdroj: Inisoft)</w:t>
      </w:r>
      <w:r w:rsidRPr="00ED38E9">
        <w:rPr>
          <w:rFonts w:cs="Arial"/>
        </w:rPr>
        <w:t xml:space="preserve">. Výrobci uvedli, že evidence zpětného odběru se může pohybovat v rozmezí 1–208 hodin ročně. Celkové náklady jsou pak při počtu cca 35 tis. subjektů odhadovány až na částku </w:t>
      </w:r>
      <w:r w:rsidR="003F3B54" w:rsidRPr="00ED38E9">
        <w:rPr>
          <w:rFonts w:cs="Arial"/>
        </w:rPr>
        <w:t xml:space="preserve">cca 1,8 mld. Kč v případě, že se za daných podmínek zapojí všechny subjekty. </w:t>
      </w:r>
    </w:p>
    <w:p w:rsidR="00F22629" w:rsidRPr="00ED38E9" w:rsidRDefault="00F22629">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2</w:t>
      </w:r>
      <w:r w:rsidR="00381FB7" w:rsidRPr="00ED38E9">
        <w:rPr>
          <w:rFonts w:cs="Arial"/>
        </w:rPr>
        <w:fldChar w:fldCharType="end"/>
      </w:r>
      <w:r w:rsidRPr="00ED38E9">
        <w:rPr>
          <w:rFonts w:cs="Arial"/>
        </w:rPr>
        <w:t>: Odhadované náklady na sběrná místa (evidence, zaslání roční zprávy)</w:t>
      </w:r>
    </w:p>
    <w:p w:rsidR="00F22629" w:rsidRPr="00ED38E9" w:rsidRDefault="008E6682" w:rsidP="00B74989">
      <w:pPr>
        <w:spacing w:before="120"/>
        <w:rPr>
          <w:rFonts w:cs="Arial"/>
        </w:rPr>
      </w:pPr>
      <w:r w:rsidRPr="006F5445">
        <w:rPr>
          <w:rFonts w:cs="Arial"/>
          <w:lang w:eastAsia="cs-CZ" w:bidi="ar-SA"/>
        </w:rPr>
        <w:drawing>
          <wp:inline distT="0" distB="0" distL="0" distR="0" wp14:anchorId="35F16529" wp14:editId="08C29A9C">
            <wp:extent cx="5761355" cy="17926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1792605"/>
                    </a:xfrm>
                    <a:prstGeom prst="rect">
                      <a:avLst/>
                    </a:prstGeom>
                    <a:noFill/>
                  </pic:spPr>
                </pic:pic>
              </a:graphicData>
            </a:graphic>
          </wp:inline>
        </w:drawing>
      </w:r>
    </w:p>
    <w:p w:rsidR="00517B1B" w:rsidRPr="00ED38E9" w:rsidRDefault="00517B1B" w:rsidP="002D66F0">
      <w:pPr>
        <w:pStyle w:val="Normlntun"/>
        <w:numPr>
          <w:ilvl w:val="0"/>
          <w:numId w:val="93"/>
        </w:numPr>
        <w:rPr>
          <w:rFonts w:cs="Arial"/>
        </w:rPr>
      </w:pPr>
      <w:r w:rsidRPr="00ED38E9">
        <w:rPr>
          <w:rFonts w:cs="Arial"/>
        </w:rPr>
        <w:t>Evidence při přepravě odpadů</w:t>
      </w:r>
    </w:p>
    <w:p w:rsidR="00517B1B" w:rsidRPr="00ED38E9" w:rsidRDefault="00517B1B" w:rsidP="00783869">
      <w:pPr>
        <w:rPr>
          <w:rFonts w:cs="Arial"/>
        </w:rPr>
      </w:pPr>
      <w:r w:rsidRPr="00ED38E9">
        <w:rPr>
          <w:rFonts w:cs="Arial"/>
        </w:rPr>
        <w:t>Evidence při přepravě výrobků s ukončenou životností v tzv. tv</w:t>
      </w:r>
      <w:r w:rsidR="00B752EC">
        <w:rPr>
          <w:rFonts w:cs="Arial"/>
        </w:rPr>
        <w:t>r</w:t>
      </w:r>
      <w:r w:rsidRPr="00ED38E9">
        <w:rPr>
          <w:rFonts w:cs="Arial"/>
        </w:rPr>
        <w:t>dém režimu je srovnatelná s evidencí, která v současné době již probíhá mezi některými místy zpětného odběru a svozovými společnostmi. Navýšení oproti současnému stavu je odhadováno cca ve výši 250–500 Kč na jedno vozidlo, protože je nutné zakoupit ADR tabulku A, která označuje vozidla převážející odpad.</w:t>
      </w:r>
    </w:p>
    <w:p w:rsidR="004673B1" w:rsidRPr="00ED38E9" w:rsidRDefault="004673B1" w:rsidP="00783869">
      <w:pPr>
        <w:pStyle w:val="Normlntun"/>
        <w:rPr>
          <w:rFonts w:cs="Arial"/>
        </w:rPr>
      </w:pPr>
      <w:r w:rsidRPr="00ED38E9">
        <w:rPr>
          <w:rFonts w:cs="Arial"/>
        </w:rPr>
        <w:t>Dopady na územní samosprávné celky (obce, kraje)</w:t>
      </w:r>
    </w:p>
    <w:p w:rsidR="004673B1" w:rsidRPr="00ED38E9" w:rsidRDefault="004673B1" w:rsidP="00783869">
      <w:pPr>
        <w:rPr>
          <w:rFonts w:cs="Arial"/>
        </w:rPr>
      </w:pPr>
      <w:r w:rsidRPr="00ED38E9">
        <w:rPr>
          <w:rFonts w:cs="Arial"/>
        </w:rPr>
        <w:t xml:space="preserve">Dopady na obce a kraje jsou v případě, že daný subjekt je vlastníkem či provozovatelem zařízení (úřad, škola, sběrný dvůr apd.), které provozuje </w:t>
      </w:r>
      <w:r w:rsidR="002B5D43" w:rsidRPr="00ED38E9">
        <w:rPr>
          <w:rFonts w:cs="Arial"/>
        </w:rPr>
        <w:t xml:space="preserve">jako </w:t>
      </w:r>
      <w:r w:rsidRPr="00ED38E9">
        <w:rPr>
          <w:rFonts w:cs="Arial"/>
        </w:rPr>
        <w:t>místo zpětného odběru</w:t>
      </w:r>
      <w:r w:rsidR="002B5D43" w:rsidRPr="00ED38E9">
        <w:rPr>
          <w:rFonts w:cs="Arial"/>
        </w:rPr>
        <w:t>,</w:t>
      </w:r>
      <w:r w:rsidRPr="00ED38E9">
        <w:rPr>
          <w:rFonts w:cs="Arial"/>
        </w:rPr>
        <w:t xml:space="preserve"> jsou popsány výše v kapitole týkající se dopadů na podnikatelské subjekty.</w:t>
      </w:r>
    </w:p>
    <w:p w:rsidR="00087235" w:rsidRPr="00ED38E9" w:rsidRDefault="00087235" w:rsidP="00783869">
      <w:pPr>
        <w:spacing w:before="120"/>
        <w:rPr>
          <w:rFonts w:cs="Arial"/>
        </w:rPr>
      </w:pPr>
      <w:r w:rsidRPr="00ED38E9">
        <w:rPr>
          <w:rFonts w:cs="Arial"/>
        </w:rPr>
        <w:lastRenderedPageBreak/>
        <w:t>Další dopady pak vznikají v souvislosti s udělením souhlasu k provozování zařízení ke sběru odpadů. Na základě komunikace s krajskými úřady vyplynulo, že časová náročnost je závislá na typu subjektu a dalších parametrech a pohybuje se v rozmezí cca 7–40 hodin čistého času (přijetí žádosti, zaevidování, vytvoření spisu a soupisu pro spis, prostudování podání, případné přerušení správního řízení - výzva k doplnění, prostudování doplnění, oznámení o zahájení řízení obci, na jejímž katastrálním území provoz je, místní šetření a vydání rozhodnutí</w:t>
      </w:r>
      <w:r w:rsidR="002B5D43" w:rsidRPr="00ED38E9">
        <w:rPr>
          <w:rFonts w:cs="Arial"/>
        </w:rPr>
        <w:t>)</w:t>
      </w:r>
      <w:r w:rsidRPr="00ED38E9">
        <w:rPr>
          <w:rFonts w:cs="Arial"/>
        </w:rPr>
        <w:t>.</w:t>
      </w:r>
      <w:r w:rsidR="005C475B" w:rsidRPr="00ED38E9">
        <w:rPr>
          <w:rFonts w:cs="Arial"/>
        </w:rPr>
        <w:t xml:space="preserve"> V případě, že by o tento souhlas měly žádat všechny subjekty, které budou zapojeny do zpětného odběru, tak je jedná o velký počet subjektů</w:t>
      </w:r>
      <w:r w:rsidR="00E96639" w:rsidRPr="00ED38E9">
        <w:rPr>
          <w:rFonts w:cs="Arial"/>
        </w:rPr>
        <w:t>, protože evidujeme počet míst zpětného odběru</w:t>
      </w:r>
      <w:r w:rsidR="005C475B" w:rsidRPr="00ED38E9">
        <w:rPr>
          <w:rFonts w:cs="Arial"/>
        </w:rPr>
        <w:t>:</w:t>
      </w:r>
    </w:p>
    <w:p w:rsidR="005C475B" w:rsidRPr="00ED38E9" w:rsidRDefault="005C475B" w:rsidP="002D66F0">
      <w:pPr>
        <w:pStyle w:val="Odstavecseseznamem"/>
        <w:numPr>
          <w:ilvl w:val="0"/>
          <w:numId w:val="91"/>
        </w:numPr>
        <w:spacing w:before="120"/>
        <w:rPr>
          <w:rFonts w:cs="Arial"/>
        </w:rPr>
      </w:pPr>
      <w:r w:rsidRPr="00ED38E9">
        <w:rPr>
          <w:rFonts w:cs="Arial"/>
        </w:rPr>
        <w:t>odpadní pneumatiky - cca 5 500 subjektů,</w:t>
      </w:r>
    </w:p>
    <w:p w:rsidR="005C475B" w:rsidRPr="00ED38E9" w:rsidRDefault="005C475B" w:rsidP="002D66F0">
      <w:pPr>
        <w:pStyle w:val="Odstavecseseznamem"/>
        <w:numPr>
          <w:ilvl w:val="0"/>
          <w:numId w:val="91"/>
        </w:numPr>
        <w:spacing w:before="120"/>
        <w:rPr>
          <w:rFonts w:cs="Arial"/>
        </w:rPr>
      </w:pPr>
      <w:r w:rsidRPr="00ED38E9">
        <w:rPr>
          <w:rFonts w:cs="Arial"/>
        </w:rPr>
        <w:t>baterie a akumulátory - cca 23 300 subjektů,</w:t>
      </w:r>
    </w:p>
    <w:p w:rsidR="005C475B" w:rsidRPr="00ED38E9" w:rsidRDefault="005C475B" w:rsidP="002D66F0">
      <w:pPr>
        <w:pStyle w:val="Odstavecseseznamem"/>
        <w:numPr>
          <w:ilvl w:val="0"/>
          <w:numId w:val="91"/>
        </w:numPr>
        <w:spacing w:before="120"/>
        <w:rPr>
          <w:rFonts w:cs="Arial"/>
        </w:rPr>
      </w:pPr>
      <w:r w:rsidRPr="00ED38E9">
        <w:rPr>
          <w:rFonts w:cs="Arial"/>
        </w:rPr>
        <w:t xml:space="preserve">elektrozařízení </w:t>
      </w:r>
      <w:r w:rsidR="00382DA3" w:rsidRPr="00ED38E9">
        <w:rPr>
          <w:rFonts w:cs="Arial"/>
        </w:rPr>
        <w:t>- cca 27 315 subjektů</w:t>
      </w:r>
      <w:r w:rsidR="001E0D8B" w:rsidRPr="00ED38E9">
        <w:rPr>
          <w:rFonts w:cs="Arial"/>
        </w:rPr>
        <w:t>.</w:t>
      </w:r>
    </w:p>
    <w:p w:rsidR="00E96639" w:rsidRPr="00ED38E9" w:rsidRDefault="00E96639" w:rsidP="00783869">
      <w:pPr>
        <w:spacing w:before="120"/>
        <w:rPr>
          <w:rFonts w:cs="Arial"/>
        </w:rPr>
      </w:pPr>
      <w:r w:rsidRPr="00ED38E9">
        <w:rPr>
          <w:rFonts w:cs="Arial"/>
        </w:rPr>
        <w:t>Celkově odhadujeme, že by se povinnost žádat o souhlas dle § 14 zákona o odpadech mohla dotknout cca 35 tis. subjektů, protože většina míst zpětného oběru, kde je možné ponechat elektrozařízení, slouží i jako místo zpětného odběru pro baterie a akumulátory (kontejnery, sběrné dvory, prodejci elektroniky apod.)</w:t>
      </w:r>
      <w:r w:rsidR="003B3CAF" w:rsidRPr="00ED38E9">
        <w:rPr>
          <w:rFonts w:cs="Arial"/>
        </w:rPr>
        <w:t>. V daném případě se náklady na výkon státní správy budou pohybovat v rozmezí cca 81–462 mil. Kč</w:t>
      </w:r>
      <w:r w:rsidR="00B74989" w:rsidRPr="00ED38E9">
        <w:rPr>
          <w:rFonts w:cs="Arial"/>
        </w:rPr>
        <w:t xml:space="preserve"> v prvním roce účinnosti. </w:t>
      </w:r>
    </w:p>
    <w:p w:rsidR="00AD267D" w:rsidRPr="00ED38E9" w:rsidRDefault="00AD267D">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3</w:t>
      </w:r>
      <w:r w:rsidR="00381FB7" w:rsidRPr="00ED38E9">
        <w:rPr>
          <w:rFonts w:cs="Arial"/>
        </w:rPr>
        <w:fldChar w:fldCharType="end"/>
      </w:r>
      <w:r w:rsidRPr="00ED38E9">
        <w:rPr>
          <w:rFonts w:cs="Arial"/>
        </w:rPr>
        <w:t>: Odhadované náklady KÚ při počtu 35 tis. žádostí</w:t>
      </w:r>
    </w:p>
    <w:p w:rsidR="00AD267D" w:rsidRPr="00ED38E9" w:rsidRDefault="00AD267D" w:rsidP="00783869">
      <w:pPr>
        <w:rPr>
          <w:rFonts w:cs="Arial"/>
        </w:rPr>
      </w:pPr>
      <w:r w:rsidRPr="00ED38E9">
        <w:rPr>
          <w:rFonts w:cs="Arial"/>
          <w:lang w:eastAsia="cs-CZ" w:bidi="ar-SA"/>
        </w:rPr>
        <w:drawing>
          <wp:inline distT="0" distB="0" distL="0" distR="0" wp14:anchorId="2CB1F571" wp14:editId="4221AE51">
            <wp:extent cx="4320000" cy="1877782"/>
            <wp:effectExtent l="0" t="0" r="4445" b="8255"/>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1877782"/>
                    </a:xfrm>
                    <a:prstGeom prst="rect">
                      <a:avLst/>
                    </a:prstGeom>
                    <a:noFill/>
                    <a:ln>
                      <a:noFill/>
                    </a:ln>
                  </pic:spPr>
                </pic:pic>
              </a:graphicData>
            </a:graphic>
          </wp:inline>
        </w:drawing>
      </w:r>
    </w:p>
    <w:p w:rsidR="003F3B54" w:rsidRPr="00ED38E9" w:rsidRDefault="003F3B54" w:rsidP="00783869">
      <w:pPr>
        <w:pStyle w:val="Normlntun"/>
        <w:rPr>
          <w:rFonts w:cs="Arial"/>
        </w:rPr>
      </w:pPr>
      <w:r w:rsidRPr="00ED38E9">
        <w:rPr>
          <w:rFonts w:cs="Arial"/>
        </w:rPr>
        <w:t>Sociální dopady</w:t>
      </w:r>
    </w:p>
    <w:p w:rsidR="003F3B54" w:rsidRPr="00ED38E9" w:rsidRDefault="00A55256" w:rsidP="00783869">
      <w:pPr>
        <w:rPr>
          <w:rFonts w:cs="Arial"/>
        </w:rPr>
      </w:pPr>
      <w:r w:rsidRPr="00ED38E9">
        <w:rPr>
          <w:rFonts w:cs="Arial"/>
        </w:rPr>
        <w:t xml:space="preserve">Návrh </w:t>
      </w:r>
      <w:r w:rsidR="00625F7A">
        <w:rPr>
          <w:rFonts w:cs="Arial"/>
        </w:rPr>
        <w:t xml:space="preserve">může </w:t>
      </w:r>
      <w:r w:rsidRPr="00ED38E9">
        <w:rPr>
          <w:rFonts w:cs="Arial"/>
        </w:rPr>
        <w:t>představu</w:t>
      </w:r>
      <w:r w:rsidR="00625F7A">
        <w:rPr>
          <w:rFonts w:cs="Arial"/>
        </w:rPr>
        <w:t>ovat</w:t>
      </w:r>
      <w:r w:rsidRPr="00ED38E9">
        <w:rPr>
          <w:rFonts w:cs="Arial"/>
        </w:rPr>
        <w:t xml:space="preserve"> dopady na občany pouze v případě, že by dané náklady</w:t>
      </w:r>
      <w:r w:rsidR="00A64F41">
        <w:rPr>
          <w:rFonts w:cs="Arial"/>
        </w:rPr>
        <w:t xml:space="preserve"> výrobci vybraných výrobků</w:t>
      </w:r>
      <w:r w:rsidR="002B5D43" w:rsidRPr="00ED38E9">
        <w:rPr>
          <w:rFonts w:cs="Arial"/>
        </w:rPr>
        <w:t xml:space="preserve">promítli </w:t>
      </w:r>
      <w:r w:rsidRPr="00ED38E9">
        <w:rPr>
          <w:rFonts w:cs="Arial"/>
        </w:rPr>
        <w:t>do  cen</w:t>
      </w:r>
      <w:r w:rsidR="00A64F41">
        <w:rPr>
          <w:rFonts w:cs="Arial"/>
        </w:rPr>
        <w:t xml:space="preserve"> svých výrobků</w:t>
      </w:r>
      <w:r w:rsidRPr="00ED38E9">
        <w:rPr>
          <w:rFonts w:cs="Arial"/>
        </w:rPr>
        <w:t>.</w:t>
      </w:r>
    </w:p>
    <w:p w:rsidR="00A55256" w:rsidRPr="00ED38E9" w:rsidRDefault="00A55256" w:rsidP="00783869">
      <w:pPr>
        <w:pStyle w:val="Normlntun"/>
        <w:rPr>
          <w:rFonts w:cs="Arial"/>
        </w:rPr>
      </w:pPr>
      <w:r w:rsidRPr="00ED38E9">
        <w:rPr>
          <w:rFonts w:cs="Arial"/>
        </w:rPr>
        <w:t>Dopady na životní prostředí</w:t>
      </w:r>
    </w:p>
    <w:p w:rsidR="00A55256" w:rsidRPr="00ED38E9" w:rsidRDefault="00A55256" w:rsidP="00783869">
      <w:pPr>
        <w:rPr>
          <w:rFonts w:cs="Arial"/>
        </w:rPr>
      </w:pPr>
      <w:r w:rsidRPr="00ED38E9">
        <w:rPr>
          <w:rFonts w:cs="Arial"/>
        </w:rPr>
        <w:t>Nastavení tzv. tvrdého odpadového režimu může představovat přínos v podobě možn</w:t>
      </w:r>
      <w:r w:rsidR="002B5D43" w:rsidRPr="00ED38E9">
        <w:rPr>
          <w:rFonts w:cs="Arial"/>
        </w:rPr>
        <w:t>o</w:t>
      </w:r>
      <w:r w:rsidRPr="00ED38E9">
        <w:rPr>
          <w:rFonts w:cs="Arial"/>
        </w:rPr>
        <w:t>s</w:t>
      </w:r>
      <w:r w:rsidR="002B5D43" w:rsidRPr="00ED38E9">
        <w:rPr>
          <w:rFonts w:cs="Arial"/>
        </w:rPr>
        <w:t>t</w:t>
      </w:r>
      <w:r w:rsidRPr="00ED38E9">
        <w:rPr>
          <w:rFonts w:cs="Arial"/>
        </w:rPr>
        <w:t xml:space="preserve">ti kontrol míst zpětného odběru, ale také se může stát, že díky velmi vysoké administrativní zátěži </w:t>
      </w:r>
      <w:r w:rsidR="002B5D43" w:rsidRPr="00ED38E9">
        <w:rPr>
          <w:rFonts w:cs="Arial"/>
        </w:rPr>
        <w:t xml:space="preserve">se </w:t>
      </w:r>
      <w:r w:rsidRPr="00ED38E9">
        <w:rPr>
          <w:rFonts w:cs="Arial"/>
        </w:rPr>
        <w:t>mnoho subjektů nebude chtít zapojit do sítě míst zpětného odběru (školy, úřady, obchody, veřejná prostranství, servisy). V tomto případě odhadujeme, že dojde k</w:t>
      </w:r>
      <w:r w:rsidR="00E149B9" w:rsidRPr="00ED38E9">
        <w:rPr>
          <w:rFonts w:cs="Arial"/>
        </w:rPr>
        <w:t> </w:t>
      </w:r>
      <w:r w:rsidRPr="00ED38E9">
        <w:rPr>
          <w:rFonts w:cs="Arial"/>
        </w:rPr>
        <w:t>razantnímu snížení počtu sběrných míst</w:t>
      </w:r>
      <w:r w:rsidR="002B5D43" w:rsidRPr="00ED38E9">
        <w:rPr>
          <w:rFonts w:cs="Arial"/>
        </w:rPr>
        <w:t>,</w:t>
      </w:r>
      <w:r w:rsidRPr="00ED38E9">
        <w:rPr>
          <w:rFonts w:cs="Arial"/>
        </w:rPr>
        <w:t xml:space="preserve"> a tím i </w:t>
      </w:r>
      <w:r w:rsidR="00E149B9" w:rsidRPr="00ED38E9">
        <w:rPr>
          <w:rFonts w:cs="Arial"/>
        </w:rPr>
        <w:t>k navýšení objemu výrobků s ukončenou životností, které skončí ve směsném odpadu a tím nesplnění cílů daných Evropskou unií.</w:t>
      </w:r>
    </w:p>
    <w:p w:rsidR="004C3E42" w:rsidRPr="00ED38E9" w:rsidRDefault="004C3E42" w:rsidP="002D66F0">
      <w:pPr>
        <w:keepNext/>
        <w:numPr>
          <w:ilvl w:val="0"/>
          <w:numId w:val="53"/>
        </w:numPr>
        <w:spacing w:before="240" w:after="120"/>
        <w:rPr>
          <w:rFonts w:cs="Arial"/>
        </w:rPr>
      </w:pPr>
      <w:r w:rsidRPr="00ED38E9">
        <w:rPr>
          <w:rFonts w:cs="Arial"/>
        </w:rPr>
        <w:lastRenderedPageBreak/>
        <w:t xml:space="preserve">Varianta </w:t>
      </w:r>
      <w:r w:rsidR="009D5A19" w:rsidRPr="00ED38E9">
        <w:rPr>
          <w:rFonts w:cs="Arial"/>
        </w:rPr>
        <w:t>2</w:t>
      </w:r>
    </w:p>
    <w:p w:rsidR="00F53878" w:rsidRPr="00ED38E9" w:rsidRDefault="00F53878" w:rsidP="00783869">
      <w:pPr>
        <w:pStyle w:val="Normlntun"/>
        <w:rPr>
          <w:rFonts w:cs="Arial"/>
        </w:rPr>
      </w:pPr>
      <w:r w:rsidRPr="00ED38E9">
        <w:rPr>
          <w:rFonts w:cs="Arial"/>
        </w:rPr>
        <w:t>Dopady na státní rozpočet a ostatní veřejné rozpočty</w:t>
      </w:r>
    </w:p>
    <w:p w:rsidR="00F53878" w:rsidRPr="00ED38E9" w:rsidRDefault="00F53878" w:rsidP="00783869">
      <w:pPr>
        <w:rPr>
          <w:rFonts w:cs="Arial"/>
        </w:rPr>
      </w:pPr>
      <w:r w:rsidRPr="00ED38E9">
        <w:rPr>
          <w:rFonts w:cs="Arial"/>
        </w:rPr>
        <w:t>Zavedení určitých povinností místům zpětného odběru a tím možnosti kontrolní činnosti ze</w:t>
      </w:r>
      <w:r w:rsidR="003F3B54" w:rsidRPr="00ED38E9">
        <w:rPr>
          <w:rFonts w:cs="Arial"/>
        </w:rPr>
        <w:t> </w:t>
      </w:r>
      <w:r w:rsidRPr="00ED38E9">
        <w:rPr>
          <w:rFonts w:cs="Arial"/>
        </w:rPr>
        <w:t>strany kontrolních orgánů (ministerstvo, ČIŽP)</w:t>
      </w:r>
      <w:r w:rsidRPr="00ED38E9">
        <w:rPr>
          <w:rFonts w:cs="Arial"/>
          <w:color w:val="FF0000"/>
        </w:rPr>
        <w:t xml:space="preserve"> </w:t>
      </w:r>
      <w:r w:rsidRPr="00ED38E9">
        <w:rPr>
          <w:rFonts w:cs="Arial"/>
        </w:rPr>
        <w:t>můžeme očekávat, že tato kontrolní činnost bude prováděna. Předpokládáme však, že veškerá činnost bude řešena v rámci současné pracovní činnosti daných subjektů a nebude vyžadovat navýšení finančních prostředků na výkon státní správy.</w:t>
      </w:r>
    </w:p>
    <w:p w:rsidR="003F3B54" w:rsidRPr="00ED38E9" w:rsidRDefault="003F3B54" w:rsidP="00783869">
      <w:pPr>
        <w:pStyle w:val="Normlntun"/>
        <w:rPr>
          <w:rFonts w:cs="Arial"/>
        </w:rPr>
      </w:pPr>
      <w:r w:rsidRPr="00ED38E9">
        <w:rPr>
          <w:rFonts w:cs="Arial"/>
        </w:rPr>
        <w:t>Dopady na podnikatelské subjekty</w:t>
      </w:r>
    </w:p>
    <w:p w:rsidR="0055537F" w:rsidRPr="00ED38E9" w:rsidRDefault="0055537F" w:rsidP="00783869">
      <w:pPr>
        <w:rPr>
          <w:rFonts w:cs="Arial"/>
        </w:rPr>
      </w:pPr>
      <w:r w:rsidRPr="00ED38E9">
        <w:rPr>
          <w:rFonts w:cs="Arial"/>
        </w:rPr>
        <w:t>U varianty zjednodušeného odpadového režimu neočekáváme žádné rapidní navýšení nákladů oproti současnosti, protože povinnosti, které budou stanoveny, již většina subjektů plní.</w:t>
      </w:r>
    </w:p>
    <w:p w:rsidR="0044724F" w:rsidRPr="00ED38E9" w:rsidRDefault="0044724F" w:rsidP="002D66F0">
      <w:pPr>
        <w:pStyle w:val="Normlntun"/>
        <w:numPr>
          <w:ilvl w:val="0"/>
          <w:numId w:val="94"/>
        </w:numPr>
        <w:rPr>
          <w:rFonts w:cs="Arial"/>
        </w:rPr>
      </w:pPr>
      <w:r w:rsidRPr="00ED38E9">
        <w:rPr>
          <w:rFonts w:cs="Arial"/>
        </w:rPr>
        <w:t>Žádost o udělení souhlasu k provozování zařízení ke sběru odpadů</w:t>
      </w:r>
    </w:p>
    <w:p w:rsidR="0044724F" w:rsidRPr="00ED38E9" w:rsidRDefault="0044724F" w:rsidP="00783869">
      <w:pPr>
        <w:rPr>
          <w:rFonts w:cs="Arial"/>
        </w:rPr>
      </w:pPr>
      <w:r w:rsidRPr="00ED38E9">
        <w:rPr>
          <w:rFonts w:cs="Arial"/>
        </w:rPr>
        <w:t>V případě zavedení zjednodušeného odpadového režimu předpokládáme, že místa zpětného odběru nebudou muset žádat o souhlas dle § 14 zákona o odpadech.</w:t>
      </w:r>
    </w:p>
    <w:p w:rsidR="0044724F" w:rsidRPr="00ED38E9" w:rsidRDefault="0044724F" w:rsidP="002D66F0">
      <w:pPr>
        <w:pStyle w:val="Normlntun"/>
        <w:numPr>
          <w:ilvl w:val="0"/>
          <w:numId w:val="94"/>
        </w:numPr>
        <w:rPr>
          <w:rFonts w:cs="Arial"/>
        </w:rPr>
      </w:pPr>
      <w:r w:rsidRPr="00ED38E9">
        <w:rPr>
          <w:rFonts w:cs="Arial"/>
        </w:rPr>
        <w:t>Průběžná evidence, roční hlášení</w:t>
      </w:r>
    </w:p>
    <w:p w:rsidR="0044724F" w:rsidRPr="00ED38E9" w:rsidRDefault="00CB26F8" w:rsidP="00783869">
      <w:pPr>
        <w:rPr>
          <w:rFonts w:cs="Arial"/>
        </w:rPr>
      </w:pPr>
      <w:r w:rsidRPr="00ED38E9">
        <w:rPr>
          <w:rFonts w:cs="Arial"/>
        </w:rPr>
        <w:t>Evidence bude zjednodušena. Detaily evidence budou ještě upřesněny, ale můžeme očekávat, že nebude po místech zpětného odběru vyžadováno zasílání ročních zpráv a podrobná evidence jako u ostatních zařízení. Pro většinu subjektů se nic v tomto bodě nezmění, protože již dochází k vedení jednoduché průběžné evidenci.</w:t>
      </w:r>
    </w:p>
    <w:p w:rsidR="00CB26F8" w:rsidRPr="00ED38E9" w:rsidRDefault="00CB26F8" w:rsidP="002D66F0">
      <w:pPr>
        <w:pStyle w:val="Normlntun"/>
        <w:numPr>
          <w:ilvl w:val="0"/>
          <w:numId w:val="94"/>
        </w:numPr>
        <w:rPr>
          <w:rFonts w:cs="Arial"/>
        </w:rPr>
      </w:pPr>
      <w:r w:rsidRPr="00ED38E9">
        <w:rPr>
          <w:rFonts w:cs="Arial"/>
        </w:rPr>
        <w:t>Evidence při přepravě odpadů</w:t>
      </w:r>
    </w:p>
    <w:p w:rsidR="00CB26F8" w:rsidRPr="00ED38E9" w:rsidRDefault="00CB26F8" w:rsidP="00783869">
      <w:pPr>
        <w:rPr>
          <w:rFonts w:cs="Arial"/>
        </w:rPr>
      </w:pPr>
      <w:r w:rsidRPr="00ED38E9">
        <w:rPr>
          <w:rFonts w:cs="Arial"/>
        </w:rPr>
        <w:t xml:space="preserve">Při předání dopravci bude docházet k potvrzování odhadovaného množství. Opět není očekávanáno větší navýšení administrativní zátěže, protože předpokládáme, že většina subjektů již takto evidenci při přepravě výrobků s ukončenou životností provádí. </w:t>
      </w:r>
    </w:p>
    <w:p w:rsidR="0055537F" w:rsidRPr="00ED38E9" w:rsidRDefault="0055537F" w:rsidP="00783869">
      <w:pPr>
        <w:pStyle w:val="Normlntun"/>
        <w:rPr>
          <w:rFonts w:cs="Arial"/>
        </w:rPr>
      </w:pPr>
      <w:r w:rsidRPr="00ED38E9">
        <w:rPr>
          <w:rFonts w:cs="Arial"/>
        </w:rPr>
        <w:t>Dopady na územní samosprávné celky (obce, kraje)</w:t>
      </w:r>
    </w:p>
    <w:p w:rsidR="0055537F" w:rsidRPr="00ED38E9" w:rsidRDefault="0055537F" w:rsidP="00783869">
      <w:pPr>
        <w:rPr>
          <w:rFonts w:cs="Arial"/>
        </w:rPr>
      </w:pPr>
      <w:r w:rsidRPr="00ED38E9">
        <w:rPr>
          <w:rFonts w:cs="Arial"/>
        </w:rPr>
        <w:t xml:space="preserve">Dopady na obce a kraje očekáváme pouze v případě, že kraj či obec je </w:t>
      </w:r>
      <w:r w:rsidR="00935FB1">
        <w:rPr>
          <w:rFonts w:cs="Arial"/>
        </w:rPr>
        <w:t xml:space="preserve">provozovatelem </w:t>
      </w:r>
      <w:r w:rsidRPr="00ED38E9">
        <w:rPr>
          <w:rFonts w:cs="Arial"/>
        </w:rPr>
        <w:t xml:space="preserve">místa zpětného odběru. </w:t>
      </w:r>
      <w:r w:rsidR="0024251A" w:rsidRPr="00ED38E9">
        <w:rPr>
          <w:rFonts w:cs="Arial"/>
        </w:rPr>
        <w:t>Stejně jako u podnikatelských subjektů nepředpokládáme zvýšení nák</w:t>
      </w:r>
      <w:r w:rsidR="005D660F">
        <w:rPr>
          <w:rFonts w:cs="Arial"/>
        </w:rPr>
        <w:t>l</w:t>
      </w:r>
      <w:r w:rsidR="0024251A" w:rsidRPr="00ED38E9">
        <w:rPr>
          <w:rFonts w:cs="Arial"/>
        </w:rPr>
        <w:t xml:space="preserve">adů proti současnému stavu. </w:t>
      </w:r>
    </w:p>
    <w:p w:rsidR="00E23837" w:rsidRPr="00ED38E9" w:rsidRDefault="00E23837" w:rsidP="00783869">
      <w:pPr>
        <w:pStyle w:val="Normlntun"/>
        <w:rPr>
          <w:rFonts w:cs="Arial"/>
        </w:rPr>
      </w:pPr>
      <w:r w:rsidRPr="00ED38E9">
        <w:rPr>
          <w:rFonts w:cs="Arial"/>
        </w:rPr>
        <w:t>Sociální dopady</w:t>
      </w:r>
    </w:p>
    <w:p w:rsidR="00E23837" w:rsidRPr="00ED38E9" w:rsidRDefault="00E23837" w:rsidP="00783869">
      <w:pPr>
        <w:rPr>
          <w:rFonts w:cs="Arial"/>
        </w:rPr>
      </w:pPr>
      <w:r w:rsidRPr="00ED38E9">
        <w:rPr>
          <w:rFonts w:cs="Arial"/>
        </w:rPr>
        <w:t>Návrh nepředstavuje sociální dopady.</w:t>
      </w:r>
    </w:p>
    <w:p w:rsidR="0044724F" w:rsidRPr="00ED38E9" w:rsidRDefault="0044724F" w:rsidP="00783869">
      <w:pPr>
        <w:pStyle w:val="Normlntun"/>
        <w:rPr>
          <w:rFonts w:cs="Arial"/>
        </w:rPr>
      </w:pPr>
      <w:r w:rsidRPr="00ED38E9">
        <w:rPr>
          <w:rFonts w:cs="Arial"/>
        </w:rPr>
        <w:t>Dopady na životní prostředí</w:t>
      </w:r>
    </w:p>
    <w:p w:rsidR="0044724F" w:rsidRPr="00ED38E9" w:rsidRDefault="0044724F" w:rsidP="00783869">
      <w:pPr>
        <w:rPr>
          <w:rFonts w:cs="Arial"/>
        </w:rPr>
      </w:pPr>
      <w:r w:rsidRPr="00ED38E9">
        <w:rPr>
          <w:rFonts w:cs="Arial"/>
        </w:rPr>
        <w:t>Lepší dohled nad subjekty nakládajícími s výrobky s ukončenou životností představuje pozitivní dopady na životní prostředí.</w:t>
      </w:r>
    </w:p>
    <w:p w:rsidR="00CB26F8" w:rsidRPr="00ED38E9" w:rsidRDefault="00CB26F8" w:rsidP="005D660F">
      <w:pPr>
        <w:pStyle w:val="Nadpis3"/>
      </w:pPr>
      <w:r w:rsidRPr="00ED38E9">
        <w:lastRenderedPageBreak/>
        <w:t>Vyhodnocení nákladů a přínosů</w:t>
      </w:r>
    </w:p>
    <w:p w:rsidR="00CB26F8" w:rsidRPr="00ED38E9" w:rsidRDefault="00CB26F8">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4</w:t>
      </w:r>
      <w:r w:rsidR="00381FB7" w:rsidRPr="00ED38E9">
        <w:rPr>
          <w:rFonts w:cs="Arial"/>
        </w:rPr>
        <w:fldChar w:fldCharType="end"/>
      </w:r>
      <w:r w:rsidRPr="00ED38E9">
        <w:rPr>
          <w:rFonts w:cs="Arial"/>
        </w:rPr>
        <w:t>: Porovnání nákladů a přínosů</w:t>
      </w:r>
    </w:p>
    <w:p w:rsidR="00CB26F8" w:rsidRPr="00ED38E9" w:rsidRDefault="00CB26F8" w:rsidP="00783869">
      <w:pPr>
        <w:rPr>
          <w:rFonts w:cs="Arial"/>
        </w:rPr>
      </w:pPr>
      <w:r w:rsidRPr="00ED38E9">
        <w:rPr>
          <w:rFonts w:cs="Arial"/>
          <w:lang w:eastAsia="cs-CZ" w:bidi="ar-SA"/>
        </w:rPr>
        <w:drawing>
          <wp:inline distT="0" distB="0" distL="0" distR="0" wp14:anchorId="21293118" wp14:editId="444D2D20">
            <wp:extent cx="5760720" cy="2096084"/>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096084"/>
                    </a:xfrm>
                    <a:prstGeom prst="rect">
                      <a:avLst/>
                    </a:prstGeom>
                    <a:noFill/>
                    <a:ln>
                      <a:noFill/>
                    </a:ln>
                  </pic:spPr>
                </pic:pic>
              </a:graphicData>
            </a:graphic>
          </wp:inline>
        </w:drawing>
      </w:r>
    </w:p>
    <w:p w:rsidR="00F53878" w:rsidRPr="00ED38E9" w:rsidRDefault="00CB26F8" w:rsidP="005D660F">
      <w:pPr>
        <w:pStyle w:val="Nadpis2"/>
      </w:pPr>
      <w:bookmarkStart w:id="7" w:name="_Toc441759832"/>
      <w:r w:rsidRPr="00ED38E9">
        <w:t>Návrh řešení</w:t>
      </w:r>
      <w:bookmarkEnd w:id="7"/>
    </w:p>
    <w:p w:rsidR="00CB26F8" w:rsidRPr="00ED38E9" w:rsidRDefault="00C23799" w:rsidP="005D660F">
      <w:pPr>
        <w:pStyle w:val="Nadpis3"/>
      </w:pPr>
      <w:r w:rsidRPr="00ED38E9">
        <w:t>Stanovení pořadí variant a výběr nejvhodnějšího řešení</w:t>
      </w:r>
    </w:p>
    <w:p w:rsidR="00C23799" w:rsidRPr="00ED38E9" w:rsidRDefault="00C23799" w:rsidP="00620E6B">
      <w:pPr>
        <w:pStyle w:val="Odstavecseseznamem"/>
        <w:numPr>
          <w:ilvl w:val="0"/>
          <w:numId w:val="2"/>
        </w:numPr>
        <w:rPr>
          <w:rFonts w:cs="Arial"/>
          <w:b/>
          <w:noProof w:val="0"/>
        </w:rPr>
      </w:pPr>
      <w:r w:rsidRPr="00ED38E9">
        <w:rPr>
          <w:rFonts w:cs="Arial"/>
          <w:b/>
          <w:noProof w:val="0"/>
        </w:rPr>
        <w:t>Varianta 2</w:t>
      </w:r>
    </w:p>
    <w:p w:rsidR="00C23799" w:rsidRPr="00ED38E9" w:rsidRDefault="00C23799" w:rsidP="00620E6B">
      <w:pPr>
        <w:pStyle w:val="Odstavecseseznamem"/>
        <w:numPr>
          <w:ilvl w:val="0"/>
          <w:numId w:val="2"/>
        </w:numPr>
        <w:rPr>
          <w:rFonts w:cs="Arial"/>
          <w:noProof w:val="0"/>
        </w:rPr>
      </w:pPr>
      <w:r w:rsidRPr="00ED38E9">
        <w:rPr>
          <w:rFonts w:cs="Arial"/>
          <w:noProof w:val="0"/>
        </w:rPr>
        <w:t>Varianta 0</w:t>
      </w:r>
    </w:p>
    <w:p w:rsidR="00C23799" w:rsidRPr="00ED38E9" w:rsidRDefault="00C23799" w:rsidP="00620E6B">
      <w:pPr>
        <w:pStyle w:val="Odstavecseseznamem"/>
        <w:numPr>
          <w:ilvl w:val="0"/>
          <w:numId w:val="2"/>
        </w:numPr>
        <w:rPr>
          <w:rFonts w:cs="Arial"/>
          <w:noProof w:val="0"/>
        </w:rPr>
      </w:pPr>
      <w:r w:rsidRPr="00ED38E9">
        <w:rPr>
          <w:rFonts w:cs="Arial"/>
          <w:noProof w:val="0"/>
        </w:rPr>
        <w:t>Varianta 1</w:t>
      </w:r>
    </w:p>
    <w:p w:rsidR="00C23799" w:rsidRPr="00ED38E9" w:rsidRDefault="00C23799" w:rsidP="00783869">
      <w:pPr>
        <w:spacing w:before="120"/>
        <w:rPr>
          <w:rFonts w:cs="Arial"/>
        </w:rPr>
      </w:pPr>
      <w:r w:rsidRPr="00ED38E9">
        <w:rPr>
          <w:rFonts w:cs="Arial"/>
        </w:rPr>
        <w:t>Cílem je dostatečná kontrola nad sběrnými místy bez zbytečné administrativní zátěže všech dotčených subjektů, proto doporučujeme přijmout Variantu 2, která sebou přináší tzv. zjednodušený režim.</w:t>
      </w:r>
    </w:p>
    <w:p w:rsidR="00257E70" w:rsidRPr="00ED38E9" w:rsidRDefault="00257E70" w:rsidP="005D660F">
      <w:pPr>
        <w:pStyle w:val="Nadpis1"/>
      </w:pPr>
      <w:bookmarkStart w:id="8" w:name="_Toc441759833"/>
      <w:bookmarkStart w:id="9" w:name="_Toc441760178"/>
      <w:r w:rsidRPr="00ED38E9">
        <w:t>Registr míst zpětného odběru</w:t>
      </w:r>
      <w:bookmarkEnd w:id="8"/>
      <w:bookmarkEnd w:id="9"/>
    </w:p>
    <w:p w:rsidR="00257E70" w:rsidRPr="00ED38E9" w:rsidRDefault="00257E70" w:rsidP="005D660F">
      <w:pPr>
        <w:pStyle w:val="Nadpis2"/>
      </w:pPr>
      <w:bookmarkStart w:id="10" w:name="_Toc441759834"/>
      <w:r w:rsidRPr="00ED38E9">
        <w:t>Důvod předložení a cíle</w:t>
      </w:r>
      <w:bookmarkEnd w:id="10"/>
    </w:p>
    <w:p w:rsidR="00257E70" w:rsidRPr="00ED38E9" w:rsidRDefault="00257E70" w:rsidP="005D660F">
      <w:pPr>
        <w:pStyle w:val="Nadpis3"/>
      </w:pPr>
      <w:r w:rsidRPr="00ED38E9">
        <w:t>Definice problému</w:t>
      </w:r>
    </w:p>
    <w:p w:rsidR="00257E70" w:rsidRPr="00ED38E9" w:rsidRDefault="00257E70" w:rsidP="00257E70">
      <w:pPr>
        <w:rPr>
          <w:rFonts w:cs="Arial"/>
        </w:rPr>
      </w:pPr>
      <w:r w:rsidRPr="00ED38E9">
        <w:rPr>
          <w:rFonts w:cs="Arial"/>
        </w:rPr>
        <w:t>Česká i evropská legislativa v oblasti zpětného odběru různým způsobem udává povinnost informovat spotřebitele o způsobu provedení zpětného odběru. V souvislosti s přípravou centrálního registru pro oblast EEZ s účinností od 1. 6.  2015 se nabízí zapojení i baterií a akumulátorů, odpadních pneumatik a propojení s informačním systémem pro vedení informací o vozidlech s ukončenou životností.</w:t>
      </w:r>
    </w:p>
    <w:p w:rsidR="00257E70" w:rsidRPr="00ED38E9" w:rsidRDefault="00257E70" w:rsidP="005D660F">
      <w:pPr>
        <w:pStyle w:val="Nadpis3"/>
      </w:pPr>
      <w:r w:rsidRPr="00ED38E9">
        <w:t>Popis existujícího právního stavu v dané oblasti</w:t>
      </w:r>
    </w:p>
    <w:p w:rsidR="00257E70" w:rsidRPr="00ED38E9" w:rsidRDefault="00257E70" w:rsidP="00257E70">
      <w:pPr>
        <w:spacing w:before="120"/>
        <w:rPr>
          <w:rFonts w:cs="Arial"/>
          <w:b/>
        </w:rPr>
      </w:pPr>
      <w:r w:rsidRPr="00ED38E9">
        <w:rPr>
          <w:rFonts w:cs="Arial"/>
          <w:b/>
        </w:rPr>
        <w:t>Baterie a akumulátory</w:t>
      </w:r>
    </w:p>
    <w:p w:rsidR="00257E70" w:rsidRPr="00ED38E9" w:rsidRDefault="00257E70" w:rsidP="00257E70">
      <w:pPr>
        <w:rPr>
          <w:rFonts w:cs="Arial"/>
        </w:rPr>
      </w:pPr>
      <w:r w:rsidRPr="00ED38E9">
        <w:rPr>
          <w:rFonts w:cs="Arial"/>
        </w:rPr>
        <w:t>Zákon o odpadech v § 31d uvádí, že výrobce je povinen na vlastní náklady písemně informovat konečného uživatele o způsobu zajištění zpětného odběru nebo odděleného sběru. Za tímto účelem výrobce způsobem dostupným konečnému uživateli zveřejňuje aktuální seznam míst zpětného odběru a odděleného sběru obsahující alespoň název místa a jeho adresu.</w:t>
      </w:r>
    </w:p>
    <w:p w:rsidR="00257E70" w:rsidRPr="00ED38E9" w:rsidRDefault="00257E70" w:rsidP="00783869">
      <w:pPr>
        <w:keepNext/>
        <w:spacing w:before="120"/>
        <w:rPr>
          <w:rFonts w:cs="Arial"/>
          <w:b/>
        </w:rPr>
      </w:pPr>
      <w:r w:rsidRPr="00ED38E9">
        <w:rPr>
          <w:rFonts w:cs="Arial"/>
          <w:b/>
        </w:rPr>
        <w:lastRenderedPageBreak/>
        <w:t>Odpadní pneumatiky</w:t>
      </w:r>
    </w:p>
    <w:p w:rsidR="00257E70" w:rsidRPr="00ED38E9" w:rsidRDefault="00257E70" w:rsidP="00257E70">
      <w:pPr>
        <w:rPr>
          <w:rFonts w:cs="Arial"/>
        </w:rPr>
      </w:pPr>
      <w:r w:rsidRPr="00ED38E9">
        <w:rPr>
          <w:rFonts w:cs="Arial"/>
        </w:rPr>
        <w:t xml:space="preserve">Současná legislativa říká, že povinná osoba musí prostřednictvím právnické osoby nebo fyzické osoby oprávněné k podnikání, která prodává pneumatiky spotřebiteli, zajistit, aby byl spotřebitel informován o způsobu provedení zpětného odběru těchto použitých výrobků. </w:t>
      </w:r>
    </w:p>
    <w:p w:rsidR="00257E70" w:rsidRPr="00ED38E9" w:rsidRDefault="00257E70" w:rsidP="005D660F">
      <w:pPr>
        <w:pStyle w:val="Nadpis3"/>
      </w:pPr>
      <w:r w:rsidRPr="00ED38E9">
        <w:t>Identifikace dotčených subjektů</w:t>
      </w:r>
    </w:p>
    <w:p w:rsidR="00257E70" w:rsidRPr="00ED38E9" w:rsidRDefault="00257E70" w:rsidP="00620E6B">
      <w:pPr>
        <w:pStyle w:val="Odstavecseseznamem"/>
        <w:numPr>
          <w:ilvl w:val="0"/>
          <w:numId w:val="11"/>
        </w:numPr>
        <w:rPr>
          <w:rFonts w:cs="Arial"/>
          <w:noProof w:val="0"/>
        </w:rPr>
      </w:pPr>
      <w:r w:rsidRPr="00ED38E9">
        <w:rPr>
          <w:rFonts w:cs="Arial"/>
          <w:noProof w:val="0"/>
        </w:rPr>
        <w:t>výrobce (případně kolektivní systém),</w:t>
      </w:r>
    </w:p>
    <w:p w:rsidR="00257E70" w:rsidRPr="00ED38E9" w:rsidRDefault="00257E70" w:rsidP="00620E6B">
      <w:pPr>
        <w:pStyle w:val="Odstavecseseznamem"/>
        <w:numPr>
          <w:ilvl w:val="0"/>
          <w:numId w:val="11"/>
        </w:numPr>
        <w:rPr>
          <w:rFonts w:cs="Arial"/>
          <w:noProof w:val="0"/>
        </w:rPr>
      </w:pPr>
      <w:r w:rsidRPr="00ED38E9">
        <w:rPr>
          <w:rFonts w:cs="Arial"/>
          <w:noProof w:val="0"/>
        </w:rPr>
        <w:t>spotřebitel,</w:t>
      </w:r>
    </w:p>
    <w:p w:rsidR="00257E70" w:rsidRPr="00ED38E9" w:rsidRDefault="00257E70" w:rsidP="00620E6B">
      <w:pPr>
        <w:pStyle w:val="Odstavecseseznamem"/>
        <w:numPr>
          <w:ilvl w:val="0"/>
          <w:numId w:val="11"/>
        </w:numPr>
        <w:rPr>
          <w:rFonts w:cs="Arial"/>
          <w:noProof w:val="0"/>
        </w:rPr>
      </w:pPr>
      <w:r w:rsidRPr="00ED38E9">
        <w:rPr>
          <w:rFonts w:cs="Arial"/>
          <w:noProof w:val="0"/>
        </w:rPr>
        <w:t>Ministerstvo životního prostředí (ministerstvo),</w:t>
      </w:r>
    </w:p>
    <w:p w:rsidR="00257E70" w:rsidRPr="00ED38E9" w:rsidRDefault="00257E70" w:rsidP="00620E6B">
      <w:pPr>
        <w:pStyle w:val="Odstavecseseznamem"/>
        <w:numPr>
          <w:ilvl w:val="0"/>
          <w:numId w:val="11"/>
        </w:numPr>
        <w:rPr>
          <w:rFonts w:cs="Arial"/>
          <w:noProof w:val="0"/>
        </w:rPr>
      </w:pPr>
      <w:r w:rsidRPr="00ED38E9">
        <w:rPr>
          <w:rFonts w:cs="Arial"/>
          <w:noProof w:val="0"/>
        </w:rPr>
        <w:t>obce,</w:t>
      </w:r>
    </w:p>
    <w:p w:rsidR="00257E70" w:rsidRPr="00ED38E9" w:rsidRDefault="00257E70" w:rsidP="00620E6B">
      <w:pPr>
        <w:pStyle w:val="Odstavecseseznamem"/>
        <w:numPr>
          <w:ilvl w:val="0"/>
          <w:numId w:val="11"/>
        </w:numPr>
        <w:rPr>
          <w:rFonts w:cs="Arial"/>
          <w:noProof w:val="0"/>
        </w:rPr>
      </w:pPr>
      <w:r w:rsidRPr="00ED38E9">
        <w:rPr>
          <w:rFonts w:cs="Arial"/>
          <w:noProof w:val="0"/>
        </w:rPr>
        <w:t>Česká inspekce životního prostředí – oblastní inspektoráty (ČIŽP).</w:t>
      </w:r>
    </w:p>
    <w:p w:rsidR="00257E70" w:rsidRPr="00ED38E9" w:rsidRDefault="00257E70" w:rsidP="005D660F">
      <w:pPr>
        <w:pStyle w:val="Nadpis3"/>
      </w:pPr>
      <w:r w:rsidRPr="00ED38E9">
        <w:t>Popis cílového stavu</w:t>
      </w:r>
    </w:p>
    <w:p w:rsidR="00257E70" w:rsidRPr="00ED38E9" w:rsidRDefault="00257E70" w:rsidP="00257E70">
      <w:pPr>
        <w:rPr>
          <w:rFonts w:cs="Arial"/>
        </w:rPr>
      </w:pPr>
      <w:r w:rsidRPr="00ED38E9">
        <w:rPr>
          <w:rFonts w:cs="Arial"/>
        </w:rPr>
        <w:t xml:space="preserve">Cílem jednotného registru sběrných míst je, aby občané České republiky měli možnost si jednoduše najít nejvhodnější </w:t>
      </w:r>
      <w:r w:rsidR="00935FB1">
        <w:rPr>
          <w:rFonts w:cs="Arial"/>
        </w:rPr>
        <w:t xml:space="preserve">a nejdostupnější </w:t>
      </w:r>
      <w:r w:rsidRPr="00ED38E9">
        <w:rPr>
          <w:rFonts w:cs="Arial"/>
        </w:rPr>
        <w:t xml:space="preserve">místo zpětného odběru, bez zjišťování </w:t>
      </w:r>
      <w:r w:rsidR="00935FB1">
        <w:rPr>
          <w:rFonts w:cs="Arial"/>
        </w:rPr>
        <w:t xml:space="preserve">informací u jednotlivých </w:t>
      </w:r>
      <w:r w:rsidRPr="00ED38E9">
        <w:rPr>
          <w:rFonts w:cs="Arial"/>
        </w:rPr>
        <w:t>výrobců</w:t>
      </w:r>
      <w:r w:rsidR="00935FB1">
        <w:rPr>
          <w:rFonts w:cs="Arial"/>
        </w:rPr>
        <w:t xml:space="preserve"> nebo</w:t>
      </w:r>
      <w:r w:rsidRPr="00ED38E9">
        <w:rPr>
          <w:rFonts w:cs="Arial"/>
        </w:rPr>
        <w:t xml:space="preserve"> kolektivních systémů.</w:t>
      </w:r>
    </w:p>
    <w:p w:rsidR="00257E70" w:rsidRPr="00ED38E9" w:rsidRDefault="00257E70" w:rsidP="005D660F">
      <w:pPr>
        <w:pStyle w:val="Nadpis3"/>
      </w:pPr>
      <w:r w:rsidRPr="00ED38E9">
        <w:t>Zhodnocení rizika</w:t>
      </w:r>
    </w:p>
    <w:p w:rsidR="00257E70" w:rsidRPr="00ED38E9" w:rsidRDefault="00257E70" w:rsidP="00257E70">
      <w:pPr>
        <w:rPr>
          <w:rFonts w:cs="Arial"/>
        </w:rPr>
      </w:pPr>
      <w:r w:rsidRPr="00ED38E9">
        <w:rPr>
          <w:rFonts w:cs="Arial"/>
        </w:rPr>
        <w:t>Ponechání současného stavu přímo neohrožuje životní prostředí ani zatím neporušuje evropskou legislativu, ale na druhou stranu ani nepřispívá ke zkvalitnění informovanosti občanů o možnostech zpětného odběru</w:t>
      </w:r>
      <w:r w:rsidR="00935FB1">
        <w:rPr>
          <w:rFonts w:cs="Arial"/>
        </w:rPr>
        <w:t>, a tedy ani k hlavnímu cíli zvyšovat množství zpětně odebraných výrobků</w:t>
      </w:r>
      <w:r w:rsidRPr="00ED38E9">
        <w:rPr>
          <w:rFonts w:cs="Arial"/>
        </w:rPr>
        <w:t>.</w:t>
      </w:r>
    </w:p>
    <w:p w:rsidR="00257E70" w:rsidRPr="00ED38E9" w:rsidRDefault="00257E70" w:rsidP="005D660F">
      <w:pPr>
        <w:pStyle w:val="Nadpis2"/>
      </w:pPr>
      <w:bookmarkStart w:id="11" w:name="_Toc441759835"/>
      <w:r w:rsidRPr="00ED38E9">
        <w:t>Návrh variant řešení</w:t>
      </w:r>
      <w:bookmarkEnd w:id="11"/>
    </w:p>
    <w:p w:rsidR="00257E70" w:rsidRPr="00ED38E9" w:rsidRDefault="00257E70" w:rsidP="005D660F">
      <w:pPr>
        <w:pStyle w:val="Nadpis3"/>
      </w:pPr>
      <w:r w:rsidRPr="00ED38E9">
        <w:t>Varianta 0</w:t>
      </w:r>
    </w:p>
    <w:p w:rsidR="00257E70" w:rsidRPr="00ED38E9" w:rsidRDefault="00257E70" w:rsidP="00257E70">
      <w:pPr>
        <w:rPr>
          <w:rFonts w:cs="Arial"/>
        </w:rPr>
      </w:pPr>
      <w:r w:rsidRPr="00ED38E9">
        <w:rPr>
          <w:rFonts w:cs="Arial"/>
        </w:rPr>
        <w:t>Ponechání současného stavu, kdy každý výrobce volí vlastní způsoby informování zákazníků (internetové stránky, letáčky apod.)</w:t>
      </w:r>
      <w:r w:rsidR="00FD0FBE" w:rsidRPr="00ED38E9">
        <w:rPr>
          <w:rFonts w:cs="Arial"/>
        </w:rPr>
        <w:t>.</w:t>
      </w:r>
    </w:p>
    <w:p w:rsidR="00257E70" w:rsidRPr="00ED38E9" w:rsidRDefault="00257E70" w:rsidP="005D660F">
      <w:pPr>
        <w:pStyle w:val="Nadpis3"/>
      </w:pPr>
      <w:r w:rsidRPr="00ED38E9">
        <w:t>Varianta 1</w:t>
      </w:r>
    </w:p>
    <w:p w:rsidR="00257E70" w:rsidRPr="00ED38E9" w:rsidRDefault="00257E70" w:rsidP="00257E70">
      <w:pPr>
        <w:rPr>
          <w:rFonts w:cs="Arial"/>
        </w:rPr>
      </w:pPr>
      <w:r w:rsidRPr="00ED38E9">
        <w:rPr>
          <w:rFonts w:cs="Arial"/>
        </w:rPr>
        <w:t>Rozšíření registru míst zpětného odběru i na odpadní baterie a akumulátory a odpadní pneumatiky a jeho propojení s informačním systémem pro vedení informací o vozidlech s ukončenou životností.</w:t>
      </w:r>
    </w:p>
    <w:p w:rsidR="00257E70" w:rsidRPr="00ED38E9" w:rsidRDefault="00257E70" w:rsidP="005D660F">
      <w:pPr>
        <w:pStyle w:val="Nadpis2"/>
      </w:pPr>
      <w:bookmarkStart w:id="12" w:name="_Toc441759836"/>
      <w:r w:rsidRPr="00ED38E9">
        <w:t>Vyhodnocení nákladů a přínosů</w:t>
      </w:r>
      <w:bookmarkEnd w:id="12"/>
    </w:p>
    <w:p w:rsidR="00257E70" w:rsidRPr="00ED38E9" w:rsidRDefault="00257E70" w:rsidP="005D660F">
      <w:pPr>
        <w:pStyle w:val="Nadpis3"/>
      </w:pPr>
      <w:r w:rsidRPr="00ED38E9">
        <w:t>Identifikace nákladů a přínosů</w:t>
      </w:r>
    </w:p>
    <w:p w:rsidR="00257E70" w:rsidRPr="00ED38E9" w:rsidRDefault="00257E70" w:rsidP="00620E6B">
      <w:pPr>
        <w:pStyle w:val="Odstavecseseznamem"/>
        <w:numPr>
          <w:ilvl w:val="0"/>
          <w:numId w:val="12"/>
        </w:numPr>
        <w:spacing w:before="240" w:after="120"/>
        <w:rPr>
          <w:rFonts w:cs="Arial"/>
          <w:bCs/>
          <w:noProof w:val="0"/>
        </w:rPr>
      </w:pPr>
      <w:r w:rsidRPr="00ED38E9">
        <w:rPr>
          <w:rFonts w:cs="Arial"/>
          <w:bCs/>
          <w:noProof w:val="0"/>
        </w:rPr>
        <w:t>Varianta 0</w:t>
      </w:r>
    </w:p>
    <w:p w:rsidR="00257E70" w:rsidRPr="00ED38E9" w:rsidRDefault="00257E70" w:rsidP="00257E70">
      <w:pPr>
        <w:rPr>
          <w:rFonts w:cs="Arial"/>
        </w:rPr>
      </w:pPr>
      <w:r w:rsidRPr="00ED38E9">
        <w:rPr>
          <w:rFonts w:cs="Arial"/>
        </w:rPr>
        <w:t xml:space="preserve">Tato varianta nemá žádné přínosy, spotřebitel je o způsobu zpětného odběru nebo odděleného sběru </w:t>
      </w:r>
      <w:r w:rsidR="00935FB1">
        <w:rPr>
          <w:rFonts w:cs="Arial"/>
        </w:rPr>
        <w:t xml:space="preserve">dnes </w:t>
      </w:r>
      <w:r w:rsidRPr="00ED38E9">
        <w:rPr>
          <w:rFonts w:cs="Arial"/>
        </w:rPr>
        <w:t xml:space="preserve">informován </w:t>
      </w:r>
      <w:r w:rsidR="00935FB1">
        <w:rPr>
          <w:rFonts w:cs="Arial"/>
        </w:rPr>
        <w:t xml:space="preserve">především </w:t>
      </w:r>
      <w:r w:rsidRPr="00ED38E9">
        <w:rPr>
          <w:rFonts w:cs="Arial"/>
        </w:rPr>
        <w:t xml:space="preserve">v době nákupu. Výrobci, místa zpětného odběru a </w:t>
      </w:r>
      <w:r w:rsidR="00935FB1">
        <w:rPr>
          <w:rFonts w:cs="Arial"/>
        </w:rPr>
        <w:t>jejich dostupnost</w:t>
      </w:r>
      <w:r w:rsidR="00935FB1" w:rsidRPr="00ED38E9">
        <w:rPr>
          <w:rFonts w:cs="Arial"/>
        </w:rPr>
        <w:t xml:space="preserve"> </w:t>
      </w:r>
      <w:r w:rsidRPr="00ED38E9">
        <w:rPr>
          <w:rFonts w:cs="Arial"/>
        </w:rPr>
        <w:t>se mění</w:t>
      </w:r>
      <w:r w:rsidR="00935FB1">
        <w:rPr>
          <w:rFonts w:cs="Arial"/>
        </w:rPr>
        <w:t>,</w:t>
      </w:r>
      <w:r w:rsidRPr="00ED38E9">
        <w:rPr>
          <w:rFonts w:cs="Arial"/>
        </w:rPr>
        <w:t xml:space="preserve"> a tak informace předané při koupi nemusí být aktuální.</w:t>
      </w:r>
    </w:p>
    <w:p w:rsidR="00257E70" w:rsidRPr="00ED38E9" w:rsidRDefault="00257E70" w:rsidP="00257E70">
      <w:pPr>
        <w:rPr>
          <w:rFonts w:cs="Arial"/>
        </w:rPr>
      </w:pPr>
      <w:r w:rsidRPr="00ED38E9">
        <w:rPr>
          <w:rFonts w:cs="Arial"/>
        </w:rPr>
        <w:t xml:space="preserve">Konečnému uživateli se nabízí mnoho míst k odevzdání výrobku s ukončenou životností, ale získání informací </w:t>
      </w:r>
      <w:r w:rsidR="00935FB1">
        <w:rPr>
          <w:rFonts w:cs="Arial"/>
        </w:rPr>
        <w:t>o</w:t>
      </w:r>
      <w:r w:rsidRPr="00ED38E9">
        <w:rPr>
          <w:rFonts w:cs="Arial"/>
        </w:rPr>
        <w:t> nejvhodnějším míst</w:t>
      </w:r>
      <w:r w:rsidR="00935FB1">
        <w:rPr>
          <w:rFonts w:cs="Arial"/>
        </w:rPr>
        <w:t>ě</w:t>
      </w:r>
      <w:r w:rsidRPr="00ED38E9">
        <w:rPr>
          <w:rFonts w:cs="Arial"/>
        </w:rPr>
        <w:t xml:space="preserve"> je složité</w:t>
      </w:r>
      <w:r w:rsidR="00935FB1">
        <w:rPr>
          <w:rFonts w:cs="Arial"/>
        </w:rPr>
        <w:t>, a to</w:t>
      </w:r>
      <w:r w:rsidRPr="00ED38E9">
        <w:rPr>
          <w:rFonts w:cs="Arial"/>
        </w:rPr>
        <w:t xml:space="preserve"> i v případě, že má uživatel možnost hledat informace na internetu. Většinu výrobků s ukončenou životností je možné odevzdat při koupi nového výrobku, ve sběrném dvoře, do kontejneru či </w:t>
      </w:r>
      <w:r w:rsidR="005A0204">
        <w:rPr>
          <w:rFonts w:cs="Arial"/>
        </w:rPr>
        <w:t xml:space="preserve">sběrného boxu </w:t>
      </w:r>
      <w:r w:rsidRPr="00ED38E9">
        <w:rPr>
          <w:rFonts w:cs="Arial"/>
        </w:rPr>
        <w:t>některého z kolektivních systémů. T</w:t>
      </w:r>
      <w:r w:rsidR="005A0204">
        <w:rPr>
          <w:rFonts w:cs="Arial"/>
        </w:rPr>
        <w:t>akto</w:t>
      </w:r>
      <w:r w:rsidRPr="00ED38E9">
        <w:rPr>
          <w:rFonts w:cs="Arial"/>
        </w:rPr>
        <w:t xml:space="preserve"> se nabízí mnoho míst zpětného odběru s odlišnou dostupností.</w:t>
      </w:r>
      <w:r w:rsidR="005A0204">
        <w:rPr>
          <w:rFonts w:cs="Arial"/>
        </w:rPr>
        <w:t xml:space="preserve"> </w:t>
      </w:r>
      <w:r w:rsidR="0024251A" w:rsidRPr="00ED38E9">
        <w:rPr>
          <w:rFonts w:cs="Arial"/>
        </w:rPr>
        <w:lastRenderedPageBreak/>
        <w:t>C</w:t>
      </w:r>
      <w:r w:rsidR="00FD0FBE" w:rsidRPr="00ED38E9">
        <w:rPr>
          <w:rFonts w:cs="Arial"/>
        </w:rPr>
        <w:t>elkově odhadujeme, že míst, kde je možné odevzdat odpadní elektrozařízení, baterie a</w:t>
      </w:r>
      <w:r w:rsidR="003A677D" w:rsidRPr="00ED38E9">
        <w:rPr>
          <w:rFonts w:cs="Arial"/>
        </w:rPr>
        <w:t> </w:t>
      </w:r>
      <w:r w:rsidR="00FD0FBE" w:rsidRPr="00ED38E9">
        <w:rPr>
          <w:rFonts w:cs="Arial"/>
        </w:rPr>
        <w:t xml:space="preserve">akumulátory, </w:t>
      </w:r>
      <w:r w:rsidR="003A677D" w:rsidRPr="00ED38E9">
        <w:rPr>
          <w:rFonts w:cs="Arial"/>
        </w:rPr>
        <w:t xml:space="preserve">pneumatiky či autovraky je </w:t>
      </w:r>
      <w:r w:rsidR="005A0204">
        <w:rPr>
          <w:rFonts w:cs="Arial"/>
        </w:rPr>
        <w:t xml:space="preserve">v současnosti </w:t>
      </w:r>
      <w:r w:rsidR="003A677D" w:rsidRPr="00ED38E9">
        <w:rPr>
          <w:rFonts w:cs="Arial"/>
        </w:rPr>
        <w:t>cca 35,5 tis. v Ćeské republice.</w:t>
      </w:r>
    </w:p>
    <w:p w:rsidR="00257E70" w:rsidRPr="00ED38E9" w:rsidRDefault="00257E70" w:rsidP="00620E6B">
      <w:pPr>
        <w:pStyle w:val="Odstavecseseznamem"/>
        <w:numPr>
          <w:ilvl w:val="0"/>
          <w:numId w:val="12"/>
        </w:numPr>
        <w:spacing w:before="240" w:after="120"/>
        <w:rPr>
          <w:rFonts w:cs="Arial"/>
          <w:noProof w:val="0"/>
        </w:rPr>
      </w:pPr>
      <w:r w:rsidRPr="00ED38E9">
        <w:rPr>
          <w:rFonts w:cs="Arial"/>
          <w:bCs/>
          <w:noProof w:val="0"/>
        </w:rPr>
        <w:t>Varianta</w:t>
      </w:r>
      <w:r w:rsidRPr="00ED38E9">
        <w:rPr>
          <w:rFonts w:cs="Arial"/>
          <w:noProof w:val="0"/>
        </w:rPr>
        <w:t xml:space="preserve"> 1</w:t>
      </w:r>
    </w:p>
    <w:p w:rsidR="00257E70" w:rsidRPr="00ED38E9" w:rsidRDefault="00257E70" w:rsidP="003039AF">
      <w:pPr>
        <w:pStyle w:val="Normlntun"/>
        <w:rPr>
          <w:rFonts w:cs="Arial"/>
        </w:rPr>
      </w:pPr>
      <w:r w:rsidRPr="00ED38E9">
        <w:rPr>
          <w:rFonts w:cs="Arial"/>
        </w:rPr>
        <w:t>Dopad na státní rozpočet a ostatní veřejné rozpočty</w:t>
      </w:r>
    </w:p>
    <w:p w:rsidR="00257E70" w:rsidRPr="00ED38E9" w:rsidRDefault="00257E70" w:rsidP="00257E70">
      <w:pPr>
        <w:rPr>
          <w:rFonts w:cs="Arial"/>
        </w:rPr>
      </w:pPr>
      <w:r w:rsidRPr="00ED38E9">
        <w:rPr>
          <w:rFonts w:cs="Arial"/>
        </w:rPr>
        <w:t xml:space="preserve">Registr míst zpětného odběru </w:t>
      </w:r>
      <w:r w:rsidR="0024251A" w:rsidRPr="00ED38E9">
        <w:rPr>
          <w:rFonts w:cs="Arial"/>
        </w:rPr>
        <w:t xml:space="preserve">v oblasti EEZ </w:t>
      </w:r>
      <w:r w:rsidRPr="00ED38E9">
        <w:rPr>
          <w:rFonts w:cs="Arial"/>
        </w:rPr>
        <w:t xml:space="preserve">provozovaný ministerstvem </w:t>
      </w:r>
      <w:r w:rsidR="00DE6B78" w:rsidRPr="00ED38E9">
        <w:rPr>
          <w:rFonts w:cs="Arial"/>
        </w:rPr>
        <w:t xml:space="preserve">je </w:t>
      </w:r>
      <w:r w:rsidRPr="00ED38E9">
        <w:rPr>
          <w:rFonts w:cs="Arial"/>
        </w:rPr>
        <w:t xml:space="preserve">již </w:t>
      </w:r>
      <w:r w:rsidR="00DE6B78" w:rsidRPr="00ED38E9">
        <w:rPr>
          <w:rFonts w:cs="Arial"/>
        </w:rPr>
        <w:t>funkční</w:t>
      </w:r>
      <w:r w:rsidRPr="00ED38E9">
        <w:rPr>
          <w:rFonts w:cs="Arial"/>
        </w:rPr>
        <w:t xml:space="preserve">. </w:t>
      </w:r>
      <w:r w:rsidR="005A0204">
        <w:rPr>
          <w:rFonts w:cs="Arial"/>
        </w:rPr>
        <w:t>Náklady na j</w:t>
      </w:r>
      <w:r w:rsidRPr="00ED38E9">
        <w:rPr>
          <w:rFonts w:cs="Arial"/>
        </w:rPr>
        <w:t>eho rozšíření o další komodity byl</w:t>
      </w:r>
      <w:r w:rsidR="005A0204">
        <w:rPr>
          <w:rFonts w:cs="Arial"/>
        </w:rPr>
        <w:t>y</w:t>
      </w:r>
      <w:r w:rsidRPr="00ED38E9">
        <w:rPr>
          <w:rFonts w:cs="Arial"/>
        </w:rPr>
        <w:t xml:space="preserve"> odhadnut</w:t>
      </w:r>
      <w:r w:rsidR="005A0204">
        <w:rPr>
          <w:rFonts w:cs="Arial"/>
        </w:rPr>
        <w:t>y</w:t>
      </w:r>
      <w:r w:rsidRPr="00ED38E9">
        <w:rPr>
          <w:rFonts w:cs="Arial"/>
        </w:rPr>
        <w:t xml:space="preserve"> na max. 150 tis. Kč. Další náklady ministerstva vzniknou s distribucí přístupovách údajů povinným osobám</w:t>
      </w:r>
      <w:r w:rsidR="0024251A" w:rsidRPr="00ED38E9">
        <w:rPr>
          <w:rFonts w:cs="Arial"/>
        </w:rPr>
        <w:t>. P</w:t>
      </w:r>
      <w:r w:rsidRPr="00ED38E9">
        <w:rPr>
          <w:rFonts w:cs="Arial"/>
        </w:rPr>
        <w:t>ředpokládáme, že se bude jednat přibližně o jeden pracovní den jednoho zaměstnance (cca 3 tis. Kč, dle Metodiky MV, 13. platová třída</w:t>
      </w:r>
      <w:r w:rsidR="00DE6B78" w:rsidRPr="00ED38E9">
        <w:rPr>
          <w:rFonts w:cs="Arial"/>
        </w:rPr>
        <w:t>, stav k 1. 1. 201</w:t>
      </w:r>
      <w:r w:rsidR="00814874" w:rsidRPr="00ED38E9">
        <w:rPr>
          <w:rFonts w:cs="Arial"/>
        </w:rPr>
        <w:t>5</w:t>
      </w:r>
      <w:r w:rsidRPr="00ED38E9">
        <w:rPr>
          <w:rFonts w:cs="Arial"/>
        </w:rPr>
        <w:t>) a uvedená činnost bude v rámci pracovní náplně pracovníka odboru odpadů. Uvedené náklady na rozšíření aplikace budou hrazeny z kapitoly 315 Ministerstva životního prostředí.</w:t>
      </w:r>
    </w:p>
    <w:p w:rsidR="00257E70" w:rsidRPr="00ED38E9" w:rsidRDefault="00257E70" w:rsidP="003039AF">
      <w:pPr>
        <w:pStyle w:val="Normlntun"/>
        <w:rPr>
          <w:rFonts w:cs="Arial"/>
        </w:rPr>
      </w:pPr>
      <w:r w:rsidRPr="00ED38E9">
        <w:rPr>
          <w:rFonts w:cs="Arial"/>
        </w:rPr>
        <w:t>Dopad na podnikatelské subjekty – kolektivní plnění povinností</w:t>
      </w:r>
    </w:p>
    <w:p w:rsidR="00257E70" w:rsidRPr="00ED38E9" w:rsidRDefault="00257E70" w:rsidP="00257E70">
      <w:pPr>
        <w:keepNext/>
        <w:rPr>
          <w:rFonts w:cs="Arial"/>
        </w:rPr>
      </w:pPr>
      <w:r w:rsidRPr="00ED38E9">
        <w:rPr>
          <w:rFonts w:cs="Arial"/>
        </w:rPr>
        <w:t xml:space="preserve">Výrobci spadající pod kolektivní systém budou </w:t>
      </w:r>
      <w:r w:rsidR="005A0204">
        <w:rPr>
          <w:rFonts w:cs="Arial"/>
        </w:rPr>
        <w:t xml:space="preserve">informace o </w:t>
      </w:r>
      <w:r w:rsidRPr="00ED38E9">
        <w:rPr>
          <w:rFonts w:cs="Arial"/>
        </w:rPr>
        <w:t>míst</w:t>
      </w:r>
      <w:r w:rsidR="005A0204">
        <w:rPr>
          <w:rFonts w:cs="Arial"/>
        </w:rPr>
        <w:t>ech</w:t>
      </w:r>
      <w:r w:rsidRPr="00ED38E9">
        <w:rPr>
          <w:rFonts w:cs="Arial"/>
        </w:rPr>
        <w:t xml:space="preserve"> zpětného odběru hlásit přes tento subjekt, tzn. minimální administrativní zátěž, protože očekáváme propojení softwarových systémů, kde se </w:t>
      </w:r>
      <w:r w:rsidR="00DE6B78" w:rsidRPr="00ED38E9">
        <w:rPr>
          <w:rFonts w:cs="Arial"/>
        </w:rPr>
        <w:t>náklady odhadují od 30 tis. Kč pro jeden subjekt.</w:t>
      </w:r>
    </w:p>
    <w:p w:rsidR="00257E70" w:rsidRPr="00ED38E9" w:rsidRDefault="00257E70" w:rsidP="003039AF">
      <w:pPr>
        <w:pStyle w:val="Normlntun"/>
        <w:rPr>
          <w:rFonts w:cs="Arial"/>
        </w:rPr>
      </w:pPr>
      <w:r w:rsidRPr="00ED38E9">
        <w:rPr>
          <w:rFonts w:cs="Arial"/>
        </w:rPr>
        <w:t xml:space="preserve">Dopad na </w:t>
      </w:r>
      <w:r w:rsidRPr="00ED38E9">
        <w:rPr>
          <w:rStyle w:val="Siln"/>
          <w:rFonts w:cs="Arial"/>
        </w:rPr>
        <w:t>podnikatelské</w:t>
      </w:r>
      <w:r w:rsidRPr="00ED38E9">
        <w:rPr>
          <w:rFonts w:cs="Arial"/>
        </w:rPr>
        <w:t xml:space="preserve"> subjekty – individuální plnění povinností</w:t>
      </w:r>
    </w:p>
    <w:p w:rsidR="00257E70" w:rsidRPr="00ED38E9" w:rsidRDefault="00257E70" w:rsidP="00257E70">
      <w:pPr>
        <w:rPr>
          <w:rFonts w:cs="Arial"/>
        </w:rPr>
      </w:pPr>
      <w:r w:rsidRPr="00ED38E9">
        <w:rPr>
          <w:rFonts w:cs="Arial"/>
        </w:rPr>
        <w:t xml:space="preserve">Co se týče individuálně plnících výrobců, tak předpokládáme minimální náklady spojené s touto povinností, protože odhadujeme, že vyplnění údajů o jednom místě zpětného odběru zabere i s přihlášením maximálně 5 minut a tato činnost </w:t>
      </w:r>
      <w:r w:rsidR="00167563" w:rsidRPr="00ED38E9">
        <w:rPr>
          <w:rFonts w:cs="Arial"/>
        </w:rPr>
        <w:t xml:space="preserve">se bude </w:t>
      </w:r>
      <w:r w:rsidRPr="00ED38E9">
        <w:rPr>
          <w:rFonts w:cs="Arial"/>
        </w:rPr>
        <w:t>týkat jen výrobců s malým počtem míst zpětného odběru, protože ti větší již v dnešní době mají požadovaná data v elektro</w:t>
      </w:r>
      <w:r w:rsidR="00DE6B78" w:rsidRPr="00ED38E9">
        <w:rPr>
          <w:rFonts w:cs="Arial"/>
        </w:rPr>
        <w:t>n</w:t>
      </w:r>
      <w:r w:rsidRPr="00ED38E9">
        <w:rPr>
          <w:rFonts w:cs="Arial"/>
        </w:rPr>
        <w:t xml:space="preserve">ické podobě a budou </w:t>
      </w:r>
      <w:r w:rsidR="0024251A" w:rsidRPr="00ED38E9">
        <w:rPr>
          <w:rFonts w:cs="Arial"/>
        </w:rPr>
        <w:t xml:space="preserve">si </w:t>
      </w:r>
      <w:r w:rsidRPr="00ED38E9">
        <w:rPr>
          <w:rFonts w:cs="Arial"/>
        </w:rPr>
        <w:t>moci stejně jako kolektivní systémy nechat své systémy propojit.</w:t>
      </w:r>
    </w:p>
    <w:p w:rsidR="00257E70" w:rsidRPr="00ED38E9" w:rsidRDefault="00257E70" w:rsidP="003039AF">
      <w:pPr>
        <w:pStyle w:val="Normlntun"/>
        <w:rPr>
          <w:rFonts w:cs="Arial"/>
        </w:rPr>
      </w:pPr>
      <w:r w:rsidRPr="00ED38E9">
        <w:rPr>
          <w:rFonts w:cs="Arial"/>
        </w:rPr>
        <w:t>Dopad na územní samosprávné celky (obce, kraje)</w:t>
      </w:r>
    </w:p>
    <w:p w:rsidR="00257E70" w:rsidRPr="00ED38E9" w:rsidRDefault="00257E70" w:rsidP="00257E70">
      <w:pPr>
        <w:rPr>
          <w:rFonts w:cs="Arial"/>
        </w:rPr>
      </w:pPr>
      <w:r w:rsidRPr="00ED38E9">
        <w:rPr>
          <w:rFonts w:cs="Arial"/>
        </w:rPr>
        <w:t>Každá činnost vedoucí k lepší informovanosti obyvatel</w:t>
      </w:r>
      <w:r w:rsidR="005A0204">
        <w:rPr>
          <w:rFonts w:cs="Arial"/>
        </w:rPr>
        <w:t xml:space="preserve"> v oblasti nakládání s odpady</w:t>
      </w:r>
      <w:r w:rsidRPr="00ED38E9">
        <w:rPr>
          <w:rFonts w:cs="Arial"/>
        </w:rPr>
        <w:t xml:space="preserve"> je</w:t>
      </w:r>
      <w:r w:rsidR="005A0204">
        <w:rPr>
          <w:rFonts w:cs="Arial"/>
        </w:rPr>
        <w:t xml:space="preserve"> nezpochybnitelným</w:t>
      </w:r>
      <w:r w:rsidRPr="00ED38E9">
        <w:rPr>
          <w:rFonts w:cs="Arial"/>
        </w:rPr>
        <w:t xml:space="preserve"> přínosem pro obce, protože </w:t>
      </w:r>
      <w:r w:rsidR="005A0204">
        <w:rPr>
          <w:rFonts w:cs="Arial"/>
        </w:rPr>
        <w:t>se snižuje pravděpodobnost, že občané budou výrobky odkládat v rámci směsného komunálního odpadu, a zároveň je snižováno i</w:t>
      </w:r>
      <w:r w:rsidR="00D009CA">
        <w:rPr>
          <w:rFonts w:cs="Arial"/>
        </w:rPr>
        <w:t> </w:t>
      </w:r>
      <w:r w:rsidR="005A0204">
        <w:rPr>
          <w:rFonts w:cs="Arial"/>
        </w:rPr>
        <w:t xml:space="preserve">riziko vzniku černých skládek. Řádné nakládání s odpady ze strany obyvatel </w:t>
      </w:r>
      <w:r w:rsidR="00A17F43">
        <w:rPr>
          <w:rFonts w:cs="Arial"/>
        </w:rPr>
        <w:t xml:space="preserve">tedy </w:t>
      </w:r>
      <w:r w:rsidR="005A0204">
        <w:rPr>
          <w:rFonts w:cs="Arial"/>
        </w:rPr>
        <w:t xml:space="preserve">snižuje </w:t>
      </w:r>
      <w:r w:rsidR="00A17F43">
        <w:rPr>
          <w:rFonts w:cs="Arial"/>
        </w:rPr>
        <w:t xml:space="preserve">celkové </w:t>
      </w:r>
      <w:r w:rsidR="005A0204">
        <w:rPr>
          <w:rFonts w:cs="Arial"/>
        </w:rPr>
        <w:t xml:space="preserve">náklady </w:t>
      </w:r>
      <w:r w:rsidR="00A17F43">
        <w:rPr>
          <w:rFonts w:cs="Arial"/>
        </w:rPr>
        <w:t xml:space="preserve">obcí na provozování </w:t>
      </w:r>
      <w:r w:rsidR="005A0204">
        <w:rPr>
          <w:rFonts w:cs="Arial"/>
        </w:rPr>
        <w:t>systém</w:t>
      </w:r>
      <w:r w:rsidR="00A17F43">
        <w:rPr>
          <w:rFonts w:cs="Arial"/>
        </w:rPr>
        <w:t>ů</w:t>
      </w:r>
      <w:r w:rsidR="005A0204">
        <w:rPr>
          <w:rFonts w:cs="Arial"/>
        </w:rPr>
        <w:t xml:space="preserve"> </w:t>
      </w:r>
      <w:r w:rsidR="00A17F43">
        <w:rPr>
          <w:rFonts w:cs="Arial"/>
        </w:rPr>
        <w:t>nakládání s odpady</w:t>
      </w:r>
      <w:r w:rsidR="005A0204">
        <w:rPr>
          <w:rFonts w:cs="Arial"/>
        </w:rPr>
        <w:t xml:space="preserve">. </w:t>
      </w:r>
    </w:p>
    <w:p w:rsidR="00257E70" w:rsidRPr="00ED38E9" w:rsidRDefault="00257E70" w:rsidP="003039AF">
      <w:pPr>
        <w:pStyle w:val="Normlntun"/>
        <w:rPr>
          <w:rFonts w:cs="Arial"/>
        </w:rPr>
      </w:pPr>
      <w:r w:rsidRPr="00ED38E9">
        <w:rPr>
          <w:rFonts w:cs="Arial"/>
        </w:rPr>
        <w:t>Sociální dopady a dopad na životní prostředí</w:t>
      </w:r>
    </w:p>
    <w:p w:rsidR="00257E70" w:rsidRPr="00ED38E9" w:rsidRDefault="00257E70" w:rsidP="00257E70">
      <w:pPr>
        <w:rPr>
          <w:rFonts w:cs="Arial"/>
        </w:rPr>
      </w:pPr>
      <w:r w:rsidRPr="00ED38E9">
        <w:rPr>
          <w:rFonts w:cs="Arial"/>
        </w:rPr>
        <w:t>Přínosem této varianty je jednoduchý a rychlý přístup k informacím pro občany, kteří chtějí odevzdat výrobky s ukončenou životností v rámci zpětného odběru</w:t>
      </w:r>
      <w:r w:rsidR="00A17F43">
        <w:rPr>
          <w:rFonts w:cs="Arial"/>
        </w:rPr>
        <w:t>¨,</w:t>
      </w:r>
      <w:r w:rsidRPr="00ED38E9">
        <w:rPr>
          <w:rFonts w:cs="Arial"/>
        </w:rPr>
        <w:t xml:space="preserve"> a to vede k efektivnějšímu nakládání s odpady a k menšímu množství odloženého odpadu mimo místa určená (černé skládky zatěžující životní prostředí</w:t>
      </w:r>
      <w:r w:rsidR="00DE6B78" w:rsidRPr="00ED38E9">
        <w:rPr>
          <w:rFonts w:cs="Arial"/>
        </w:rPr>
        <w:t xml:space="preserve"> nebo </w:t>
      </w:r>
      <w:r w:rsidR="00A17F43">
        <w:rPr>
          <w:rFonts w:cs="Arial"/>
        </w:rPr>
        <w:t>vyšší produkce</w:t>
      </w:r>
      <w:r w:rsidR="00DE6B78" w:rsidRPr="00ED38E9">
        <w:rPr>
          <w:rFonts w:cs="Arial"/>
        </w:rPr>
        <w:t xml:space="preserve"> směsný</w:t>
      </w:r>
      <w:r w:rsidR="00A17F43">
        <w:rPr>
          <w:rFonts w:cs="Arial"/>
        </w:rPr>
        <w:t>ch</w:t>
      </w:r>
      <w:r w:rsidR="00DE6B78" w:rsidRPr="00ED38E9">
        <w:rPr>
          <w:rFonts w:cs="Arial"/>
        </w:rPr>
        <w:t xml:space="preserve"> komunální</w:t>
      </w:r>
      <w:r w:rsidR="00A17F43">
        <w:rPr>
          <w:rFonts w:cs="Arial"/>
        </w:rPr>
        <w:t>ch</w:t>
      </w:r>
      <w:r w:rsidR="00DE6B78" w:rsidRPr="00ED38E9">
        <w:rPr>
          <w:rFonts w:cs="Arial"/>
        </w:rPr>
        <w:t xml:space="preserve"> odpad</w:t>
      </w:r>
      <w:r w:rsidR="00A17F43">
        <w:rPr>
          <w:rFonts w:cs="Arial"/>
        </w:rPr>
        <w:t>ů</w:t>
      </w:r>
      <w:r w:rsidRPr="00ED38E9">
        <w:rPr>
          <w:rFonts w:cs="Arial"/>
        </w:rPr>
        <w:t>).</w:t>
      </w:r>
    </w:p>
    <w:p w:rsidR="00257E70" w:rsidRPr="00ED38E9" w:rsidRDefault="00257E70" w:rsidP="005D660F">
      <w:pPr>
        <w:pStyle w:val="Nadpis3"/>
      </w:pPr>
      <w:r w:rsidRPr="00ED38E9">
        <w:lastRenderedPageBreak/>
        <w:t>Vyhodnocení nákladů a přínosů variant</w:t>
      </w:r>
    </w:p>
    <w:p w:rsidR="00257E70" w:rsidRPr="00ED38E9" w:rsidRDefault="00257E70" w:rsidP="00257E70">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w:t>
      </w:r>
      <w:r w:rsidR="00381FB7" w:rsidRPr="00ED38E9">
        <w:rPr>
          <w:rFonts w:cs="Arial"/>
        </w:rPr>
        <w:fldChar w:fldCharType="end"/>
      </w:r>
      <w:r w:rsidRPr="00ED38E9">
        <w:rPr>
          <w:rFonts w:cs="Arial"/>
        </w:rPr>
        <w:t>: Porovnání nákladů a přínosů</w:t>
      </w:r>
    </w:p>
    <w:p w:rsidR="00257E70" w:rsidRPr="00ED38E9" w:rsidRDefault="00DE6B78" w:rsidP="00257E70">
      <w:pPr>
        <w:rPr>
          <w:rFonts w:cs="Arial"/>
        </w:rPr>
      </w:pPr>
      <w:r w:rsidRPr="00ED38E9">
        <w:rPr>
          <w:rFonts w:cs="Arial"/>
          <w:lang w:eastAsia="cs-CZ" w:bidi="ar-SA"/>
        </w:rPr>
        <w:drawing>
          <wp:inline distT="0" distB="0" distL="0" distR="0" wp14:anchorId="5FC9026F" wp14:editId="3D6F460C">
            <wp:extent cx="5760720" cy="7677284"/>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7677284"/>
                    </a:xfrm>
                    <a:prstGeom prst="rect">
                      <a:avLst/>
                    </a:prstGeom>
                    <a:noFill/>
                    <a:ln>
                      <a:noFill/>
                    </a:ln>
                  </pic:spPr>
                </pic:pic>
              </a:graphicData>
            </a:graphic>
          </wp:inline>
        </w:drawing>
      </w:r>
    </w:p>
    <w:p w:rsidR="00257E70" w:rsidRPr="00ED38E9" w:rsidRDefault="00257E70" w:rsidP="005D660F">
      <w:pPr>
        <w:pStyle w:val="Nadpis2"/>
      </w:pPr>
      <w:bookmarkStart w:id="13" w:name="_Toc441759837"/>
      <w:r w:rsidRPr="00ED38E9">
        <w:lastRenderedPageBreak/>
        <w:t>Návrh řešení</w:t>
      </w:r>
      <w:bookmarkEnd w:id="13"/>
    </w:p>
    <w:p w:rsidR="00257E70" w:rsidRPr="00ED38E9" w:rsidRDefault="00257E70" w:rsidP="005D660F">
      <w:pPr>
        <w:pStyle w:val="Nadpis3"/>
      </w:pPr>
      <w:r w:rsidRPr="00ED38E9">
        <w:t>Stanovení pořadí variant a výběr nejvhodnějšího řešení</w:t>
      </w:r>
    </w:p>
    <w:p w:rsidR="00257E70" w:rsidRPr="00ED38E9" w:rsidRDefault="00257E70" w:rsidP="00620E6B">
      <w:pPr>
        <w:pStyle w:val="Odstavecseseznamem"/>
        <w:numPr>
          <w:ilvl w:val="0"/>
          <w:numId w:val="13"/>
        </w:numPr>
        <w:rPr>
          <w:rFonts w:cs="Arial"/>
          <w:b/>
          <w:noProof w:val="0"/>
        </w:rPr>
      </w:pPr>
      <w:r w:rsidRPr="00ED38E9">
        <w:rPr>
          <w:rFonts w:cs="Arial"/>
          <w:b/>
          <w:noProof w:val="0"/>
        </w:rPr>
        <w:t>Varianta 1</w:t>
      </w:r>
    </w:p>
    <w:p w:rsidR="00257E70" w:rsidRPr="00ED38E9" w:rsidRDefault="00257E70" w:rsidP="00620E6B">
      <w:pPr>
        <w:pStyle w:val="Odstavecseseznamem"/>
        <w:numPr>
          <w:ilvl w:val="0"/>
          <w:numId w:val="13"/>
        </w:numPr>
        <w:rPr>
          <w:rFonts w:cs="Arial"/>
          <w:noProof w:val="0"/>
        </w:rPr>
      </w:pPr>
      <w:r w:rsidRPr="00ED38E9">
        <w:rPr>
          <w:rFonts w:cs="Arial"/>
          <w:noProof w:val="0"/>
        </w:rPr>
        <w:t>Varianta 0</w:t>
      </w:r>
    </w:p>
    <w:p w:rsidR="00257E70" w:rsidRPr="00ED38E9" w:rsidRDefault="00257E70" w:rsidP="00783869">
      <w:pPr>
        <w:spacing w:before="120"/>
        <w:rPr>
          <w:rFonts w:cs="Arial"/>
        </w:rPr>
      </w:pPr>
      <w:r w:rsidRPr="00ED38E9">
        <w:rPr>
          <w:rFonts w:cs="Arial"/>
        </w:rPr>
        <w:t>Z důvodu zlepšení informovanosti občanů v oblasti nakládání s odpady doporučujeme přijmout Variantu 1.</w:t>
      </w:r>
    </w:p>
    <w:p w:rsidR="00CE4238" w:rsidRPr="00ED38E9" w:rsidRDefault="00D61334" w:rsidP="005D660F">
      <w:pPr>
        <w:pStyle w:val="Nadpis1"/>
      </w:pPr>
      <w:bookmarkStart w:id="14" w:name="_Toc441759838"/>
      <w:bookmarkStart w:id="15" w:name="_Toc441760179"/>
      <w:r w:rsidRPr="00ED38E9">
        <w:t xml:space="preserve">Oprávnění k provozování </w:t>
      </w:r>
      <w:r w:rsidR="00DA1276" w:rsidRPr="00ED38E9">
        <w:t>kolektivního systému</w:t>
      </w:r>
      <w:bookmarkEnd w:id="14"/>
      <w:bookmarkEnd w:id="15"/>
    </w:p>
    <w:p w:rsidR="00257E70" w:rsidRPr="00ED38E9" w:rsidRDefault="00257E70" w:rsidP="005D660F">
      <w:pPr>
        <w:pStyle w:val="Nadpis2"/>
      </w:pPr>
      <w:bookmarkStart w:id="16" w:name="_Toc441759839"/>
      <w:r w:rsidRPr="00ED38E9">
        <w:t>Důvod předložení a cíle</w:t>
      </w:r>
      <w:bookmarkEnd w:id="16"/>
    </w:p>
    <w:p w:rsidR="00257E70" w:rsidRPr="00ED38E9" w:rsidRDefault="00257E70" w:rsidP="005D660F">
      <w:pPr>
        <w:pStyle w:val="Nadpis3"/>
      </w:pPr>
      <w:r w:rsidRPr="00ED38E9">
        <w:t>Definice problému</w:t>
      </w:r>
    </w:p>
    <w:p w:rsidR="00A55654" w:rsidRPr="00ED38E9" w:rsidRDefault="00A55654" w:rsidP="00F66B49">
      <w:pPr>
        <w:tabs>
          <w:tab w:val="left" w:pos="1843"/>
        </w:tabs>
        <w:rPr>
          <w:rFonts w:cs="Arial"/>
        </w:rPr>
      </w:pPr>
      <w:r w:rsidRPr="00ED38E9">
        <w:rPr>
          <w:rFonts w:cs="Arial"/>
        </w:rPr>
        <w:t>V návaznosti na požadavky evropské legislativy byly postupně do zákona o odpadech zavedeny povinnosti výrobců elektrozařízení</w:t>
      </w:r>
      <w:r w:rsidR="00735B62" w:rsidRPr="00ED38E9">
        <w:rPr>
          <w:rFonts w:cs="Arial"/>
        </w:rPr>
        <w:t xml:space="preserve"> a</w:t>
      </w:r>
      <w:r w:rsidRPr="00ED38E9">
        <w:rPr>
          <w:rFonts w:cs="Arial"/>
        </w:rPr>
        <w:t xml:space="preserve"> baterií a akumulátorů vč. způsobu plnění těchto povinností v rámci tzv. kolektivních systémů. </w:t>
      </w:r>
      <w:r w:rsidR="00735B62" w:rsidRPr="00ED38E9">
        <w:rPr>
          <w:rFonts w:cs="Arial"/>
        </w:rPr>
        <w:t xml:space="preserve">Jako poslední v této oblasti byla zákonem o odpadech zavedena regulace kolektivních systémů v oblasti pneumatik. </w:t>
      </w:r>
      <w:r w:rsidRPr="00ED38E9">
        <w:rPr>
          <w:rFonts w:cs="Arial"/>
        </w:rPr>
        <w:t xml:space="preserve">S ohledem na postupné novelizace zákona o odpadech  a </w:t>
      </w:r>
      <w:r w:rsidR="00735B62" w:rsidRPr="00ED38E9">
        <w:rPr>
          <w:rFonts w:cs="Arial"/>
        </w:rPr>
        <w:t xml:space="preserve">problémy </w:t>
      </w:r>
      <w:r w:rsidR="0024251A" w:rsidRPr="00ED38E9">
        <w:rPr>
          <w:rFonts w:cs="Arial"/>
        </w:rPr>
        <w:t xml:space="preserve">plynoucí </w:t>
      </w:r>
      <w:r w:rsidR="00735B62" w:rsidRPr="00ED38E9">
        <w:rPr>
          <w:rFonts w:cs="Arial"/>
        </w:rPr>
        <w:t xml:space="preserve">ze </w:t>
      </w:r>
      <w:r w:rsidRPr="00ED38E9">
        <w:rPr>
          <w:rFonts w:cs="Arial"/>
        </w:rPr>
        <w:t>způsobu udělování oprávnění pro provoz kolektivních systémů zajišťujících</w:t>
      </w:r>
      <w:r w:rsidR="0089277C">
        <w:rPr>
          <w:rFonts w:cs="Arial"/>
        </w:rPr>
        <w:t xml:space="preserve"> zpětný odběr elektrozařízení a </w:t>
      </w:r>
      <w:r w:rsidRPr="00ED38E9">
        <w:rPr>
          <w:rFonts w:cs="Arial"/>
        </w:rPr>
        <w:t>oddělený sběr elektroodpadů, se právní úprav</w:t>
      </w:r>
      <w:r w:rsidR="00735B62" w:rsidRPr="00ED38E9">
        <w:rPr>
          <w:rFonts w:cs="Arial"/>
        </w:rPr>
        <w:t>y</w:t>
      </w:r>
      <w:r w:rsidRPr="00ED38E9">
        <w:rPr>
          <w:rFonts w:cs="Arial"/>
        </w:rPr>
        <w:t xml:space="preserve"> v</w:t>
      </w:r>
      <w:r w:rsidR="00A17F43">
        <w:rPr>
          <w:rFonts w:cs="Arial"/>
        </w:rPr>
        <w:t> jednotlivých výrobkových</w:t>
      </w:r>
      <w:r w:rsidRPr="00ED38E9">
        <w:rPr>
          <w:rFonts w:cs="Arial"/>
        </w:rPr>
        <w:t xml:space="preserve"> oblastech zásadně liší.</w:t>
      </w:r>
    </w:p>
    <w:p w:rsidR="00257E70" w:rsidRPr="00ED38E9" w:rsidRDefault="00257E70" w:rsidP="005D660F">
      <w:pPr>
        <w:pStyle w:val="Nadpis3"/>
      </w:pPr>
      <w:r w:rsidRPr="00ED38E9">
        <w:t>Popis existujícího právního stavu v dané oblasti</w:t>
      </w:r>
    </w:p>
    <w:p w:rsidR="00257E70" w:rsidRPr="00ED38E9" w:rsidRDefault="00974140" w:rsidP="00783869">
      <w:pPr>
        <w:pStyle w:val="Normlntun"/>
        <w:rPr>
          <w:rFonts w:cs="Arial"/>
        </w:rPr>
      </w:pPr>
      <w:r w:rsidRPr="00ED38E9">
        <w:rPr>
          <w:rFonts w:cs="Arial"/>
        </w:rPr>
        <w:t>Baterie a akumulátory</w:t>
      </w:r>
    </w:p>
    <w:p w:rsidR="00974140" w:rsidRPr="00ED38E9" w:rsidRDefault="00974140">
      <w:pPr>
        <w:rPr>
          <w:rFonts w:cs="Arial"/>
        </w:rPr>
      </w:pPr>
      <w:r w:rsidRPr="00ED38E9">
        <w:rPr>
          <w:rFonts w:cs="Arial"/>
        </w:rPr>
        <w:t>Vydávání oprávnění k provozování kolektivního systému je upraveno v § 31m zákona o odpadech.</w:t>
      </w:r>
    </w:p>
    <w:p w:rsidR="00974140" w:rsidRPr="00ED38E9" w:rsidRDefault="00974140" w:rsidP="00783869">
      <w:pPr>
        <w:pStyle w:val="Normlntun"/>
        <w:rPr>
          <w:rFonts w:cs="Arial"/>
        </w:rPr>
      </w:pPr>
      <w:r w:rsidRPr="00ED38E9">
        <w:rPr>
          <w:rFonts w:cs="Arial"/>
        </w:rPr>
        <w:t>Elektrická a elektronická zařízení (EEZ, elektrozařízení)</w:t>
      </w:r>
    </w:p>
    <w:p w:rsidR="00974140" w:rsidRPr="00ED38E9" w:rsidRDefault="00974140">
      <w:pPr>
        <w:rPr>
          <w:rFonts w:cs="Arial"/>
        </w:rPr>
      </w:pPr>
      <w:r w:rsidRPr="00ED38E9">
        <w:rPr>
          <w:rFonts w:cs="Arial"/>
        </w:rPr>
        <w:t>Zákon o odpadech v § 37h uvádí, že výrobce může splnit povinnosti stanovené pro oddělený sběr, zpětný odběr, zpracování, využití a odstranění elektrozařízení a elektroodpadu přenesením těchto povinností na jinou právnickou osobu zajišťující společné plnění povinností výrobců a tzv. kolektivní plnění. Zápis kolektivního systému je upraven § 37i zákona o odpadech</w:t>
      </w:r>
      <w:r w:rsidR="00A55654" w:rsidRPr="00ED38E9">
        <w:rPr>
          <w:rFonts w:cs="Arial"/>
        </w:rPr>
        <w:t>.</w:t>
      </w:r>
    </w:p>
    <w:p w:rsidR="00974140" w:rsidRPr="00ED38E9" w:rsidRDefault="00974140" w:rsidP="00783869">
      <w:pPr>
        <w:pStyle w:val="Normlntun"/>
        <w:rPr>
          <w:rFonts w:cs="Arial"/>
        </w:rPr>
      </w:pPr>
      <w:r w:rsidRPr="00ED38E9">
        <w:rPr>
          <w:rFonts w:cs="Arial"/>
        </w:rPr>
        <w:t>Pneumatiky</w:t>
      </w:r>
    </w:p>
    <w:p w:rsidR="00437A56" w:rsidRPr="00ED38E9" w:rsidRDefault="008B410E">
      <w:pPr>
        <w:rPr>
          <w:rFonts w:cs="Arial"/>
        </w:rPr>
      </w:pPr>
      <w:r w:rsidRPr="00ED38E9">
        <w:rPr>
          <w:rFonts w:cs="Arial"/>
        </w:rPr>
        <w:t>Vydávání oprávnění k provozování kolektivního systému je upraveno v § 38d zákona o</w:t>
      </w:r>
      <w:r w:rsidR="002F3826" w:rsidRPr="00ED38E9">
        <w:rPr>
          <w:rFonts w:cs="Arial"/>
        </w:rPr>
        <w:t> </w:t>
      </w:r>
      <w:r w:rsidRPr="00ED38E9">
        <w:rPr>
          <w:rFonts w:cs="Arial"/>
        </w:rPr>
        <w:t>odpadech.</w:t>
      </w:r>
    </w:p>
    <w:p w:rsidR="00257E70" w:rsidRPr="00ED38E9" w:rsidRDefault="00257E70" w:rsidP="005D660F">
      <w:pPr>
        <w:pStyle w:val="Nadpis3"/>
      </w:pPr>
      <w:r w:rsidRPr="00ED38E9">
        <w:t>Identifikace dotčených subjektů</w:t>
      </w:r>
    </w:p>
    <w:p w:rsidR="00257E70" w:rsidRPr="00ED38E9" w:rsidRDefault="00257E70" w:rsidP="002D66F0">
      <w:pPr>
        <w:pStyle w:val="Odstavecseseznamem"/>
        <w:numPr>
          <w:ilvl w:val="0"/>
          <w:numId w:val="84"/>
        </w:numPr>
        <w:contextualSpacing w:val="0"/>
        <w:rPr>
          <w:rFonts w:cs="Arial"/>
        </w:rPr>
      </w:pPr>
      <w:r w:rsidRPr="00ED38E9">
        <w:rPr>
          <w:rFonts w:cs="Arial"/>
        </w:rPr>
        <w:t>Ministerstvo životního prostředí (MŽP, ministerstvo),</w:t>
      </w:r>
    </w:p>
    <w:p w:rsidR="00257E70" w:rsidRPr="00ED38E9" w:rsidRDefault="00D61334" w:rsidP="002D66F0">
      <w:pPr>
        <w:pStyle w:val="Odstavecseseznamem"/>
        <w:numPr>
          <w:ilvl w:val="0"/>
          <w:numId w:val="84"/>
        </w:numPr>
        <w:contextualSpacing w:val="0"/>
        <w:rPr>
          <w:rFonts w:cs="Arial"/>
        </w:rPr>
      </w:pPr>
      <w:r w:rsidRPr="00ED38E9">
        <w:rPr>
          <w:rFonts w:cs="Arial"/>
        </w:rPr>
        <w:t>výrobci, povinné osoby</w:t>
      </w:r>
      <w:r w:rsidR="00257E70" w:rsidRPr="00ED38E9">
        <w:rPr>
          <w:rFonts w:cs="Arial"/>
        </w:rPr>
        <w:t>.</w:t>
      </w:r>
    </w:p>
    <w:p w:rsidR="00257E70" w:rsidRPr="00ED38E9" w:rsidRDefault="00257E70" w:rsidP="005D660F">
      <w:pPr>
        <w:pStyle w:val="Nadpis3"/>
      </w:pPr>
      <w:r w:rsidRPr="00ED38E9">
        <w:t>Popis cílového stavu</w:t>
      </w:r>
    </w:p>
    <w:p w:rsidR="003A4884" w:rsidRPr="00ED38E9" w:rsidRDefault="008B410E" w:rsidP="003A4884">
      <w:pPr>
        <w:rPr>
          <w:rFonts w:cs="Arial"/>
        </w:rPr>
      </w:pPr>
      <w:r w:rsidRPr="00ED38E9">
        <w:rPr>
          <w:rFonts w:cs="Arial"/>
        </w:rPr>
        <w:t xml:space="preserve">Hlavním cílem je sjednocení pravidel </w:t>
      </w:r>
      <w:r w:rsidR="00A17F43">
        <w:rPr>
          <w:rFonts w:cs="Arial"/>
        </w:rPr>
        <w:t xml:space="preserve">pro udělování oprávnění k činnosti </w:t>
      </w:r>
      <w:r w:rsidRPr="00ED38E9">
        <w:rPr>
          <w:rFonts w:cs="Arial"/>
        </w:rPr>
        <w:t xml:space="preserve">všech kolektivních systémů, které </w:t>
      </w:r>
      <w:r w:rsidR="00735B62" w:rsidRPr="00ED38E9">
        <w:rPr>
          <w:rFonts w:cs="Arial"/>
        </w:rPr>
        <w:t xml:space="preserve">působí </w:t>
      </w:r>
      <w:r w:rsidR="00A17F43">
        <w:rPr>
          <w:rFonts w:cs="Arial"/>
        </w:rPr>
        <w:t>v</w:t>
      </w:r>
      <w:r w:rsidRPr="00ED38E9">
        <w:rPr>
          <w:rFonts w:cs="Arial"/>
        </w:rPr>
        <w:t xml:space="preserve"> České republi</w:t>
      </w:r>
      <w:r w:rsidR="00A17F43">
        <w:rPr>
          <w:rFonts w:cs="Arial"/>
        </w:rPr>
        <w:t>ce</w:t>
      </w:r>
      <w:r w:rsidRPr="00ED38E9">
        <w:rPr>
          <w:rFonts w:cs="Arial"/>
        </w:rPr>
        <w:t xml:space="preserve"> a </w:t>
      </w:r>
      <w:r w:rsidR="00735B62" w:rsidRPr="00ED38E9">
        <w:rPr>
          <w:rFonts w:cs="Arial"/>
        </w:rPr>
        <w:t xml:space="preserve">eliminace negativních aspektů </w:t>
      </w:r>
      <w:r w:rsidR="001A0776" w:rsidRPr="00ED38E9">
        <w:rPr>
          <w:rFonts w:cs="Arial"/>
        </w:rPr>
        <w:t xml:space="preserve">plynoucích z </w:t>
      </w:r>
      <w:r w:rsidR="00735B62" w:rsidRPr="00ED38E9">
        <w:rPr>
          <w:rFonts w:cs="Arial"/>
        </w:rPr>
        <w:t xml:space="preserve">jejich vzájemné </w:t>
      </w:r>
      <w:r w:rsidR="003A4884" w:rsidRPr="00ED38E9">
        <w:rPr>
          <w:rFonts w:cs="Arial"/>
        </w:rPr>
        <w:t xml:space="preserve">konkurence, </w:t>
      </w:r>
      <w:r w:rsidR="00735B62" w:rsidRPr="00ED38E9">
        <w:rPr>
          <w:rFonts w:cs="Arial"/>
        </w:rPr>
        <w:t>v jejímž důsledku dochází k </w:t>
      </w:r>
      <w:r w:rsidR="001A0776" w:rsidRPr="00ED38E9">
        <w:rPr>
          <w:rFonts w:cs="Arial"/>
        </w:rPr>
        <w:t>reduk</w:t>
      </w:r>
      <w:r w:rsidR="00735B62" w:rsidRPr="00ED38E9">
        <w:rPr>
          <w:rFonts w:cs="Arial"/>
        </w:rPr>
        <w:t xml:space="preserve">ci činností, které jsou nezbytným </w:t>
      </w:r>
      <w:r w:rsidR="00735B62" w:rsidRPr="00ED38E9">
        <w:rPr>
          <w:rFonts w:cs="Arial"/>
        </w:rPr>
        <w:lastRenderedPageBreak/>
        <w:t xml:space="preserve">předpokladem pro řádné fungování kolektivních systémů </w:t>
      </w:r>
      <w:r w:rsidR="0024251A" w:rsidRPr="00ED38E9">
        <w:rPr>
          <w:rFonts w:cs="Arial"/>
        </w:rPr>
        <w:t xml:space="preserve">založených </w:t>
      </w:r>
      <w:r w:rsidR="00735B62" w:rsidRPr="00ED38E9">
        <w:rPr>
          <w:rFonts w:cs="Arial"/>
        </w:rPr>
        <w:t xml:space="preserve">na principu </w:t>
      </w:r>
      <w:r w:rsidR="00A17F43">
        <w:rPr>
          <w:rFonts w:cs="Arial"/>
        </w:rPr>
        <w:t>rozšířené</w:t>
      </w:r>
      <w:r w:rsidR="00A17F43" w:rsidRPr="00ED38E9">
        <w:rPr>
          <w:rFonts w:cs="Arial"/>
        </w:rPr>
        <w:t xml:space="preserve"> </w:t>
      </w:r>
      <w:r w:rsidR="00735B62" w:rsidRPr="00ED38E9">
        <w:rPr>
          <w:rFonts w:cs="Arial"/>
        </w:rPr>
        <w:t>odpovědnosti výrobce</w:t>
      </w:r>
      <w:r w:rsidR="00E850D1" w:rsidRPr="00ED38E9">
        <w:rPr>
          <w:rFonts w:cs="Arial"/>
        </w:rPr>
        <w:t xml:space="preserve"> (např. realizace osvětov</w:t>
      </w:r>
      <w:r w:rsidR="00A17F43">
        <w:rPr>
          <w:rFonts w:cs="Arial"/>
        </w:rPr>
        <w:t>é</w:t>
      </w:r>
      <w:r w:rsidR="00E850D1" w:rsidRPr="00ED38E9">
        <w:rPr>
          <w:rFonts w:cs="Arial"/>
        </w:rPr>
        <w:t xml:space="preserve"> činnost</w:t>
      </w:r>
      <w:r w:rsidR="00A17F43">
        <w:rPr>
          <w:rFonts w:cs="Arial"/>
        </w:rPr>
        <w:t>i</w:t>
      </w:r>
      <w:r w:rsidR="00E850D1" w:rsidRPr="00ED38E9">
        <w:rPr>
          <w:rFonts w:cs="Arial"/>
        </w:rPr>
        <w:t>, realizace vnitřní kontrolní činnosti - audity)</w:t>
      </w:r>
      <w:r w:rsidR="00735B62" w:rsidRPr="00ED38E9">
        <w:rPr>
          <w:rFonts w:cs="Arial"/>
        </w:rPr>
        <w:t xml:space="preserve">. </w:t>
      </w:r>
    </w:p>
    <w:p w:rsidR="00257E70" w:rsidRPr="00ED38E9" w:rsidRDefault="00257E70" w:rsidP="005D660F">
      <w:pPr>
        <w:pStyle w:val="Nadpis3"/>
      </w:pPr>
      <w:r w:rsidRPr="00ED38E9">
        <w:t>Zhodnocení rizika</w:t>
      </w:r>
    </w:p>
    <w:p w:rsidR="003A4884" w:rsidRPr="00ED38E9" w:rsidRDefault="004F77DD" w:rsidP="003A4884">
      <w:pPr>
        <w:rPr>
          <w:rFonts w:cs="Arial"/>
        </w:rPr>
      </w:pPr>
      <w:r w:rsidRPr="00ED38E9">
        <w:rPr>
          <w:rFonts w:cs="Arial"/>
        </w:rPr>
        <w:t>Hlavním rizikem je nejednotnost v oblasti zpětného odběru u výrobků, přestože princip zpětného odběru je u všech výrobků s ukončenou životností stejný.</w:t>
      </w:r>
    </w:p>
    <w:p w:rsidR="00257E70" w:rsidRPr="00ED38E9" w:rsidRDefault="00257E70" w:rsidP="005D660F">
      <w:pPr>
        <w:pStyle w:val="Nadpis2"/>
      </w:pPr>
      <w:bookmarkStart w:id="17" w:name="_Toc441759840"/>
      <w:r w:rsidRPr="00ED38E9">
        <w:t>Návrh variant řešení</w:t>
      </w:r>
      <w:bookmarkEnd w:id="17"/>
    </w:p>
    <w:p w:rsidR="00257E70" w:rsidRPr="00ED38E9" w:rsidRDefault="00257E70" w:rsidP="005D660F">
      <w:pPr>
        <w:pStyle w:val="Nadpis3"/>
      </w:pPr>
      <w:r w:rsidRPr="00ED38E9">
        <w:t>Varianta 0</w:t>
      </w:r>
    </w:p>
    <w:p w:rsidR="00257E70" w:rsidRPr="00ED38E9" w:rsidRDefault="00257E70" w:rsidP="00257E70">
      <w:pPr>
        <w:rPr>
          <w:rFonts w:cs="Arial"/>
        </w:rPr>
      </w:pPr>
      <w:r w:rsidRPr="00ED38E9">
        <w:rPr>
          <w:rFonts w:cs="Arial"/>
        </w:rPr>
        <w:t>Současný stav, kdy</w:t>
      </w:r>
      <w:r w:rsidR="008B410E" w:rsidRPr="00ED38E9">
        <w:rPr>
          <w:rFonts w:cs="Arial"/>
        </w:rPr>
        <w:t xml:space="preserve"> </w:t>
      </w:r>
      <w:r w:rsidR="00A650B9">
        <w:rPr>
          <w:rFonts w:cs="Arial"/>
        </w:rPr>
        <w:t xml:space="preserve">podmínky pro </w:t>
      </w:r>
      <w:r w:rsidR="008B410E" w:rsidRPr="00ED38E9">
        <w:rPr>
          <w:rFonts w:cs="Arial"/>
        </w:rPr>
        <w:t>založení kolektivního systému ne</w:t>
      </w:r>
      <w:r w:rsidR="00A650B9">
        <w:rPr>
          <w:rFonts w:cs="Arial"/>
        </w:rPr>
        <w:t>jsou</w:t>
      </w:r>
      <w:r w:rsidR="008B410E" w:rsidRPr="00ED38E9">
        <w:rPr>
          <w:rFonts w:cs="Arial"/>
        </w:rPr>
        <w:t xml:space="preserve"> jednotné</w:t>
      </w:r>
      <w:r w:rsidR="006A718B" w:rsidRPr="00ED38E9">
        <w:rPr>
          <w:rFonts w:cs="Arial"/>
        </w:rPr>
        <w:t xml:space="preserve"> pro všechny </w:t>
      </w:r>
      <w:r w:rsidR="00A650B9">
        <w:rPr>
          <w:rFonts w:cs="Arial"/>
        </w:rPr>
        <w:t xml:space="preserve">výrobkové skupiny, </w:t>
      </w:r>
      <w:r w:rsidR="00A1440C" w:rsidRPr="00ED38E9">
        <w:rPr>
          <w:rFonts w:cs="Arial"/>
        </w:rPr>
        <w:t>a </w:t>
      </w:r>
      <w:r w:rsidR="002C090F" w:rsidRPr="00ED38E9">
        <w:rPr>
          <w:rFonts w:cs="Arial"/>
        </w:rPr>
        <w:t xml:space="preserve">povinnosti je možné plnit </w:t>
      </w:r>
      <w:r w:rsidR="00A1440C" w:rsidRPr="00ED38E9">
        <w:rPr>
          <w:rFonts w:cs="Arial"/>
        </w:rPr>
        <w:t xml:space="preserve"> individuáln</w:t>
      </w:r>
      <w:r w:rsidR="002C090F" w:rsidRPr="00ED38E9">
        <w:rPr>
          <w:rFonts w:cs="Arial"/>
        </w:rPr>
        <w:t>ě</w:t>
      </w:r>
      <w:r w:rsidR="00A1440C" w:rsidRPr="00ED38E9">
        <w:rPr>
          <w:rFonts w:cs="Arial"/>
        </w:rPr>
        <w:t>, solidárn</w:t>
      </w:r>
      <w:r w:rsidR="002C090F" w:rsidRPr="00ED38E9">
        <w:rPr>
          <w:rFonts w:cs="Arial"/>
        </w:rPr>
        <w:t>ě</w:t>
      </w:r>
      <w:r w:rsidR="00A1440C" w:rsidRPr="00ED38E9">
        <w:rPr>
          <w:rFonts w:cs="Arial"/>
        </w:rPr>
        <w:t xml:space="preserve"> či kolektivn</w:t>
      </w:r>
      <w:r w:rsidR="002C090F" w:rsidRPr="00ED38E9">
        <w:rPr>
          <w:rFonts w:cs="Arial"/>
        </w:rPr>
        <w:t>ě</w:t>
      </w:r>
      <w:r w:rsidR="00A1440C" w:rsidRPr="00ED38E9">
        <w:rPr>
          <w:rFonts w:cs="Arial"/>
        </w:rPr>
        <w:t>.</w:t>
      </w:r>
      <w:r w:rsidR="002C090F" w:rsidRPr="00ED38E9">
        <w:rPr>
          <w:rFonts w:cs="Arial"/>
        </w:rPr>
        <w:t xml:space="preserve"> Zároveň zejména v oblasti elektrozařízení </w:t>
      </w:r>
      <w:r w:rsidR="00465192" w:rsidRPr="00ED38E9">
        <w:rPr>
          <w:rFonts w:cs="Arial"/>
        </w:rPr>
        <w:t>je</w:t>
      </w:r>
      <w:r w:rsidR="002C090F" w:rsidRPr="00ED38E9">
        <w:rPr>
          <w:rFonts w:cs="Arial"/>
        </w:rPr>
        <w:t xml:space="preserve"> </w:t>
      </w:r>
      <w:r w:rsidR="00465192" w:rsidRPr="00ED38E9">
        <w:rPr>
          <w:rFonts w:cs="Arial"/>
        </w:rPr>
        <w:t>plnění některých důležitých zákonných povinností právně obtížně vymahatelné</w:t>
      </w:r>
      <w:r w:rsidR="002C090F" w:rsidRPr="00ED38E9">
        <w:rPr>
          <w:rFonts w:cs="Arial"/>
        </w:rPr>
        <w:t>.</w:t>
      </w:r>
    </w:p>
    <w:p w:rsidR="00A1440C" w:rsidRPr="00ED38E9" w:rsidRDefault="00A1440C" w:rsidP="00783869">
      <w:pPr>
        <w:pStyle w:val="Normlntun"/>
        <w:rPr>
          <w:rFonts w:cs="Arial"/>
        </w:rPr>
      </w:pPr>
      <w:r w:rsidRPr="00ED38E9">
        <w:rPr>
          <w:rFonts w:cs="Arial"/>
        </w:rPr>
        <w:t>Baterie a akumulátory</w:t>
      </w:r>
      <w:r w:rsidR="001612DC" w:rsidRPr="00ED38E9">
        <w:rPr>
          <w:rFonts w:cs="Arial"/>
        </w:rPr>
        <w:t xml:space="preserve"> - přenosné</w:t>
      </w:r>
    </w:p>
    <w:p w:rsidR="001612DC" w:rsidRPr="00ED38E9" w:rsidRDefault="00094101">
      <w:pPr>
        <w:rPr>
          <w:rFonts w:cs="Arial"/>
        </w:rPr>
      </w:pPr>
      <w:r w:rsidRPr="00ED38E9">
        <w:rPr>
          <w:rFonts w:cs="Arial"/>
        </w:rPr>
        <w:t xml:space="preserve">V současné době působí na trhu </w:t>
      </w:r>
      <w:r w:rsidR="00A650B9">
        <w:rPr>
          <w:rFonts w:cs="Arial"/>
        </w:rPr>
        <w:t xml:space="preserve">kolektivních systémů pro </w:t>
      </w:r>
      <w:r w:rsidRPr="00ED38E9">
        <w:rPr>
          <w:rFonts w:cs="Arial"/>
        </w:rPr>
        <w:t>přenosn</w:t>
      </w:r>
      <w:r w:rsidR="00A650B9">
        <w:rPr>
          <w:rFonts w:cs="Arial"/>
        </w:rPr>
        <w:t>é</w:t>
      </w:r>
      <w:r w:rsidRPr="00ED38E9">
        <w:rPr>
          <w:rFonts w:cs="Arial"/>
        </w:rPr>
        <w:t xml:space="preserve"> bateri</w:t>
      </w:r>
      <w:r w:rsidR="00A650B9">
        <w:rPr>
          <w:rFonts w:cs="Arial"/>
        </w:rPr>
        <w:t>e</w:t>
      </w:r>
      <w:r w:rsidRPr="00ED38E9">
        <w:rPr>
          <w:rFonts w:cs="Arial"/>
        </w:rPr>
        <w:t xml:space="preserve"> a akumulátor</w:t>
      </w:r>
      <w:r w:rsidR="00A650B9">
        <w:rPr>
          <w:rFonts w:cs="Arial"/>
        </w:rPr>
        <w:t>y</w:t>
      </w:r>
      <w:r w:rsidRPr="00ED38E9">
        <w:rPr>
          <w:rFonts w:cs="Arial"/>
        </w:rPr>
        <w:t xml:space="preserve"> 2 kolektivní systémy (ECOBAT s.r.o. a REMA Battery s.r.o.), které </w:t>
      </w:r>
      <w:r w:rsidR="00F47E58" w:rsidRPr="00ED38E9">
        <w:rPr>
          <w:rFonts w:cs="Arial"/>
        </w:rPr>
        <w:t>sdružují</w:t>
      </w:r>
      <w:r w:rsidRPr="00ED38E9">
        <w:rPr>
          <w:rFonts w:cs="Arial"/>
        </w:rPr>
        <w:t xml:space="preserve"> celkem 1</w:t>
      </w:r>
      <w:r w:rsidR="003F523C" w:rsidRPr="00ED38E9">
        <w:rPr>
          <w:rFonts w:cs="Arial"/>
        </w:rPr>
        <w:t> </w:t>
      </w:r>
      <w:r w:rsidRPr="00ED38E9">
        <w:rPr>
          <w:rFonts w:cs="Arial"/>
        </w:rPr>
        <w:t xml:space="preserve">219 subjektů a dále pak 2 </w:t>
      </w:r>
      <w:r w:rsidR="00F47E58" w:rsidRPr="00ED38E9">
        <w:rPr>
          <w:rFonts w:cs="Arial"/>
        </w:rPr>
        <w:t>společnosti</w:t>
      </w:r>
      <w:r w:rsidRPr="00ED38E9">
        <w:rPr>
          <w:rFonts w:cs="Arial"/>
        </w:rPr>
        <w:t>, které zpětný odběr plní individuálně (GOLDTIME a.s. a Baterie Centrum s.r.o.). (zdroj: MŽP).</w:t>
      </w:r>
    </w:p>
    <w:p w:rsidR="00A1440C" w:rsidRPr="00ED38E9" w:rsidRDefault="00AD1A0C" w:rsidP="00783869">
      <w:pPr>
        <w:pStyle w:val="Normlntun"/>
        <w:rPr>
          <w:rFonts w:cs="Arial"/>
        </w:rPr>
      </w:pPr>
      <w:r w:rsidRPr="00ED38E9">
        <w:rPr>
          <w:rFonts w:cs="Arial"/>
        </w:rPr>
        <w:t>Baterie a akumulátory - automobilové nebo průmyslové baterie a akumulátory</w:t>
      </w:r>
    </w:p>
    <w:p w:rsidR="00AD1A0C" w:rsidRPr="00ED38E9" w:rsidRDefault="008C0E44">
      <w:pPr>
        <w:rPr>
          <w:rFonts w:cs="Arial"/>
        </w:rPr>
      </w:pPr>
      <w:r w:rsidRPr="00ED38E9">
        <w:rPr>
          <w:rFonts w:cs="Arial"/>
        </w:rPr>
        <w:t xml:space="preserve">V této oblasti nepůsobí žádný kolektivní systém a celkem je registrováno 101 </w:t>
      </w:r>
      <w:r w:rsidR="00C520E3">
        <w:rPr>
          <w:rFonts w:cs="Arial"/>
        </w:rPr>
        <w:t xml:space="preserve">individuálních </w:t>
      </w:r>
      <w:r w:rsidRPr="00ED38E9">
        <w:rPr>
          <w:rFonts w:cs="Arial"/>
        </w:rPr>
        <w:t>výrobců baterií a akumulátorů.</w:t>
      </w:r>
      <w:r w:rsidR="003039AF" w:rsidRPr="00ED38E9">
        <w:rPr>
          <w:rFonts w:cs="Arial"/>
        </w:rPr>
        <w:t xml:space="preserve"> (zdroj: MŽP)</w:t>
      </w:r>
    </w:p>
    <w:p w:rsidR="00564B60" w:rsidRPr="00ED38E9" w:rsidRDefault="00564B60">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w:t>
      </w:r>
      <w:r w:rsidR="00381FB7" w:rsidRPr="00ED38E9">
        <w:rPr>
          <w:rFonts w:cs="Arial"/>
        </w:rPr>
        <w:fldChar w:fldCharType="end"/>
      </w:r>
      <w:r w:rsidRPr="00ED38E9">
        <w:rPr>
          <w:rFonts w:cs="Arial"/>
        </w:rPr>
        <w:t>: Přehled úrovně sběru v letech 2013–2014 dle kategorie výrobců (zdroj: ISPOP)</w:t>
      </w:r>
    </w:p>
    <w:p w:rsidR="00E876B6" w:rsidRPr="00ED38E9" w:rsidRDefault="00564B60">
      <w:pPr>
        <w:rPr>
          <w:rFonts w:cs="Arial"/>
        </w:rPr>
      </w:pPr>
      <w:r w:rsidRPr="00ED38E9">
        <w:rPr>
          <w:rFonts w:cs="Arial"/>
          <w:lang w:eastAsia="cs-CZ" w:bidi="ar-SA"/>
        </w:rPr>
        <w:drawing>
          <wp:inline distT="0" distB="0" distL="0" distR="0" wp14:anchorId="70DF1F83" wp14:editId="3AC8C6AC">
            <wp:extent cx="5657317" cy="1800000"/>
            <wp:effectExtent l="0" t="0" r="635"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7317" cy="1800000"/>
                    </a:xfrm>
                    <a:prstGeom prst="rect">
                      <a:avLst/>
                    </a:prstGeom>
                    <a:noFill/>
                    <a:ln>
                      <a:noFill/>
                    </a:ln>
                  </pic:spPr>
                </pic:pic>
              </a:graphicData>
            </a:graphic>
          </wp:inline>
        </w:drawing>
      </w:r>
    </w:p>
    <w:p w:rsidR="00075FB3" w:rsidRPr="00ED38E9" w:rsidRDefault="002513D1" w:rsidP="00783869">
      <w:pPr>
        <w:pStyle w:val="Normlntun"/>
        <w:rPr>
          <w:rFonts w:cs="Arial"/>
        </w:rPr>
      </w:pPr>
      <w:r w:rsidRPr="00ED38E9">
        <w:rPr>
          <w:rFonts w:cs="Arial"/>
        </w:rPr>
        <w:t>Elektrozařízení</w:t>
      </w:r>
    </w:p>
    <w:p w:rsidR="00F7515A" w:rsidRPr="00ED38E9" w:rsidRDefault="00E75378">
      <w:pPr>
        <w:rPr>
          <w:rFonts w:cs="Arial"/>
        </w:rPr>
      </w:pPr>
      <w:r w:rsidRPr="00ED38E9">
        <w:rPr>
          <w:rFonts w:cs="Arial"/>
        </w:rPr>
        <w:t xml:space="preserve">V současné době v oblasti elektrozařízení působí celkem 16 kolektivních systémů, které zaštiťují </w:t>
      </w:r>
      <w:r w:rsidR="00F47E58" w:rsidRPr="00ED38E9">
        <w:rPr>
          <w:rFonts w:cs="Arial"/>
        </w:rPr>
        <w:t xml:space="preserve">plnění zákonných povinností pro </w:t>
      </w:r>
      <w:r w:rsidRPr="00ED38E9">
        <w:rPr>
          <w:rFonts w:cs="Arial"/>
        </w:rPr>
        <w:t>4 106 výrobců elektrozařízení či solárních panelů.</w:t>
      </w:r>
      <w:r w:rsidR="00F47E58" w:rsidRPr="00ED38E9">
        <w:rPr>
          <w:rFonts w:cs="Arial"/>
        </w:rPr>
        <w:t xml:space="preserve"> Některé z těchto kolektivních systémů zajišťují též plnění povinnsotí pro provozovatele solárních elektráren.</w:t>
      </w:r>
    </w:p>
    <w:p w:rsidR="00420B72" w:rsidRPr="00ED38E9" w:rsidRDefault="00420B72">
      <w:pPr>
        <w:pStyle w:val="Titulek"/>
        <w:rPr>
          <w:rFonts w:cs="Arial"/>
        </w:rPr>
      </w:pPr>
      <w:r w:rsidRPr="00ED38E9">
        <w:rPr>
          <w:rFonts w:cs="Arial"/>
        </w:rPr>
        <w:lastRenderedPageBreak/>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w:t>
      </w:r>
      <w:r w:rsidR="00381FB7" w:rsidRPr="00ED38E9">
        <w:rPr>
          <w:rFonts w:cs="Arial"/>
        </w:rPr>
        <w:fldChar w:fldCharType="end"/>
      </w:r>
      <w:r w:rsidRPr="00ED38E9">
        <w:rPr>
          <w:rFonts w:cs="Arial"/>
        </w:rPr>
        <w:t>: Přehled kolektivních systémů (zdroj: MŽP, MSp)</w:t>
      </w:r>
    </w:p>
    <w:p w:rsidR="0004064D" w:rsidRPr="00ED38E9" w:rsidRDefault="00F66B49">
      <w:pPr>
        <w:rPr>
          <w:rFonts w:cs="Arial"/>
        </w:rPr>
      </w:pPr>
      <w:r w:rsidRPr="00ED38E9">
        <w:rPr>
          <w:rFonts w:cs="Arial"/>
          <w:lang w:eastAsia="cs-CZ" w:bidi="ar-SA"/>
        </w:rPr>
        <w:drawing>
          <wp:inline distT="0" distB="0" distL="0" distR="0" wp14:anchorId="437A857B" wp14:editId="4E5FA716">
            <wp:extent cx="3600000" cy="3584398"/>
            <wp:effectExtent l="0" t="0" r="635" b="0"/>
            <wp:docPr id="794" name="Obráze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3584398"/>
                    </a:xfrm>
                    <a:prstGeom prst="rect">
                      <a:avLst/>
                    </a:prstGeom>
                    <a:noFill/>
                    <a:ln>
                      <a:noFill/>
                    </a:ln>
                  </pic:spPr>
                </pic:pic>
              </a:graphicData>
            </a:graphic>
          </wp:inline>
        </w:drawing>
      </w:r>
    </w:p>
    <w:p w:rsidR="002513D1" w:rsidRPr="00ED38E9" w:rsidRDefault="002513D1" w:rsidP="00783869">
      <w:pPr>
        <w:pStyle w:val="Normlntun"/>
        <w:rPr>
          <w:rFonts w:cs="Arial"/>
        </w:rPr>
      </w:pPr>
      <w:r w:rsidRPr="00ED38E9">
        <w:rPr>
          <w:rFonts w:cs="Arial"/>
        </w:rPr>
        <w:t>Pneumatiky</w:t>
      </w:r>
    </w:p>
    <w:p w:rsidR="00F7515A" w:rsidRPr="00ED38E9" w:rsidRDefault="005948AB">
      <w:pPr>
        <w:rPr>
          <w:rFonts w:cs="Arial"/>
        </w:rPr>
      </w:pPr>
      <w:r w:rsidRPr="00ED38E9">
        <w:rPr>
          <w:rFonts w:cs="Arial"/>
        </w:rPr>
        <w:t>Výrobci pneumatik dle současného</w:t>
      </w:r>
      <w:r w:rsidR="00DF6ED2" w:rsidRPr="00ED38E9">
        <w:rPr>
          <w:rFonts w:cs="Arial"/>
        </w:rPr>
        <w:t xml:space="preserve"> </w:t>
      </w:r>
      <w:r w:rsidRPr="00ED38E9">
        <w:rPr>
          <w:rFonts w:cs="Arial"/>
        </w:rPr>
        <w:t xml:space="preserve">znění zákona mohou vytvořit kolektivní systém, ale zatím </w:t>
      </w:r>
      <w:r w:rsidR="00584F6F" w:rsidRPr="00ED38E9">
        <w:rPr>
          <w:rFonts w:cs="Arial"/>
        </w:rPr>
        <w:t>ž</w:t>
      </w:r>
      <w:r w:rsidR="000C5D13" w:rsidRPr="00ED38E9">
        <w:rPr>
          <w:rFonts w:cs="Arial"/>
        </w:rPr>
        <w:t>ádný nevznikl.</w:t>
      </w:r>
    </w:p>
    <w:p w:rsidR="002513D1" w:rsidRPr="00ED38E9" w:rsidRDefault="002513D1" w:rsidP="002513D1">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8</w:t>
      </w:r>
      <w:r w:rsidR="00381FB7" w:rsidRPr="00ED38E9">
        <w:rPr>
          <w:rFonts w:cs="Arial"/>
        </w:rPr>
        <w:fldChar w:fldCharType="end"/>
      </w:r>
      <w:r w:rsidRPr="00ED38E9">
        <w:rPr>
          <w:rFonts w:cs="Arial"/>
        </w:rPr>
        <w:t>: Úroveň zpětného odběru odpadních pneumatik v letech 2011</w:t>
      </w:r>
      <w:r w:rsidR="00474B7C" w:rsidRPr="00ED38E9">
        <w:rPr>
          <w:rFonts w:cs="Arial"/>
        </w:rPr>
        <w:t>–</w:t>
      </w:r>
      <w:r w:rsidRPr="00ED38E9">
        <w:rPr>
          <w:rFonts w:cs="Arial"/>
        </w:rPr>
        <w:t>2013 dle velikosti produkce (zdroj: ISPOP)</w:t>
      </w:r>
    </w:p>
    <w:p w:rsidR="002513D1" w:rsidRPr="00ED38E9" w:rsidRDefault="002513D1" w:rsidP="002513D1">
      <w:pPr>
        <w:rPr>
          <w:rFonts w:cs="Arial"/>
        </w:rPr>
      </w:pPr>
      <w:r w:rsidRPr="00ED38E9">
        <w:rPr>
          <w:rFonts w:cs="Arial"/>
          <w:lang w:eastAsia="cs-CZ" w:bidi="ar-SA"/>
        </w:rPr>
        <w:drawing>
          <wp:inline distT="0" distB="0" distL="0" distR="0" wp14:anchorId="4699C3F2" wp14:editId="13FEE34C">
            <wp:extent cx="5760720" cy="1112605"/>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112605"/>
                    </a:xfrm>
                    <a:prstGeom prst="rect">
                      <a:avLst/>
                    </a:prstGeom>
                    <a:noFill/>
                    <a:ln>
                      <a:noFill/>
                    </a:ln>
                  </pic:spPr>
                </pic:pic>
              </a:graphicData>
            </a:graphic>
          </wp:inline>
        </w:drawing>
      </w:r>
    </w:p>
    <w:p w:rsidR="00257E70" w:rsidRPr="00ED38E9" w:rsidRDefault="00257E70" w:rsidP="005D660F">
      <w:pPr>
        <w:pStyle w:val="Nadpis3"/>
      </w:pPr>
      <w:r w:rsidRPr="00ED38E9">
        <w:t>Varianta 1</w:t>
      </w:r>
    </w:p>
    <w:p w:rsidR="00C016DB" w:rsidRPr="00ED38E9" w:rsidRDefault="006A718B" w:rsidP="00783869">
      <w:pPr>
        <w:rPr>
          <w:rFonts w:cs="Arial"/>
        </w:rPr>
      </w:pPr>
      <w:r w:rsidRPr="00ED38E9">
        <w:rPr>
          <w:rFonts w:cs="Arial"/>
        </w:rPr>
        <w:t>Nastavení jednotných podmínek pro vydání oprávnění k provozování kolektivního systému</w:t>
      </w:r>
      <w:r w:rsidR="00C016DB" w:rsidRPr="00ED38E9">
        <w:rPr>
          <w:rFonts w:cs="Arial"/>
        </w:rPr>
        <w:t xml:space="preserve"> a dále pak některých podmínek, které mají sloužit k tomu, aby kolektivní systém založily pouze společnosti, které budou kvalitním partnerem výrobců a ministerstva v daných oblastech.</w:t>
      </w:r>
    </w:p>
    <w:p w:rsidR="003B2AD1" w:rsidRPr="00ED38E9" w:rsidRDefault="009757D9" w:rsidP="00783869">
      <w:pPr>
        <w:pStyle w:val="Normlntun"/>
        <w:rPr>
          <w:rFonts w:cs="Arial"/>
        </w:rPr>
      </w:pPr>
      <w:r w:rsidRPr="00ED38E9">
        <w:rPr>
          <w:rFonts w:cs="Arial"/>
        </w:rPr>
        <w:t>Zásadní z</w:t>
      </w:r>
      <w:r w:rsidR="003B2AD1" w:rsidRPr="00ED38E9">
        <w:rPr>
          <w:rFonts w:cs="Arial"/>
        </w:rPr>
        <w:t>měny oproti současnému stavu</w:t>
      </w:r>
    </w:p>
    <w:p w:rsidR="006A718B" w:rsidRPr="00ED38E9" w:rsidRDefault="00825B7A" w:rsidP="002D66F0">
      <w:pPr>
        <w:pStyle w:val="Odstavecseseznamem"/>
        <w:numPr>
          <w:ilvl w:val="0"/>
          <w:numId w:val="96"/>
        </w:numPr>
        <w:spacing w:before="120"/>
        <w:ind w:left="284" w:hanging="284"/>
        <w:contextualSpacing w:val="0"/>
        <w:rPr>
          <w:rFonts w:cs="Arial"/>
        </w:rPr>
      </w:pPr>
      <w:r w:rsidRPr="00ED38E9">
        <w:rPr>
          <w:rFonts w:cs="Arial"/>
        </w:rPr>
        <w:t xml:space="preserve">Založit kolektivní systém budou moci </w:t>
      </w:r>
      <w:r w:rsidR="00F47E58" w:rsidRPr="00ED38E9">
        <w:rPr>
          <w:rFonts w:cs="Arial"/>
        </w:rPr>
        <w:t xml:space="preserve">pouze </w:t>
      </w:r>
      <w:r w:rsidRPr="00ED38E9">
        <w:rPr>
          <w:rFonts w:cs="Arial"/>
        </w:rPr>
        <w:t>subjekty, kde</w:t>
      </w:r>
      <w:r w:rsidR="006A718B" w:rsidRPr="00ED38E9">
        <w:rPr>
          <w:rFonts w:cs="Arial"/>
        </w:rPr>
        <w:t xml:space="preserve"> každý ze společníků </w:t>
      </w:r>
      <w:r w:rsidR="00F47E58" w:rsidRPr="00ED38E9">
        <w:rPr>
          <w:rFonts w:cs="Arial"/>
        </w:rPr>
        <w:t>ž</w:t>
      </w:r>
      <w:r w:rsidR="006A718B" w:rsidRPr="00ED38E9">
        <w:rPr>
          <w:rFonts w:cs="Arial"/>
        </w:rPr>
        <w:t>adatele uvád</w:t>
      </w:r>
      <w:r w:rsidR="00F47E58" w:rsidRPr="00ED38E9">
        <w:rPr>
          <w:rFonts w:cs="Arial"/>
        </w:rPr>
        <w:t>í</w:t>
      </w:r>
      <w:r w:rsidR="006A718B" w:rsidRPr="00ED38E9">
        <w:rPr>
          <w:rFonts w:cs="Arial"/>
        </w:rPr>
        <w:t xml:space="preserve"> na trh vybrané výrobky toho druhu, pro který žadatel hodlá zajišťovat kolektivní plnění povinností podle zákona</w:t>
      </w:r>
      <w:r w:rsidR="00F47E58" w:rsidRPr="00ED38E9">
        <w:rPr>
          <w:rFonts w:cs="Arial"/>
        </w:rPr>
        <w:t>.</w:t>
      </w:r>
      <w:r w:rsidR="006A718B" w:rsidRPr="00ED38E9">
        <w:rPr>
          <w:rFonts w:cs="Arial"/>
        </w:rPr>
        <w:t xml:space="preserve"> </w:t>
      </w:r>
      <w:r w:rsidR="00F47E58" w:rsidRPr="00ED38E9">
        <w:rPr>
          <w:rFonts w:cs="Arial"/>
        </w:rPr>
        <w:t xml:space="preserve">Zároveň musí být splněna podmínka, že </w:t>
      </w:r>
      <w:r w:rsidR="006A718B" w:rsidRPr="00ED38E9">
        <w:rPr>
          <w:rFonts w:cs="Arial"/>
        </w:rPr>
        <w:t xml:space="preserve">nejméně po dobu </w:t>
      </w:r>
      <w:r w:rsidR="00F457D1" w:rsidRPr="00ED38E9">
        <w:rPr>
          <w:rFonts w:cs="Arial"/>
        </w:rPr>
        <w:t>3 předcházejících let vybrané výrobky toho druhu, pro který žadatel hodlá zajišťovat kolektivní plnění povinností podle tohoto zákona, uv</w:t>
      </w:r>
      <w:r w:rsidR="00F47E58" w:rsidRPr="00ED38E9">
        <w:rPr>
          <w:rFonts w:cs="Arial"/>
        </w:rPr>
        <w:t>áděl</w:t>
      </w:r>
      <w:r w:rsidR="00F457D1" w:rsidRPr="00ED38E9">
        <w:rPr>
          <w:rFonts w:cs="Arial"/>
        </w:rPr>
        <w:t xml:space="preserve"> na trh</w:t>
      </w:r>
      <w:r w:rsidR="0024251A" w:rsidRPr="00ED38E9">
        <w:rPr>
          <w:rFonts w:cs="Arial"/>
        </w:rPr>
        <w:t xml:space="preserve"> </w:t>
      </w:r>
      <w:r w:rsidR="00F457D1" w:rsidRPr="00ED38E9">
        <w:rPr>
          <w:rFonts w:cs="Arial"/>
        </w:rPr>
        <w:t>v</w:t>
      </w:r>
      <w:r w:rsidRPr="00ED38E9">
        <w:rPr>
          <w:rFonts w:cs="Arial"/>
        </w:rPr>
        <w:t> </w:t>
      </w:r>
      <w:r w:rsidR="00F457D1" w:rsidRPr="00ED38E9">
        <w:rPr>
          <w:rFonts w:cs="Arial"/>
        </w:rPr>
        <w:t>množství nejméně</w:t>
      </w:r>
      <w:r w:rsidR="00D3269D" w:rsidRPr="00ED38E9">
        <w:rPr>
          <w:rFonts w:cs="Arial"/>
        </w:rPr>
        <w:t>:</w:t>
      </w:r>
    </w:p>
    <w:p w:rsidR="00D3269D" w:rsidRPr="00ED38E9" w:rsidRDefault="00D3269D" w:rsidP="002D66F0">
      <w:pPr>
        <w:pStyle w:val="Odstavecseseznamem"/>
        <w:numPr>
          <w:ilvl w:val="0"/>
          <w:numId w:val="95"/>
        </w:numPr>
        <w:rPr>
          <w:rFonts w:cs="Arial"/>
        </w:rPr>
      </w:pPr>
      <w:r w:rsidRPr="00ED38E9">
        <w:rPr>
          <w:rFonts w:cs="Arial"/>
        </w:rPr>
        <w:t>500 t</w:t>
      </w:r>
      <w:r w:rsidR="00FD5E92">
        <w:rPr>
          <w:rFonts w:cs="Arial"/>
        </w:rPr>
        <w:t>un</w:t>
      </w:r>
      <w:r w:rsidRPr="00ED38E9">
        <w:rPr>
          <w:rFonts w:cs="Arial"/>
        </w:rPr>
        <w:t xml:space="preserve"> elektrozařízení,</w:t>
      </w:r>
    </w:p>
    <w:p w:rsidR="00D3269D" w:rsidRPr="00ED38E9" w:rsidRDefault="00D3269D" w:rsidP="002D66F0">
      <w:pPr>
        <w:pStyle w:val="Odstavecseseznamem"/>
        <w:numPr>
          <w:ilvl w:val="0"/>
          <w:numId w:val="95"/>
        </w:numPr>
        <w:rPr>
          <w:rFonts w:cs="Arial"/>
        </w:rPr>
      </w:pPr>
      <w:r w:rsidRPr="00ED38E9">
        <w:rPr>
          <w:rFonts w:cs="Arial"/>
        </w:rPr>
        <w:lastRenderedPageBreak/>
        <w:t>5 tun přenosných baterií a akumulátorů,</w:t>
      </w:r>
    </w:p>
    <w:p w:rsidR="00D3269D" w:rsidRPr="00ED38E9" w:rsidRDefault="00D3269D" w:rsidP="002D66F0">
      <w:pPr>
        <w:pStyle w:val="Odstavecseseznamem"/>
        <w:numPr>
          <w:ilvl w:val="0"/>
          <w:numId w:val="95"/>
        </w:numPr>
        <w:rPr>
          <w:rFonts w:cs="Arial"/>
        </w:rPr>
      </w:pPr>
      <w:r w:rsidRPr="00ED38E9">
        <w:rPr>
          <w:rFonts w:cs="Arial"/>
        </w:rPr>
        <w:t>500 tun automobilových a průmyslových baterií a akumulátorů,</w:t>
      </w:r>
    </w:p>
    <w:p w:rsidR="00D3269D" w:rsidRPr="00ED38E9" w:rsidRDefault="00D3269D" w:rsidP="002D66F0">
      <w:pPr>
        <w:pStyle w:val="Odstavecseseznamem"/>
        <w:numPr>
          <w:ilvl w:val="0"/>
          <w:numId w:val="95"/>
        </w:numPr>
        <w:rPr>
          <w:rFonts w:cs="Arial"/>
        </w:rPr>
      </w:pPr>
      <w:r w:rsidRPr="00ED38E9">
        <w:rPr>
          <w:rFonts w:cs="Arial"/>
        </w:rPr>
        <w:t>1000 tun pneumatik.</w:t>
      </w:r>
    </w:p>
    <w:p w:rsidR="00246453" w:rsidRPr="00ED38E9" w:rsidRDefault="00246453" w:rsidP="002D66F0">
      <w:pPr>
        <w:pStyle w:val="Odstavecseseznamem"/>
        <w:numPr>
          <w:ilvl w:val="0"/>
          <w:numId w:val="96"/>
        </w:numPr>
        <w:spacing w:before="120"/>
        <w:ind w:left="284" w:hanging="284"/>
        <w:contextualSpacing w:val="0"/>
        <w:rPr>
          <w:rFonts w:cs="Arial"/>
        </w:rPr>
      </w:pPr>
      <w:r w:rsidRPr="00ED38E9">
        <w:rPr>
          <w:rFonts w:cs="Arial"/>
        </w:rPr>
        <w:t>Z množství vybraných výrobků, které v uplynulém kalendářním roce uv</w:t>
      </w:r>
      <w:r w:rsidR="00131D9B" w:rsidRPr="00ED38E9">
        <w:rPr>
          <w:rFonts w:cs="Arial"/>
        </w:rPr>
        <w:t>e</w:t>
      </w:r>
      <w:r w:rsidRPr="00ED38E9">
        <w:rPr>
          <w:rFonts w:cs="Arial"/>
        </w:rPr>
        <w:t xml:space="preserve">dli na trh výrobci, s nimiž provozovatel kolektivního systému uzavřel smlouvu o kolektivním plnění, musí být nejméně 15 % </w:t>
      </w:r>
      <w:r w:rsidR="00131D9B" w:rsidRPr="00ED38E9">
        <w:rPr>
          <w:rFonts w:cs="Arial"/>
        </w:rPr>
        <w:t xml:space="preserve">uvedeno na trh </w:t>
      </w:r>
      <w:r w:rsidRPr="00ED38E9">
        <w:rPr>
          <w:rFonts w:cs="Arial"/>
        </w:rPr>
        <w:t>na trh společníky provozovatele kolektivního systému.</w:t>
      </w:r>
    </w:p>
    <w:p w:rsidR="003B2AD1" w:rsidRPr="00ED38E9" w:rsidRDefault="003B2AD1" w:rsidP="002D66F0">
      <w:pPr>
        <w:pStyle w:val="Odstavecseseznamem"/>
        <w:numPr>
          <w:ilvl w:val="0"/>
          <w:numId w:val="96"/>
        </w:numPr>
        <w:spacing w:before="120"/>
        <w:ind w:left="284" w:hanging="284"/>
        <w:contextualSpacing w:val="0"/>
        <w:rPr>
          <w:rFonts w:cs="Arial"/>
        </w:rPr>
      </w:pPr>
      <w:r w:rsidRPr="00ED38E9">
        <w:rPr>
          <w:rFonts w:cs="Arial"/>
        </w:rPr>
        <w:t>Výše základního kapitálu žadatele je alespoň 2 000 000 Kč nebo 80 000 EUR.</w:t>
      </w:r>
    </w:p>
    <w:p w:rsidR="003B2AD1" w:rsidRPr="00ED38E9" w:rsidRDefault="003B2AD1" w:rsidP="00783869">
      <w:pPr>
        <w:spacing w:before="120"/>
        <w:rPr>
          <w:rFonts w:cs="Arial"/>
        </w:rPr>
      </w:pPr>
      <w:r w:rsidRPr="00ED38E9">
        <w:rPr>
          <w:rFonts w:cs="Arial"/>
        </w:rPr>
        <w:t xml:space="preserve">Uvedené podmínky se vztahují i na současně působící kolektivní systémy, které budou muset podat žádost o vydání oprávnění do 18 měsíců od </w:t>
      </w:r>
      <w:r w:rsidR="00246453" w:rsidRPr="00ED38E9">
        <w:rPr>
          <w:rFonts w:cs="Arial"/>
        </w:rPr>
        <w:t>nabytí účinnosti tohoto zákona.</w:t>
      </w:r>
      <w:r w:rsidRPr="00ED38E9">
        <w:rPr>
          <w:rFonts w:cs="Arial"/>
        </w:rPr>
        <w:t xml:space="preserve"> </w:t>
      </w:r>
    </w:p>
    <w:p w:rsidR="00257E70" w:rsidRPr="00ED38E9" w:rsidRDefault="00257E70" w:rsidP="005D660F">
      <w:pPr>
        <w:pStyle w:val="Nadpis2"/>
      </w:pPr>
      <w:bookmarkStart w:id="18" w:name="_Toc441759841"/>
      <w:r w:rsidRPr="00ED38E9">
        <w:t>Vyhodnocení nákladů a přínosů</w:t>
      </w:r>
      <w:bookmarkEnd w:id="18"/>
    </w:p>
    <w:p w:rsidR="00257E70" w:rsidRPr="00ED38E9" w:rsidRDefault="00257E70" w:rsidP="005D660F">
      <w:pPr>
        <w:pStyle w:val="Nadpis3"/>
      </w:pPr>
      <w:r w:rsidRPr="00ED38E9">
        <w:t>Identifikace nákladů a přínosů</w:t>
      </w:r>
    </w:p>
    <w:p w:rsidR="00257E70" w:rsidRPr="00ED38E9" w:rsidRDefault="00257E70" w:rsidP="002D66F0">
      <w:pPr>
        <w:pStyle w:val="Odstavecseseznamem"/>
        <w:keepNext/>
        <w:numPr>
          <w:ilvl w:val="0"/>
          <w:numId w:val="85"/>
        </w:numPr>
        <w:spacing w:before="240" w:after="120"/>
        <w:contextualSpacing w:val="0"/>
        <w:rPr>
          <w:rFonts w:cs="Arial"/>
        </w:rPr>
      </w:pPr>
      <w:r w:rsidRPr="00ED38E9">
        <w:rPr>
          <w:rFonts w:cs="Arial"/>
        </w:rPr>
        <w:t>Varianta 0</w:t>
      </w:r>
    </w:p>
    <w:p w:rsidR="00725673" w:rsidRPr="00ED38E9" w:rsidRDefault="00725673" w:rsidP="00783869">
      <w:pPr>
        <w:pStyle w:val="Normlntun"/>
        <w:rPr>
          <w:rFonts w:cs="Arial"/>
        </w:rPr>
      </w:pPr>
      <w:r w:rsidRPr="00ED38E9">
        <w:rPr>
          <w:rFonts w:cs="Arial"/>
        </w:rPr>
        <w:t>Dopady na státní rozpočet a ostatní veřejné rozpočty</w:t>
      </w:r>
    </w:p>
    <w:p w:rsidR="00725673" w:rsidRPr="00ED38E9" w:rsidRDefault="00725673" w:rsidP="00783869">
      <w:pPr>
        <w:rPr>
          <w:rFonts w:cs="Arial"/>
        </w:rPr>
      </w:pPr>
      <w:r w:rsidRPr="00ED38E9">
        <w:rPr>
          <w:rFonts w:cs="Arial"/>
        </w:rPr>
        <w:t>Současný stav nepředstavuje žádné finanční dopady na státní rozpoč</w:t>
      </w:r>
      <w:r w:rsidR="000A1CF4" w:rsidRPr="00ED38E9">
        <w:rPr>
          <w:rFonts w:cs="Arial"/>
        </w:rPr>
        <w:t>et ani ostatní veřejné rozpočty. Mezi negativa však řadíme nejednotnost v udělování oprávnění k provozování kolektivního systému mezi B</w:t>
      </w:r>
      <w:r w:rsidR="008D3EB0" w:rsidRPr="00ED38E9">
        <w:rPr>
          <w:rFonts w:cs="Arial"/>
        </w:rPr>
        <w:t xml:space="preserve">A, EEZ a odpadními pneumatikami a také možnost účelového zakládání kolektivních systémů, které pouze vybírají </w:t>
      </w:r>
      <w:r w:rsidR="00622821">
        <w:rPr>
          <w:rFonts w:cs="Arial"/>
        </w:rPr>
        <w:t xml:space="preserve"> finanční příspěvky</w:t>
      </w:r>
      <w:r w:rsidR="00622821" w:rsidRPr="00622821">
        <w:rPr>
          <w:rFonts w:cs="Arial"/>
        </w:rPr>
        <w:t xml:space="preserve"> </w:t>
      </w:r>
      <w:r w:rsidR="00622821">
        <w:rPr>
          <w:rFonts w:cs="Arial"/>
        </w:rPr>
        <w:t>od výrobců</w:t>
      </w:r>
      <w:r w:rsidR="008D3EB0" w:rsidRPr="00ED38E9">
        <w:rPr>
          <w:rFonts w:cs="Arial"/>
        </w:rPr>
        <w:t>, ale již dále neplní své povinnosti.</w:t>
      </w:r>
    </w:p>
    <w:p w:rsidR="00725673" w:rsidRPr="00ED38E9" w:rsidRDefault="00725673" w:rsidP="00783869">
      <w:pPr>
        <w:pStyle w:val="Normlntun"/>
        <w:rPr>
          <w:rFonts w:cs="Arial"/>
        </w:rPr>
      </w:pPr>
      <w:r w:rsidRPr="00ED38E9">
        <w:rPr>
          <w:rFonts w:cs="Arial"/>
        </w:rPr>
        <w:t>Dopady na podnikatelské subjekty (prostředí)</w:t>
      </w:r>
    </w:p>
    <w:p w:rsidR="008D3EB0" w:rsidRPr="00ED38E9" w:rsidRDefault="008D3EB0" w:rsidP="00783869">
      <w:pPr>
        <w:rPr>
          <w:rFonts w:cs="Arial"/>
        </w:rPr>
      </w:pPr>
      <w:r w:rsidRPr="00ED38E9">
        <w:rPr>
          <w:rFonts w:cs="Arial"/>
        </w:rPr>
        <w:t>Zpětný odběr daných komodit je ve své podstatě stejný, ale podmínky pro získání oprávnění k provozování kolektivního systému se liší</w:t>
      </w:r>
      <w:r w:rsidR="001D5D05" w:rsidRPr="00ED38E9">
        <w:rPr>
          <w:rFonts w:cs="Arial"/>
        </w:rPr>
        <w:t>,</w:t>
      </w:r>
      <w:r w:rsidRPr="00ED38E9">
        <w:rPr>
          <w:rFonts w:cs="Arial"/>
        </w:rPr>
        <w:t xml:space="preserve"> a to je určitým negativem pro podnikatelské subjekty, protože tímto nemají stejné podmínky na trhu.</w:t>
      </w:r>
    </w:p>
    <w:p w:rsidR="00725673" w:rsidRPr="00ED38E9" w:rsidRDefault="00725673" w:rsidP="00783869">
      <w:pPr>
        <w:pStyle w:val="Normlntun"/>
        <w:rPr>
          <w:rFonts w:cs="Arial"/>
        </w:rPr>
      </w:pPr>
      <w:r w:rsidRPr="00ED38E9">
        <w:rPr>
          <w:rFonts w:cs="Arial"/>
        </w:rPr>
        <w:t>Dopady na územní samosprávné celky (obce, kraje)</w:t>
      </w:r>
    </w:p>
    <w:p w:rsidR="008D3EB0" w:rsidRPr="00ED38E9" w:rsidRDefault="008D3EB0" w:rsidP="00783869">
      <w:pPr>
        <w:rPr>
          <w:rFonts w:cs="Arial"/>
        </w:rPr>
      </w:pPr>
      <w:r w:rsidRPr="00ED38E9">
        <w:rPr>
          <w:rFonts w:cs="Arial"/>
        </w:rPr>
        <w:t xml:space="preserve">Současný stav </w:t>
      </w:r>
      <w:r w:rsidR="00FF7BCA" w:rsidRPr="00ED38E9">
        <w:rPr>
          <w:rFonts w:cs="Arial"/>
        </w:rPr>
        <w:t xml:space="preserve">sice zdánlivě </w:t>
      </w:r>
      <w:r w:rsidRPr="00ED38E9">
        <w:rPr>
          <w:rFonts w:cs="Arial"/>
        </w:rPr>
        <w:t>nepředstavuje přímý dopad na územní samosprávné celky, ale v případ</w:t>
      </w:r>
      <w:r w:rsidR="00B27322" w:rsidRPr="00ED38E9">
        <w:rPr>
          <w:rFonts w:cs="Arial"/>
        </w:rPr>
        <w:t>ě</w:t>
      </w:r>
      <w:r w:rsidRPr="00ED38E9">
        <w:rPr>
          <w:rFonts w:cs="Arial"/>
        </w:rPr>
        <w:t xml:space="preserve">, kdy </w:t>
      </w:r>
      <w:r w:rsidR="00B27322" w:rsidRPr="00ED38E9">
        <w:rPr>
          <w:rFonts w:cs="Arial"/>
        </w:rPr>
        <w:t>mohou existovat</w:t>
      </w:r>
      <w:r w:rsidR="00FF7BCA" w:rsidRPr="00ED38E9">
        <w:rPr>
          <w:rFonts w:cs="Arial"/>
        </w:rPr>
        <w:t xml:space="preserve"> </w:t>
      </w:r>
      <w:r w:rsidRPr="00ED38E9">
        <w:rPr>
          <w:rFonts w:cs="Arial"/>
        </w:rPr>
        <w:t>na</w:t>
      </w:r>
      <w:r w:rsidR="00852006" w:rsidRPr="00ED38E9">
        <w:rPr>
          <w:rFonts w:cs="Arial"/>
        </w:rPr>
        <w:t xml:space="preserve"> </w:t>
      </w:r>
      <w:r w:rsidRPr="00ED38E9">
        <w:rPr>
          <w:rFonts w:cs="Arial"/>
        </w:rPr>
        <w:t xml:space="preserve">trhu subjekty, které </w:t>
      </w:r>
      <w:r w:rsidR="00B27322" w:rsidRPr="00ED38E9">
        <w:rPr>
          <w:rFonts w:cs="Arial"/>
        </w:rPr>
        <w:t xml:space="preserve">fakticky nijak </w:t>
      </w:r>
      <w:r w:rsidRPr="00ED38E9">
        <w:rPr>
          <w:rFonts w:cs="Arial"/>
        </w:rPr>
        <w:t>nepln</w:t>
      </w:r>
      <w:r w:rsidR="00B27322" w:rsidRPr="00ED38E9">
        <w:rPr>
          <w:rFonts w:cs="Arial"/>
        </w:rPr>
        <w:t>í</w:t>
      </w:r>
      <w:r w:rsidRPr="00ED38E9">
        <w:rPr>
          <w:rFonts w:cs="Arial"/>
        </w:rPr>
        <w:t xml:space="preserve"> své povinnosti, tak to může mít negativní dopad</w:t>
      </w:r>
      <w:r w:rsidR="003E0AB1" w:rsidRPr="00ED38E9">
        <w:rPr>
          <w:rFonts w:cs="Arial"/>
        </w:rPr>
        <w:t>.</w:t>
      </w:r>
      <w:r w:rsidRPr="00ED38E9">
        <w:rPr>
          <w:rFonts w:cs="Arial"/>
        </w:rPr>
        <w:t xml:space="preserve">  </w:t>
      </w:r>
      <w:r w:rsidR="003E0AB1" w:rsidRPr="00ED38E9">
        <w:rPr>
          <w:rFonts w:cs="Arial"/>
        </w:rPr>
        <w:t>Je to způsobené tím, že kolektivní systém, který neplní své povinnosti</w:t>
      </w:r>
      <w:r w:rsidR="0024251A" w:rsidRPr="00ED38E9">
        <w:rPr>
          <w:rFonts w:cs="Arial"/>
        </w:rPr>
        <w:t>,</w:t>
      </w:r>
      <w:r w:rsidR="003E0AB1" w:rsidRPr="00ED38E9">
        <w:rPr>
          <w:rFonts w:cs="Arial"/>
        </w:rPr>
        <w:t xml:space="preserve"> nabízí výrobcům (formální) plnění zákonných povin</w:t>
      </w:r>
      <w:r w:rsidR="0024251A" w:rsidRPr="00ED38E9">
        <w:rPr>
          <w:rFonts w:cs="Arial"/>
        </w:rPr>
        <w:t>n</w:t>
      </w:r>
      <w:r w:rsidR="003E0AB1" w:rsidRPr="00ED38E9">
        <w:rPr>
          <w:rFonts w:cs="Arial"/>
        </w:rPr>
        <w:t xml:space="preserve">ostí </w:t>
      </w:r>
      <w:r w:rsidR="00B27322" w:rsidRPr="00ED38E9">
        <w:rPr>
          <w:rFonts w:cs="Arial"/>
        </w:rPr>
        <w:t>za výr</w:t>
      </w:r>
      <w:r w:rsidR="003E0AB1" w:rsidRPr="00ED38E9">
        <w:rPr>
          <w:rFonts w:cs="Arial"/>
        </w:rPr>
        <w:t>azně nižší ceny, přičemž konkurenční ko</w:t>
      </w:r>
      <w:r w:rsidR="00B27322" w:rsidRPr="00ED38E9">
        <w:rPr>
          <w:rFonts w:cs="Arial"/>
        </w:rPr>
        <w:t>lektivní systémy jsou pak nuceny</w:t>
      </w:r>
      <w:r w:rsidR="003E0AB1" w:rsidRPr="00ED38E9">
        <w:rPr>
          <w:rFonts w:cs="Arial"/>
        </w:rPr>
        <w:t xml:space="preserve"> se této cenové úrovni přibližovat. V důsedku toho dochází </w:t>
      </w:r>
      <w:r w:rsidR="00B27322" w:rsidRPr="00ED38E9">
        <w:rPr>
          <w:rFonts w:cs="Arial"/>
        </w:rPr>
        <w:t xml:space="preserve">k omezování rozsahu činnosti, tedy </w:t>
      </w:r>
      <w:r w:rsidR="003E0AB1" w:rsidRPr="00ED38E9">
        <w:rPr>
          <w:rFonts w:cs="Arial"/>
        </w:rPr>
        <w:t xml:space="preserve">např. i k omezování rozsahu </w:t>
      </w:r>
      <w:r w:rsidR="00B27322" w:rsidRPr="00ED38E9">
        <w:rPr>
          <w:rFonts w:cs="Arial"/>
        </w:rPr>
        <w:t>vytváření sběrných míst</w:t>
      </w:r>
      <w:r w:rsidR="003E0AB1" w:rsidRPr="00ED38E9">
        <w:rPr>
          <w:rFonts w:cs="Arial"/>
        </w:rPr>
        <w:t xml:space="preserve"> ze strany </w:t>
      </w:r>
      <w:r w:rsidR="00B27322" w:rsidRPr="00ED38E9">
        <w:rPr>
          <w:rFonts w:cs="Arial"/>
        </w:rPr>
        <w:t xml:space="preserve">jiných </w:t>
      </w:r>
      <w:r w:rsidR="003E0AB1" w:rsidRPr="00ED38E9">
        <w:rPr>
          <w:rFonts w:cs="Arial"/>
        </w:rPr>
        <w:t>kolektivních systémů</w:t>
      </w:r>
      <w:r w:rsidR="00B27322" w:rsidRPr="00ED38E9">
        <w:rPr>
          <w:rFonts w:cs="Arial"/>
        </w:rPr>
        <w:t>,</w:t>
      </w:r>
      <w:r w:rsidR="003E0AB1" w:rsidRPr="00ED38E9">
        <w:rPr>
          <w:rFonts w:cs="Arial"/>
        </w:rPr>
        <w:t xml:space="preserve"> a tudíž i k omezení spolupráce s obcemi či kraji. Daná s</w:t>
      </w:r>
      <w:r w:rsidR="0024251A" w:rsidRPr="00ED38E9">
        <w:rPr>
          <w:rFonts w:cs="Arial"/>
        </w:rPr>
        <w:t>i</w:t>
      </w:r>
      <w:r w:rsidR="003E0AB1" w:rsidRPr="00ED38E9">
        <w:rPr>
          <w:rFonts w:cs="Arial"/>
        </w:rPr>
        <w:t xml:space="preserve">tuace pak zvyšuje riziko, </w:t>
      </w:r>
      <w:r w:rsidRPr="00ED38E9">
        <w:rPr>
          <w:rFonts w:cs="Arial"/>
        </w:rPr>
        <w:t xml:space="preserve">že občané </w:t>
      </w:r>
      <w:r w:rsidR="00B27322" w:rsidRPr="00ED38E9">
        <w:rPr>
          <w:rFonts w:cs="Arial"/>
        </w:rPr>
        <w:t xml:space="preserve">nebudou mít </w:t>
      </w:r>
      <w:r w:rsidRPr="00ED38E9">
        <w:rPr>
          <w:rFonts w:cs="Arial"/>
        </w:rPr>
        <w:t>kam řádně odložit výrobky s ukončenou životností</w:t>
      </w:r>
      <w:r w:rsidR="003E0AB1" w:rsidRPr="00ED38E9">
        <w:rPr>
          <w:rFonts w:cs="Arial"/>
        </w:rPr>
        <w:t>,</w:t>
      </w:r>
      <w:r w:rsidRPr="00ED38E9">
        <w:rPr>
          <w:rFonts w:cs="Arial"/>
        </w:rPr>
        <w:t xml:space="preserve"> a tak </w:t>
      </w:r>
      <w:r w:rsidR="003E0AB1" w:rsidRPr="00ED38E9">
        <w:rPr>
          <w:rFonts w:cs="Arial"/>
        </w:rPr>
        <w:t>s</w:t>
      </w:r>
      <w:r w:rsidRPr="00ED38E9">
        <w:rPr>
          <w:rFonts w:cs="Arial"/>
        </w:rPr>
        <w:t xml:space="preserve">e </w:t>
      </w:r>
      <w:r w:rsidR="003E0AB1" w:rsidRPr="00ED38E9">
        <w:rPr>
          <w:rFonts w:cs="Arial"/>
        </w:rPr>
        <w:t xml:space="preserve">jich </w:t>
      </w:r>
      <w:r w:rsidRPr="00ED38E9">
        <w:rPr>
          <w:rFonts w:cs="Arial"/>
        </w:rPr>
        <w:t xml:space="preserve">v lepším případě </w:t>
      </w:r>
      <w:r w:rsidR="00B27322" w:rsidRPr="00ED38E9">
        <w:rPr>
          <w:rFonts w:cs="Arial"/>
        </w:rPr>
        <w:t>zbaví</w:t>
      </w:r>
      <w:r w:rsidR="003E0AB1" w:rsidRPr="00ED38E9">
        <w:rPr>
          <w:rFonts w:cs="Arial"/>
        </w:rPr>
        <w:t xml:space="preserve"> v rámci</w:t>
      </w:r>
      <w:r w:rsidRPr="00ED38E9">
        <w:rPr>
          <w:rFonts w:cs="Arial"/>
        </w:rPr>
        <w:t xml:space="preserve"> smě</w:t>
      </w:r>
      <w:r w:rsidR="00622821">
        <w:rPr>
          <w:rFonts w:cs="Arial"/>
        </w:rPr>
        <w:t>s</w:t>
      </w:r>
      <w:r w:rsidRPr="00ED38E9">
        <w:rPr>
          <w:rFonts w:cs="Arial"/>
        </w:rPr>
        <w:t xml:space="preserve">ného komunálního odpadu, v tom horším pak </w:t>
      </w:r>
      <w:r w:rsidR="003E0AB1" w:rsidRPr="00ED38E9">
        <w:rPr>
          <w:rFonts w:cs="Arial"/>
        </w:rPr>
        <w:t xml:space="preserve">dochází k nelegálním demontážím nebo </w:t>
      </w:r>
      <w:r w:rsidRPr="00ED38E9">
        <w:rPr>
          <w:rFonts w:cs="Arial"/>
        </w:rPr>
        <w:t>vyt</w:t>
      </w:r>
      <w:r w:rsidR="003E0AB1" w:rsidRPr="00ED38E9">
        <w:rPr>
          <w:rFonts w:cs="Arial"/>
        </w:rPr>
        <w:t>váření</w:t>
      </w:r>
      <w:r w:rsidRPr="00ED38E9">
        <w:rPr>
          <w:rFonts w:cs="Arial"/>
        </w:rPr>
        <w:t xml:space="preserve"> čern</w:t>
      </w:r>
      <w:r w:rsidR="003E0AB1" w:rsidRPr="00ED38E9">
        <w:rPr>
          <w:rFonts w:cs="Arial"/>
        </w:rPr>
        <w:t>ých</w:t>
      </w:r>
      <w:r w:rsidRPr="00ED38E9">
        <w:rPr>
          <w:rFonts w:cs="Arial"/>
        </w:rPr>
        <w:t xml:space="preserve"> sklád</w:t>
      </w:r>
      <w:r w:rsidR="003E0AB1" w:rsidRPr="00ED38E9">
        <w:rPr>
          <w:rFonts w:cs="Arial"/>
        </w:rPr>
        <w:t>e</w:t>
      </w:r>
      <w:r w:rsidRPr="00ED38E9">
        <w:rPr>
          <w:rFonts w:cs="Arial"/>
        </w:rPr>
        <w:t xml:space="preserve">k, kterou na své náklady musí </w:t>
      </w:r>
      <w:r w:rsidR="003E0AB1" w:rsidRPr="00ED38E9">
        <w:rPr>
          <w:rFonts w:cs="Arial"/>
        </w:rPr>
        <w:t xml:space="preserve">odstaňovat </w:t>
      </w:r>
      <w:r w:rsidRPr="00ED38E9">
        <w:rPr>
          <w:rFonts w:cs="Arial"/>
        </w:rPr>
        <w:t>obc</w:t>
      </w:r>
      <w:r w:rsidR="003E0AB1" w:rsidRPr="00ED38E9">
        <w:rPr>
          <w:rFonts w:cs="Arial"/>
        </w:rPr>
        <w:t>e</w:t>
      </w:r>
      <w:r w:rsidRPr="00ED38E9">
        <w:rPr>
          <w:rFonts w:cs="Arial"/>
        </w:rPr>
        <w:t xml:space="preserve"> či</w:t>
      </w:r>
      <w:r w:rsidR="003E0AB1" w:rsidRPr="00ED38E9">
        <w:rPr>
          <w:rFonts w:cs="Arial"/>
        </w:rPr>
        <w:t xml:space="preserve"> příslušn</w:t>
      </w:r>
      <w:r w:rsidR="00B27322" w:rsidRPr="00ED38E9">
        <w:rPr>
          <w:rFonts w:cs="Arial"/>
        </w:rPr>
        <w:t>é</w:t>
      </w:r>
      <w:r w:rsidRPr="00ED38E9">
        <w:rPr>
          <w:rFonts w:cs="Arial"/>
        </w:rPr>
        <w:t xml:space="preserve"> kraj</w:t>
      </w:r>
      <w:r w:rsidR="00B27322" w:rsidRPr="00ED38E9">
        <w:rPr>
          <w:rFonts w:cs="Arial"/>
        </w:rPr>
        <w:t>e</w:t>
      </w:r>
      <w:r w:rsidRPr="00ED38E9">
        <w:rPr>
          <w:rFonts w:cs="Arial"/>
        </w:rPr>
        <w:t>.</w:t>
      </w:r>
    </w:p>
    <w:p w:rsidR="00725673" w:rsidRPr="00ED38E9" w:rsidRDefault="00725673" w:rsidP="00783869">
      <w:pPr>
        <w:pStyle w:val="Normlntun"/>
        <w:rPr>
          <w:rFonts w:cs="Arial"/>
        </w:rPr>
      </w:pPr>
      <w:r w:rsidRPr="00ED38E9">
        <w:rPr>
          <w:rFonts w:cs="Arial"/>
        </w:rPr>
        <w:t>Sociální dopady, dopady na spotřebitele</w:t>
      </w:r>
    </w:p>
    <w:p w:rsidR="008D3EB0" w:rsidRPr="00ED38E9" w:rsidRDefault="00852006" w:rsidP="00783869">
      <w:pPr>
        <w:rPr>
          <w:rFonts w:cs="Arial"/>
        </w:rPr>
      </w:pPr>
      <w:r w:rsidRPr="00ED38E9">
        <w:rPr>
          <w:rFonts w:cs="Arial"/>
        </w:rPr>
        <w:t>Současný stav nepře</w:t>
      </w:r>
      <w:r w:rsidR="00572F7B">
        <w:rPr>
          <w:rFonts w:cs="Arial"/>
        </w:rPr>
        <w:t>d</w:t>
      </w:r>
      <w:r w:rsidRPr="00ED38E9">
        <w:rPr>
          <w:rFonts w:cs="Arial"/>
        </w:rPr>
        <w:t xml:space="preserve">stavuje přímý dopad </w:t>
      </w:r>
      <w:r w:rsidR="00B27322" w:rsidRPr="00ED38E9">
        <w:rPr>
          <w:rFonts w:cs="Arial"/>
        </w:rPr>
        <w:t xml:space="preserve">na </w:t>
      </w:r>
      <w:r w:rsidRPr="00ED38E9">
        <w:rPr>
          <w:rFonts w:cs="Arial"/>
        </w:rPr>
        <w:t xml:space="preserve">občany, ale v případech, kdy jsou na trhu subjekty, které neplní své povinnosti, tak to může mít negativní dopad na občany, protože se může stát, že nebudou mít možnost ve svém okolí řádně odložit výrobek s ukončenou </w:t>
      </w:r>
      <w:r w:rsidRPr="00ED38E9">
        <w:rPr>
          <w:rFonts w:cs="Arial"/>
        </w:rPr>
        <w:lastRenderedPageBreak/>
        <w:t>životností a</w:t>
      </w:r>
      <w:r w:rsidR="00201F4B" w:rsidRPr="00ED38E9">
        <w:rPr>
          <w:rFonts w:cs="Arial"/>
        </w:rPr>
        <w:t> </w:t>
      </w:r>
      <w:r w:rsidRPr="00ED38E9">
        <w:rPr>
          <w:rFonts w:cs="Arial"/>
        </w:rPr>
        <w:t xml:space="preserve">tak ho v lepším případě odloží do směsného komunálního odpadu, v tom horším </w:t>
      </w:r>
      <w:r w:rsidR="00B27322" w:rsidRPr="00ED38E9">
        <w:rPr>
          <w:rFonts w:cs="Arial"/>
        </w:rPr>
        <w:t xml:space="preserve">nelegálně </w:t>
      </w:r>
      <w:r w:rsidRPr="00ED38E9">
        <w:rPr>
          <w:rFonts w:cs="Arial"/>
        </w:rPr>
        <w:t>v okolí (</w:t>
      </w:r>
      <w:r w:rsidR="00B27322" w:rsidRPr="00ED38E9">
        <w:rPr>
          <w:rFonts w:cs="Arial"/>
        </w:rPr>
        <w:t>vytváření černých skládek</w:t>
      </w:r>
      <w:r w:rsidRPr="00ED38E9">
        <w:rPr>
          <w:rFonts w:cs="Arial"/>
        </w:rPr>
        <w:t>).</w:t>
      </w:r>
    </w:p>
    <w:p w:rsidR="00725673" w:rsidRPr="00ED38E9" w:rsidRDefault="00725673" w:rsidP="00783869">
      <w:pPr>
        <w:pStyle w:val="Normlntun"/>
        <w:rPr>
          <w:rFonts w:cs="Arial"/>
        </w:rPr>
      </w:pPr>
      <w:r w:rsidRPr="00ED38E9">
        <w:rPr>
          <w:rFonts w:cs="Arial"/>
        </w:rPr>
        <w:t>Dopady na životní prostředí</w:t>
      </w:r>
    </w:p>
    <w:p w:rsidR="00852006" w:rsidRPr="00ED38E9" w:rsidRDefault="00852006" w:rsidP="00783869">
      <w:pPr>
        <w:rPr>
          <w:rFonts w:cs="Arial"/>
        </w:rPr>
      </w:pPr>
      <w:r w:rsidRPr="00ED38E9">
        <w:rPr>
          <w:rFonts w:cs="Arial"/>
        </w:rPr>
        <w:t xml:space="preserve">Současný stav představuje riziko </w:t>
      </w:r>
      <w:r w:rsidR="00B26267" w:rsidRPr="00ED38E9">
        <w:rPr>
          <w:rFonts w:cs="Arial"/>
        </w:rPr>
        <w:t xml:space="preserve">v </w:t>
      </w:r>
      <w:r w:rsidRPr="00ED38E9">
        <w:rPr>
          <w:rFonts w:cs="Arial"/>
        </w:rPr>
        <w:t>odkládání výrobků s ukončenou životností na místa, která nejsou pro to určen</w:t>
      </w:r>
      <w:r w:rsidR="00B27322" w:rsidRPr="00ED38E9">
        <w:rPr>
          <w:rFonts w:cs="Arial"/>
        </w:rPr>
        <w:t>á,</w:t>
      </w:r>
      <w:r w:rsidRPr="00ED38E9">
        <w:rPr>
          <w:rFonts w:cs="Arial"/>
        </w:rPr>
        <w:t xml:space="preserve"> a tím </w:t>
      </w:r>
      <w:r w:rsidR="00B26267" w:rsidRPr="00ED38E9">
        <w:rPr>
          <w:rFonts w:cs="Arial"/>
        </w:rPr>
        <w:t>může dojít</w:t>
      </w:r>
      <w:r w:rsidRPr="00ED38E9">
        <w:rPr>
          <w:rFonts w:cs="Arial"/>
        </w:rPr>
        <w:t xml:space="preserve"> ohrožení životního prostředí. </w:t>
      </w:r>
      <w:r w:rsidR="007A32C8" w:rsidRPr="00ED38E9">
        <w:rPr>
          <w:rFonts w:cs="Arial"/>
        </w:rPr>
        <w:t xml:space="preserve">Zároveň existuje vyšší riziko, že bude docházet k nelegálním (neodborným) demontážím výrobků s ukončenou životností. Míra </w:t>
      </w:r>
      <w:r w:rsidRPr="00ED38E9">
        <w:rPr>
          <w:rFonts w:cs="Arial"/>
        </w:rPr>
        <w:t xml:space="preserve">dopadu </w:t>
      </w:r>
      <w:r w:rsidR="007A32C8" w:rsidRPr="00ED38E9">
        <w:rPr>
          <w:rFonts w:cs="Arial"/>
        </w:rPr>
        <w:t xml:space="preserve">na životní prostředí </w:t>
      </w:r>
      <w:r w:rsidRPr="00ED38E9">
        <w:rPr>
          <w:rFonts w:cs="Arial"/>
        </w:rPr>
        <w:t xml:space="preserve">však závisí na množství </w:t>
      </w:r>
      <w:r w:rsidR="007A32C8" w:rsidRPr="00ED38E9">
        <w:rPr>
          <w:rFonts w:cs="Arial"/>
        </w:rPr>
        <w:t xml:space="preserve">a </w:t>
      </w:r>
      <w:r w:rsidR="00EB28A9" w:rsidRPr="00ED38E9">
        <w:rPr>
          <w:rFonts w:cs="Arial"/>
        </w:rPr>
        <w:t xml:space="preserve">povaze </w:t>
      </w:r>
      <w:r w:rsidRPr="00ED38E9">
        <w:rPr>
          <w:rFonts w:cs="Arial"/>
        </w:rPr>
        <w:t>tak</w:t>
      </w:r>
      <w:r w:rsidR="00690135" w:rsidRPr="00ED38E9">
        <w:rPr>
          <w:rFonts w:cs="Arial"/>
        </w:rPr>
        <w:t xml:space="preserve">to </w:t>
      </w:r>
      <w:r w:rsidR="00EB28A9" w:rsidRPr="00ED38E9">
        <w:rPr>
          <w:rFonts w:cs="Arial"/>
        </w:rPr>
        <w:t xml:space="preserve">nelegálně </w:t>
      </w:r>
      <w:r w:rsidR="00690135" w:rsidRPr="00ED38E9">
        <w:rPr>
          <w:rFonts w:cs="Arial"/>
        </w:rPr>
        <w:t xml:space="preserve">odloženého </w:t>
      </w:r>
      <w:r w:rsidR="00EB28A9" w:rsidRPr="00ED38E9">
        <w:rPr>
          <w:rFonts w:cs="Arial"/>
        </w:rPr>
        <w:t xml:space="preserve">či demontovaného </w:t>
      </w:r>
      <w:r w:rsidR="00690135" w:rsidRPr="00ED38E9">
        <w:rPr>
          <w:rFonts w:cs="Arial"/>
        </w:rPr>
        <w:t>odpadu</w:t>
      </w:r>
      <w:r w:rsidR="007A32C8" w:rsidRPr="00ED38E9">
        <w:rPr>
          <w:rFonts w:cs="Arial"/>
        </w:rPr>
        <w:t>.</w:t>
      </w:r>
    </w:p>
    <w:p w:rsidR="00257E70" w:rsidRPr="00ED38E9" w:rsidRDefault="00257E70" w:rsidP="002D66F0">
      <w:pPr>
        <w:pStyle w:val="Odstavecseseznamem"/>
        <w:numPr>
          <w:ilvl w:val="0"/>
          <w:numId w:val="85"/>
        </w:numPr>
        <w:spacing w:before="240" w:after="120"/>
        <w:contextualSpacing w:val="0"/>
        <w:rPr>
          <w:rFonts w:cs="Arial"/>
        </w:rPr>
      </w:pPr>
      <w:r w:rsidRPr="00ED38E9">
        <w:rPr>
          <w:rFonts w:cs="Arial"/>
        </w:rPr>
        <w:t>Varianta 1</w:t>
      </w:r>
    </w:p>
    <w:p w:rsidR="009E13EE" w:rsidRPr="00ED38E9" w:rsidRDefault="00201F4B" w:rsidP="00783869">
      <w:pPr>
        <w:pStyle w:val="Normlntun"/>
        <w:rPr>
          <w:rFonts w:cs="Arial"/>
        </w:rPr>
      </w:pPr>
      <w:r w:rsidRPr="00ED38E9">
        <w:rPr>
          <w:rFonts w:cs="Arial"/>
        </w:rPr>
        <w:t>Dopad</w:t>
      </w:r>
      <w:r w:rsidR="00184CFD" w:rsidRPr="00ED38E9">
        <w:rPr>
          <w:rFonts w:cs="Arial"/>
        </w:rPr>
        <w:t>y</w:t>
      </w:r>
      <w:r w:rsidRPr="00ED38E9">
        <w:rPr>
          <w:rFonts w:cs="Arial"/>
        </w:rPr>
        <w:t xml:space="preserve"> na státní rozpočet a ostatní veřejné rozpočty</w:t>
      </w:r>
    </w:p>
    <w:p w:rsidR="00201F4B" w:rsidRPr="00ED38E9" w:rsidRDefault="00201F4B">
      <w:pPr>
        <w:rPr>
          <w:rFonts w:cs="Arial"/>
        </w:rPr>
      </w:pPr>
      <w:r w:rsidRPr="00ED38E9">
        <w:rPr>
          <w:rFonts w:cs="Arial"/>
        </w:rPr>
        <w:t xml:space="preserve">Návrh zákona </w:t>
      </w:r>
      <w:r w:rsidR="007A32C8" w:rsidRPr="00ED38E9">
        <w:rPr>
          <w:rFonts w:cs="Arial"/>
        </w:rPr>
        <w:t xml:space="preserve">předpokládá </w:t>
      </w:r>
      <w:r w:rsidRPr="00ED38E9">
        <w:rPr>
          <w:rFonts w:cs="Arial"/>
        </w:rPr>
        <w:t xml:space="preserve">vydávání oprávnění </w:t>
      </w:r>
      <w:r w:rsidR="00572F7B">
        <w:rPr>
          <w:rFonts w:cs="Arial"/>
        </w:rPr>
        <w:t xml:space="preserve">i </w:t>
      </w:r>
      <w:r w:rsidRPr="00ED38E9">
        <w:rPr>
          <w:rFonts w:cs="Arial"/>
        </w:rPr>
        <w:t xml:space="preserve">k provozování kolektivních systémů, které </w:t>
      </w:r>
      <w:r w:rsidR="007A32C8" w:rsidRPr="00ED38E9">
        <w:rPr>
          <w:rFonts w:cs="Arial"/>
        </w:rPr>
        <w:t xml:space="preserve">již </w:t>
      </w:r>
      <w:r w:rsidRPr="00ED38E9">
        <w:rPr>
          <w:rFonts w:cs="Arial"/>
        </w:rPr>
        <w:t>působí v</w:t>
      </w:r>
      <w:r w:rsidR="007A32C8" w:rsidRPr="00ED38E9">
        <w:rPr>
          <w:rFonts w:cs="Arial"/>
        </w:rPr>
        <w:t xml:space="preserve"> ČR v </w:t>
      </w:r>
      <w:r w:rsidRPr="00ED38E9">
        <w:rPr>
          <w:rFonts w:cs="Arial"/>
        </w:rPr>
        <w:t>současné době</w:t>
      </w:r>
      <w:r w:rsidR="00572F7B">
        <w:rPr>
          <w:rFonts w:cs="Arial"/>
        </w:rPr>
        <w:t>,</w:t>
      </w:r>
      <w:r w:rsidRPr="00ED38E9">
        <w:rPr>
          <w:rFonts w:cs="Arial"/>
        </w:rPr>
        <w:t xml:space="preserve"> a dále pak případné vydávání oprávnění novým subjektům.</w:t>
      </w:r>
    </w:p>
    <w:p w:rsidR="00201F4B" w:rsidRPr="00ED38E9" w:rsidRDefault="00E359DB">
      <w:pPr>
        <w:rPr>
          <w:rFonts w:cs="Arial"/>
        </w:rPr>
      </w:pPr>
      <w:r>
        <w:rPr>
          <w:rFonts w:cs="Arial"/>
        </w:rPr>
        <w:t>Na základě počtu kolektivních systémů, které již dnes provozují systémy kolektivního plnění a n</w:t>
      </w:r>
      <w:r w:rsidR="00E44F23">
        <w:rPr>
          <w:rFonts w:cs="Arial"/>
        </w:rPr>
        <w:t>a základě dostupných informací o</w:t>
      </w:r>
      <w:r>
        <w:rPr>
          <w:rFonts w:cs="Arial"/>
        </w:rPr>
        <w:t xml:space="preserve"> výrobkových skupin</w:t>
      </w:r>
      <w:r w:rsidR="00E44F23">
        <w:rPr>
          <w:rFonts w:cs="Arial"/>
        </w:rPr>
        <w:t>ách</w:t>
      </w:r>
      <w:r>
        <w:rPr>
          <w:rFonts w:cs="Arial"/>
        </w:rPr>
        <w:t xml:space="preserve">, kde se vznik kolektivních systémů teprve předpokládá, </w:t>
      </w:r>
      <w:r w:rsidR="00201F4B" w:rsidRPr="00ED38E9">
        <w:rPr>
          <w:rFonts w:cs="Arial"/>
        </w:rPr>
        <w:t xml:space="preserve">odhadujeme, že o oprávnění může </w:t>
      </w:r>
      <w:r w:rsidR="006902E8">
        <w:rPr>
          <w:rFonts w:cs="Arial"/>
        </w:rPr>
        <w:t xml:space="preserve">reálně </w:t>
      </w:r>
      <w:r w:rsidR="00201F4B" w:rsidRPr="00ED38E9">
        <w:rPr>
          <w:rFonts w:cs="Arial"/>
        </w:rPr>
        <w:t xml:space="preserve">žádat až cca 22 subjektů. </w:t>
      </w:r>
    </w:p>
    <w:p w:rsidR="00201F4B" w:rsidRPr="00ED38E9" w:rsidRDefault="00201F4B" w:rsidP="002D66F0">
      <w:pPr>
        <w:pStyle w:val="Odstavecseseznamem"/>
        <w:numPr>
          <w:ilvl w:val="0"/>
          <w:numId w:val="97"/>
        </w:numPr>
        <w:rPr>
          <w:rFonts w:cs="Arial"/>
        </w:rPr>
      </w:pPr>
      <w:r w:rsidRPr="00ED38E9">
        <w:rPr>
          <w:rFonts w:cs="Arial"/>
        </w:rPr>
        <w:t>baterie a akumulátory (přenosné) - 2 subjekty,</w:t>
      </w:r>
    </w:p>
    <w:p w:rsidR="00201F4B" w:rsidRPr="00ED38E9" w:rsidRDefault="00201F4B" w:rsidP="002D66F0">
      <w:pPr>
        <w:pStyle w:val="Odstavecseseznamem"/>
        <w:numPr>
          <w:ilvl w:val="0"/>
          <w:numId w:val="97"/>
        </w:numPr>
        <w:rPr>
          <w:rFonts w:cs="Arial"/>
        </w:rPr>
      </w:pPr>
      <w:r w:rsidRPr="00ED38E9">
        <w:rPr>
          <w:rFonts w:cs="Arial"/>
        </w:rPr>
        <w:t>baterie a akumulátory (automobilové a průmyslové) - 1–2 subjekty,</w:t>
      </w:r>
    </w:p>
    <w:p w:rsidR="00201F4B" w:rsidRPr="00ED38E9" w:rsidRDefault="00201F4B" w:rsidP="002D66F0">
      <w:pPr>
        <w:pStyle w:val="Odstavecseseznamem"/>
        <w:numPr>
          <w:ilvl w:val="0"/>
          <w:numId w:val="97"/>
        </w:numPr>
        <w:rPr>
          <w:rFonts w:cs="Arial"/>
        </w:rPr>
      </w:pPr>
      <w:r w:rsidRPr="00ED38E9">
        <w:rPr>
          <w:rFonts w:cs="Arial"/>
        </w:rPr>
        <w:t>elektrozařízení</w:t>
      </w:r>
      <w:r w:rsidR="00E359DB">
        <w:rPr>
          <w:rFonts w:cs="Arial"/>
        </w:rPr>
        <w:t xml:space="preserve"> (včetně solárních panelů)</w:t>
      </w:r>
      <w:r w:rsidRPr="00ED38E9">
        <w:rPr>
          <w:rFonts w:cs="Arial"/>
        </w:rPr>
        <w:t xml:space="preserve"> - 16 subjektů,</w:t>
      </w:r>
    </w:p>
    <w:p w:rsidR="00201F4B" w:rsidRPr="00ED38E9" w:rsidRDefault="00201F4B" w:rsidP="002D66F0">
      <w:pPr>
        <w:pStyle w:val="Odstavecseseznamem"/>
        <w:numPr>
          <w:ilvl w:val="0"/>
          <w:numId w:val="97"/>
        </w:numPr>
        <w:rPr>
          <w:rFonts w:cs="Arial"/>
        </w:rPr>
      </w:pPr>
      <w:r w:rsidRPr="00ED38E9">
        <w:rPr>
          <w:rFonts w:cs="Arial"/>
        </w:rPr>
        <w:t>pneumatiky - 1–2 subjekty.</w:t>
      </w:r>
    </w:p>
    <w:p w:rsidR="00201F4B" w:rsidRPr="00ED38E9" w:rsidRDefault="00EC3D02" w:rsidP="00783869">
      <w:pPr>
        <w:spacing w:before="120"/>
        <w:rPr>
          <w:rFonts w:cs="Arial"/>
        </w:rPr>
      </w:pPr>
      <w:r w:rsidRPr="00ED38E9">
        <w:rPr>
          <w:rFonts w:cs="Arial"/>
        </w:rPr>
        <w:t xml:space="preserve">Z konzultací s pracovníky odboru odpadů </w:t>
      </w:r>
      <w:r w:rsidR="00FF121F">
        <w:rPr>
          <w:rFonts w:cs="Arial"/>
        </w:rPr>
        <w:t xml:space="preserve">ministerstva </w:t>
      </w:r>
      <w:r w:rsidRPr="00ED38E9">
        <w:rPr>
          <w:rFonts w:cs="Arial"/>
        </w:rPr>
        <w:t>vyplynulo, že časová náročnost na udělení oprávnění k provozování kolektivního systému je odhadována na cca 40 hodin na jednu žádost. Náklady ministerstva jsou pak odhadovány kolem 15 tis. Kč na jedno oprávnění (dle Metodiky MV, ke dni 1. 1. 2015, 13.–15. platová třída). V případě cca 22 řízení je celková administrativní zátěž odhadována na částku 330 tis. Kč. Předpokládáme, že tato činnost bude zajištěna pracovníky ministerstva bez nároku na navyšování pracovních úvazků.</w:t>
      </w:r>
    </w:p>
    <w:p w:rsidR="00184CFD" w:rsidRPr="00ED38E9" w:rsidRDefault="00184CFD" w:rsidP="00783869">
      <w:pPr>
        <w:pStyle w:val="Normlntun"/>
        <w:rPr>
          <w:rFonts w:cs="Arial"/>
        </w:rPr>
      </w:pPr>
      <w:r w:rsidRPr="00ED38E9">
        <w:rPr>
          <w:rFonts w:cs="Arial"/>
        </w:rPr>
        <w:t>Dopady na podnikatelské subjekty (prostředí)</w:t>
      </w:r>
    </w:p>
    <w:p w:rsidR="00184CFD" w:rsidRPr="00ED38E9" w:rsidRDefault="00184CFD">
      <w:pPr>
        <w:rPr>
          <w:rFonts w:cs="Arial"/>
        </w:rPr>
      </w:pPr>
      <w:r w:rsidRPr="00ED38E9">
        <w:rPr>
          <w:rFonts w:cs="Arial"/>
        </w:rPr>
        <w:t>Výše dopadu na podnikatelský subjekt je závislá na tom, jestli se jedná o subjekt, který bude nově žádat o oprávnění nebo jestli se jedná o subjekt, který již nyní provozuje kolektivní systém a bude pouze povinnen nově splnit jen některé nové podmínky a požádat o oprávnění.</w:t>
      </w:r>
    </w:p>
    <w:p w:rsidR="00201F4B" w:rsidRPr="00ED38E9" w:rsidRDefault="00184CFD" w:rsidP="002D66F0">
      <w:pPr>
        <w:pStyle w:val="Normlntun"/>
        <w:numPr>
          <w:ilvl w:val="0"/>
          <w:numId w:val="99"/>
        </w:numPr>
        <w:rPr>
          <w:rFonts w:cs="Arial"/>
        </w:rPr>
      </w:pPr>
      <w:r w:rsidRPr="00ED38E9">
        <w:rPr>
          <w:rFonts w:cs="Arial"/>
        </w:rPr>
        <w:t>Nový subjekt</w:t>
      </w:r>
    </w:p>
    <w:p w:rsidR="00257E70" w:rsidRPr="00ED38E9" w:rsidRDefault="00257E70" w:rsidP="00257E70">
      <w:pPr>
        <w:spacing w:before="120"/>
        <w:rPr>
          <w:rFonts w:cs="Arial"/>
        </w:rPr>
      </w:pPr>
      <w:r w:rsidRPr="00ED38E9">
        <w:rPr>
          <w:rFonts w:cs="Arial"/>
        </w:rPr>
        <w:t>Odhadované náklady na založení kolektivního systému se dají rozdělit na:</w:t>
      </w:r>
    </w:p>
    <w:p w:rsidR="00257E70" w:rsidRPr="00ED38E9" w:rsidRDefault="00257E70" w:rsidP="002D66F0">
      <w:pPr>
        <w:pStyle w:val="Odstavecseseznamem"/>
        <w:numPr>
          <w:ilvl w:val="0"/>
          <w:numId w:val="28"/>
        </w:numPr>
        <w:contextualSpacing w:val="0"/>
        <w:rPr>
          <w:rFonts w:cs="Arial"/>
        </w:rPr>
      </w:pPr>
      <w:r w:rsidRPr="00ED38E9">
        <w:rPr>
          <w:rFonts w:cs="Arial"/>
        </w:rPr>
        <w:t>Náklady související přímo se založením kolektivního systému: 600 tis. Kč</w:t>
      </w:r>
    </w:p>
    <w:p w:rsidR="00257E70" w:rsidRPr="00ED38E9" w:rsidRDefault="00257E70" w:rsidP="002D66F0">
      <w:pPr>
        <w:pStyle w:val="Odstavecseseznamem"/>
        <w:numPr>
          <w:ilvl w:val="0"/>
          <w:numId w:val="28"/>
        </w:numPr>
        <w:contextualSpacing w:val="0"/>
        <w:rPr>
          <w:rFonts w:cs="Arial"/>
        </w:rPr>
      </w:pPr>
      <w:r w:rsidRPr="00ED38E9">
        <w:rPr>
          <w:rFonts w:cs="Arial"/>
        </w:rPr>
        <w:t>Personální náklady: 500 tis. Kč</w:t>
      </w:r>
    </w:p>
    <w:p w:rsidR="00257E70" w:rsidRPr="00ED38E9" w:rsidRDefault="00257E70" w:rsidP="002D66F0">
      <w:pPr>
        <w:pStyle w:val="Odstavecseseznamem"/>
        <w:numPr>
          <w:ilvl w:val="0"/>
          <w:numId w:val="28"/>
        </w:numPr>
        <w:contextualSpacing w:val="0"/>
        <w:rPr>
          <w:rFonts w:cs="Arial"/>
        </w:rPr>
      </w:pPr>
      <w:r w:rsidRPr="00ED38E9">
        <w:rPr>
          <w:rFonts w:cs="Arial"/>
        </w:rPr>
        <w:t>Organizačně technické náklady (nájem, licence apod.): 100 tis. Kč</w:t>
      </w:r>
    </w:p>
    <w:p w:rsidR="00257E70" w:rsidRPr="00ED38E9" w:rsidRDefault="00257E70" w:rsidP="002D66F0">
      <w:pPr>
        <w:pStyle w:val="Odstavecseseznamem"/>
        <w:numPr>
          <w:ilvl w:val="0"/>
          <w:numId w:val="28"/>
        </w:numPr>
        <w:contextualSpacing w:val="0"/>
        <w:rPr>
          <w:rFonts w:cs="Arial"/>
        </w:rPr>
      </w:pPr>
      <w:r w:rsidRPr="00ED38E9">
        <w:rPr>
          <w:rFonts w:cs="Arial"/>
        </w:rPr>
        <w:t>Náklady související s procesem získání autorizace: 450 tis. Kč</w:t>
      </w:r>
    </w:p>
    <w:p w:rsidR="00257E70" w:rsidRPr="00ED38E9" w:rsidRDefault="00257E70" w:rsidP="002D66F0">
      <w:pPr>
        <w:pStyle w:val="Odstavecseseznamem"/>
        <w:numPr>
          <w:ilvl w:val="0"/>
          <w:numId w:val="28"/>
        </w:numPr>
        <w:contextualSpacing w:val="0"/>
        <w:rPr>
          <w:rFonts w:cs="Arial"/>
        </w:rPr>
      </w:pPr>
      <w:r w:rsidRPr="00ED38E9">
        <w:rPr>
          <w:rFonts w:cs="Arial"/>
        </w:rPr>
        <w:t>Náklady na nastavení organizačních procesů – smlouvy s povinnými osobami, sběrnými místy, dopravci, zpracovateli: není možné odhadnout</w:t>
      </w:r>
    </w:p>
    <w:p w:rsidR="00257E70" w:rsidRPr="00ED38E9" w:rsidRDefault="00257E70" w:rsidP="00257E70">
      <w:pPr>
        <w:spacing w:before="120"/>
        <w:rPr>
          <w:rFonts w:cs="Arial"/>
        </w:rPr>
      </w:pPr>
      <w:r w:rsidRPr="00ED38E9">
        <w:rPr>
          <w:rFonts w:cs="Arial"/>
        </w:rPr>
        <w:t>Z výše uvedeného odhadujeme náklady na založení kolektivního systému ve výši minimálně 2 mil. Kč.</w:t>
      </w:r>
    </w:p>
    <w:p w:rsidR="00184CFD" w:rsidRPr="00ED38E9" w:rsidRDefault="00184CFD" w:rsidP="002D66F0">
      <w:pPr>
        <w:pStyle w:val="Normlntun"/>
        <w:numPr>
          <w:ilvl w:val="0"/>
          <w:numId w:val="99"/>
        </w:numPr>
        <w:rPr>
          <w:rFonts w:cs="Arial"/>
        </w:rPr>
      </w:pPr>
      <w:r w:rsidRPr="00ED38E9">
        <w:rPr>
          <w:rFonts w:cs="Arial"/>
        </w:rPr>
        <w:lastRenderedPageBreak/>
        <w:t>Současný subjekt provozující kolektivní systém</w:t>
      </w:r>
    </w:p>
    <w:p w:rsidR="00184CFD" w:rsidRPr="00ED38E9" w:rsidRDefault="00184CFD" w:rsidP="00783869">
      <w:pPr>
        <w:rPr>
          <w:rFonts w:cs="Arial"/>
        </w:rPr>
      </w:pPr>
      <w:r w:rsidRPr="00ED38E9">
        <w:rPr>
          <w:rFonts w:cs="Arial"/>
        </w:rPr>
        <w:t xml:space="preserve">Mezi náklady řadíme </w:t>
      </w:r>
      <w:r w:rsidR="00496B7B" w:rsidRPr="00ED38E9">
        <w:rPr>
          <w:rFonts w:cs="Arial"/>
        </w:rPr>
        <w:t xml:space="preserve">zejména </w:t>
      </w:r>
      <w:r w:rsidRPr="00ED38E9">
        <w:rPr>
          <w:rFonts w:cs="Arial"/>
        </w:rPr>
        <w:t xml:space="preserve">tyto </w:t>
      </w:r>
      <w:r w:rsidR="00496B7B" w:rsidRPr="00ED38E9">
        <w:rPr>
          <w:rFonts w:cs="Arial"/>
        </w:rPr>
        <w:t>povinnosti</w:t>
      </w:r>
      <w:r w:rsidRPr="00ED38E9">
        <w:rPr>
          <w:rFonts w:cs="Arial"/>
        </w:rPr>
        <w:t>:</w:t>
      </w:r>
    </w:p>
    <w:p w:rsidR="00496B7B" w:rsidRPr="00ED38E9" w:rsidRDefault="00496B7B" w:rsidP="002D66F0">
      <w:pPr>
        <w:pStyle w:val="Odstavecseseznamem"/>
        <w:numPr>
          <w:ilvl w:val="0"/>
          <w:numId w:val="98"/>
        </w:numPr>
        <w:rPr>
          <w:rFonts w:cs="Arial"/>
        </w:rPr>
      </w:pPr>
      <w:r w:rsidRPr="00ED38E9">
        <w:rPr>
          <w:rFonts w:cs="Arial"/>
        </w:rPr>
        <w:t>Vytovření žádosti o vydání oprávnění</w:t>
      </w:r>
    </w:p>
    <w:p w:rsidR="00496B7B" w:rsidRPr="00ED38E9" w:rsidRDefault="00496B7B" w:rsidP="002D66F0">
      <w:pPr>
        <w:pStyle w:val="Odstavecseseznamem"/>
        <w:numPr>
          <w:ilvl w:val="0"/>
          <w:numId w:val="98"/>
        </w:numPr>
        <w:rPr>
          <w:rFonts w:cs="Arial"/>
        </w:rPr>
      </w:pPr>
      <w:r w:rsidRPr="00ED38E9">
        <w:rPr>
          <w:rFonts w:cs="Arial"/>
        </w:rPr>
        <w:t>Případné změny ve smlouvách s výrobci</w:t>
      </w:r>
    </w:p>
    <w:p w:rsidR="00496B7B" w:rsidRPr="00ED38E9" w:rsidRDefault="000140BB" w:rsidP="002D66F0">
      <w:pPr>
        <w:pStyle w:val="Odstavecseseznamem"/>
        <w:numPr>
          <w:ilvl w:val="0"/>
          <w:numId w:val="98"/>
        </w:numPr>
        <w:rPr>
          <w:rFonts w:cs="Arial"/>
        </w:rPr>
      </w:pPr>
      <w:r w:rsidRPr="00ED38E9">
        <w:rPr>
          <w:rFonts w:cs="Arial"/>
        </w:rPr>
        <w:t>Další administrativní úkony</w:t>
      </w:r>
    </w:p>
    <w:p w:rsidR="000140BB" w:rsidRPr="00ED38E9" w:rsidRDefault="000140BB" w:rsidP="00783869">
      <w:pPr>
        <w:rPr>
          <w:rFonts w:cs="Arial"/>
        </w:rPr>
      </w:pPr>
      <w:r w:rsidRPr="00ED38E9">
        <w:rPr>
          <w:rFonts w:cs="Arial"/>
        </w:rPr>
        <w:t>Celkově však nejsme schopni definovat dopady na tyto subjekty, ale předpokládáme, že budou ve srovnání se založením nového kolektivního systému m</w:t>
      </w:r>
      <w:r w:rsidR="00C4570E" w:rsidRPr="00ED38E9">
        <w:rPr>
          <w:rFonts w:cs="Arial"/>
        </w:rPr>
        <w:t>enší</w:t>
      </w:r>
      <w:r w:rsidRPr="00ED38E9">
        <w:rPr>
          <w:rFonts w:cs="Arial"/>
        </w:rPr>
        <w:t>, protože nebude nutné vynakládat oproti současnému stavu další personální náklady, nebude nutné nastavovat organizační procesy (doprava, sběrná místa, výrobci, zpracovatelé apod.) a další činnosti.</w:t>
      </w:r>
    </w:p>
    <w:p w:rsidR="008E555C" w:rsidRPr="00822A23" w:rsidRDefault="00C4570E" w:rsidP="00783869">
      <w:pPr>
        <w:spacing w:before="240"/>
        <w:rPr>
          <w:rFonts w:cs="Arial"/>
        </w:rPr>
      </w:pPr>
      <w:r w:rsidRPr="00822A23">
        <w:rPr>
          <w:rFonts w:cs="Arial"/>
        </w:rPr>
        <w:t xml:space="preserve">Celkový dopad na podnikatelské subjekty může být negativní i pozitivní. Mezi negativní dopady řadíme </w:t>
      </w:r>
      <w:r w:rsidR="00992D98" w:rsidRPr="00822A23">
        <w:rPr>
          <w:rFonts w:cs="Arial"/>
        </w:rPr>
        <w:t xml:space="preserve">možnost </w:t>
      </w:r>
      <w:r w:rsidRPr="00822A23">
        <w:rPr>
          <w:rFonts w:cs="Arial"/>
        </w:rPr>
        <w:t>ukončení činnosti některých současných kolektivních systémů, které nesplní nové podmínky. Mezi pozitiva pak naopak řadíme založení kolektivních systémů, které budou kvalitním partnerem pro výrobce a další subjekty</w:t>
      </w:r>
      <w:r w:rsidR="00DD47D6" w:rsidRPr="00822A23">
        <w:rPr>
          <w:rFonts w:cs="Arial"/>
        </w:rPr>
        <w:t xml:space="preserve"> (</w:t>
      </w:r>
      <w:r w:rsidR="00992D98" w:rsidRPr="00822A23">
        <w:rPr>
          <w:rFonts w:cs="Arial"/>
        </w:rPr>
        <w:t xml:space="preserve">zejména </w:t>
      </w:r>
      <w:r w:rsidR="00DD47D6" w:rsidRPr="00822A23">
        <w:rPr>
          <w:rFonts w:cs="Arial"/>
        </w:rPr>
        <w:t xml:space="preserve"> ministerstvo</w:t>
      </w:r>
      <w:r w:rsidR="00992D98" w:rsidRPr="00822A23">
        <w:rPr>
          <w:rFonts w:cs="Arial"/>
        </w:rPr>
        <w:t>, obecní samosprávy poslední prodejc</w:t>
      </w:r>
      <w:r w:rsidR="006D002F">
        <w:rPr>
          <w:rFonts w:cs="Arial"/>
        </w:rPr>
        <w:t>i</w:t>
      </w:r>
      <w:r w:rsidR="00DD47D6" w:rsidRPr="00822A23">
        <w:rPr>
          <w:rFonts w:cs="Arial"/>
        </w:rPr>
        <w:t>)</w:t>
      </w:r>
      <w:r w:rsidR="00992D98" w:rsidRPr="00822A23">
        <w:rPr>
          <w:rFonts w:cs="Arial"/>
        </w:rPr>
        <w:t>,</w:t>
      </w:r>
      <w:r w:rsidR="00DD47D6" w:rsidRPr="00822A23">
        <w:rPr>
          <w:rFonts w:cs="Arial"/>
        </w:rPr>
        <w:t xml:space="preserve"> a povedou k efektivnímu nakládání s výrobky s ukončenou životností.</w:t>
      </w:r>
    </w:p>
    <w:p w:rsidR="00DF33F0" w:rsidRDefault="001C2CE1" w:rsidP="00783869">
      <w:pPr>
        <w:spacing w:before="240"/>
        <w:rPr>
          <w:rFonts w:cs="Arial"/>
        </w:rPr>
      </w:pPr>
      <w:r w:rsidRPr="00ED38E9">
        <w:rPr>
          <w:rFonts w:cs="Arial"/>
        </w:rPr>
        <w:t>Návrh zákona</w:t>
      </w:r>
      <w:r w:rsidRPr="00822A23">
        <w:rPr>
          <w:rFonts w:cs="Arial"/>
        </w:rPr>
        <w:t xml:space="preserve"> </w:t>
      </w:r>
      <w:r>
        <w:rPr>
          <w:rFonts w:cs="Arial"/>
        </w:rPr>
        <w:t xml:space="preserve"> zavádí pro výrobce, kteří chtějí založit kolektivní systém, podmínku minimálního množství výrobků, které musí uvést na trh během předchozích tř</w:t>
      </w:r>
      <w:r w:rsidR="00877D6E">
        <w:rPr>
          <w:rFonts w:cs="Arial"/>
        </w:rPr>
        <w:t>í</w:t>
      </w:r>
      <w:r>
        <w:rPr>
          <w:rFonts w:cs="Arial"/>
        </w:rPr>
        <w:t xml:space="preserve"> let. Tento požadavek je </w:t>
      </w:r>
      <w:r w:rsidR="00877D6E">
        <w:rPr>
          <w:rFonts w:cs="Arial"/>
        </w:rPr>
        <w:t>stanoven proto</w:t>
      </w:r>
      <w:r>
        <w:rPr>
          <w:rFonts w:cs="Arial"/>
        </w:rPr>
        <w:t xml:space="preserve">, aby došlo k eliminaci situací, kdy vlastníky kolektivních systémů jsou účeloví výrobci, resp. ad hoc založení výrobci, kteří by uváděli na trh jen minimální množství </w:t>
      </w:r>
      <w:r w:rsidR="00877D6E">
        <w:rPr>
          <w:rFonts w:cs="Arial"/>
        </w:rPr>
        <w:t xml:space="preserve">vybraných </w:t>
      </w:r>
      <w:r>
        <w:rPr>
          <w:rFonts w:cs="Arial"/>
        </w:rPr>
        <w:t xml:space="preserve">výrobků. Je zde riziko, že bez nastavení </w:t>
      </w:r>
      <w:r w:rsidR="00877D6E">
        <w:rPr>
          <w:rFonts w:cs="Arial"/>
        </w:rPr>
        <w:t xml:space="preserve">určitých </w:t>
      </w:r>
      <w:r>
        <w:rPr>
          <w:rFonts w:cs="Arial"/>
        </w:rPr>
        <w:t>limitů mohou vznikat kolektivní systémy vlastněné zmíněnými účelovými výrobci, přičemž cíl</w:t>
      </w:r>
      <w:r w:rsidR="00DF33F0">
        <w:rPr>
          <w:rFonts w:cs="Arial"/>
        </w:rPr>
        <w:t xml:space="preserve"> takovýchto kolektivních systémů může být </w:t>
      </w:r>
      <w:r w:rsidR="001D0FCC">
        <w:rPr>
          <w:rFonts w:cs="Arial"/>
        </w:rPr>
        <w:t xml:space="preserve">buď spekulativní, nebo má umožnit některým výrobcům </w:t>
      </w:r>
      <w:r w:rsidR="00DF33F0">
        <w:rPr>
          <w:rFonts w:cs="Arial"/>
        </w:rPr>
        <w:t xml:space="preserve">obcházení </w:t>
      </w:r>
      <w:r w:rsidR="00877D6E">
        <w:rPr>
          <w:rFonts w:cs="Arial"/>
        </w:rPr>
        <w:t xml:space="preserve">zákonných </w:t>
      </w:r>
      <w:r w:rsidR="00DF33F0">
        <w:rPr>
          <w:rFonts w:cs="Arial"/>
        </w:rPr>
        <w:t>povinností. Již v současno</w:t>
      </w:r>
      <w:r w:rsidR="00877D6E">
        <w:rPr>
          <w:rFonts w:cs="Arial"/>
        </w:rPr>
        <w:t>s</w:t>
      </w:r>
      <w:r w:rsidR="00DF33F0">
        <w:rPr>
          <w:rFonts w:cs="Arial"/>
        </w:rPr>
        <w:t>ti takové kolektivní systémy existují. Přestože navrhovaný zákon dává státu, potažno ministerstvu</w:t>
      </w:r>
      <w:r w:rsidR="001D0FCC">
        <w:rPr>
          <w:rFonts w:cs="Arial"/>
        </w:rPr>
        <w:t>,</w:t>
      </w:r>
      <w:r w:rsidR="00DF33F0">
        <w:rPr>
          <w:rFonts w:cs="Arial"/>
        </w:rPr>
        <w:t xml:space="preserve"> významně vyšší kompetence</w:t>
      </w:r>
      <w:r w:rsidR="00877D6E">
        <w:rPr>
          <w:rFonts w:cs="Arial"/>
        </w:rPr>
        <w:t>,</w:t>
      </w:r>
      <w:r w:rsidR="00DF33F0">
        <w:rPr>
          <w:rFonts w:cs="Arial"/>
        </w:rPr>
        <w:t xml:space="preserve"> co se týče kontroly a případného odebrání oprávnění k zajišťování kolektivního plnění, je nutné uvažovat, že prokázání porušení zákona a následné zrušení oprávnění může trvat </w:t>
      </w:r>
      <w:r w:rsidR="001D0FCC">
        <w:rPr>
          <w:rFonts w:cs="Arial"/>
        </w:rPr>
        <w:t>relativně</w:t>
      </w:r>
      <w:r w:rsidR="00DF33F0">
        <w:rPr>
          <w:rFonts w:cs="Arial"/>
        </w:rPr>
        <w:t xml:space="preserve"> dlouhou dobu, po kterou mohou být na trh uváděna vysoká množství </w:t>
      </w:r>
      <w:r w:rsidR="00877D6E">
        <w:rPr>
          <w:rFonts w:cs="Arial"/>
        </w:rPr>
        <w:t xml:space="preserve">vybraných </w:t>
      </w:r>
      <w:r w:rsidR="00DF33F0">
        <w:rPr>
          <w:rFonts w:cs="Arial"/>
        </w:rPr>
        <w:t xml:space="preserve">výrobků, ke kterým </w:t>
      </w:r>
      <w:r w:rsidR="001D0FCC">
        <w:rPr>
          <w:rFonts w:cs="Arial"/>
        </w:rPr>
        <w:t xml:space="preserve">pak </w:t>
      </w:r>
      <w:r w:rsidR="00DF33F0">
        <w:rPr>
          <w:rFonts w:cs="Arial"/>
        </w:rPr>
        <w:t>nebude zajištěno financování budoucího nakládání. Tento</w:t>
      </w:r>
      <w:r>
        <w:rPr>
          <w:rFonts w:cs="Arial"/>
        </w:rPr>
        <w:t xml:space="preserve"> </w:t>
      </w:r>
      <w:r w:rsidR="00DF33F0">
        <w:rPr>
          <w:rFonts w:cs="Arial"/>
        </w:rPr>
        <w:t xml:space="preserve">problém může být příznačný právě pro případy, kdy dojde k odebrání oprávnění kolektivnímu systému např. v přechodné době po nabytí účinnosti zákona, kdy ještě nebude muset mít kolektivní systém vytvořenu (minimální) finanční rezervu v požadované výši. </w:t>
      </w:r>
    </w:p>
    <w:p w:rsidR="006902E8" w:rsidRDefault="008E555C" w:rsidP="00783869">
      <w:pPr>
        <w:spacing w:before="240"/>
        <w:rPr>
          <w:rFonts w:cs="Arial"/>
        </w:rPr>
      </w:pPr>
      <w:r w:rsidRPr="00822A23">
        <w:rPr>
          <w:rFonts w:cs="Arial"/>
        </w:rPr>
        <w:t xml:space="preserve">V následující tabulce bereme do úvahy různé </w:t>
      </w:r>
      <w:r w:rsidR="00921201" w:rsidRPr="00822A23">
        <w:rPr>
          <w:rFonts w:cs="Arial"/>
        </w:rPr>
        <w:t xml:space="preserve">limity </w:t>
      </w:r>
      <w:r w:rsidR="00670EBE" w:rsidRPr="00822A23">
        <w:rPr>
          <w:rFonts w:cs="Arial"/>
        </w:rPr>
        <w:t>množství (v tunách)</w:t>
      </w:r>
      <w:r w:rsidR="00921201" w:rsidRPr="00822A23">
        <w:rPr>
          <w:rFonts w:cs="Arial"/>
        </w:rPr>
        <w:t xml:space="preserve"> </w:t>
      </w:r>
      <w:r w:rsidR="006902E8">
        <w:rPr>
          <w:rFonts w:cs="Arial"/>
        </w:rPr>
        <w:t>v průběhu</w:t>
      </w:r>
      <w:r w:rsidR="00921201" w:rsidRPr="00822A23">
        <w:rPr>
          <w:rFonts w:cs="Arial"/>
        </w:rPr>
        <w:t xml:space="preserve"> období </w:t>
      </w:r>
      <w:r w:rsidR="006902E8">
        <w:rPr>
          <w:rFonts w:cs="Arial"/>
        </w:rPr>
        <w:t>jednoho roku, resp. tří let</w:t>
      </w:r>
      <w:r w:rsidR="00670EBE" w:rsidRPr="00822A23">
        <w:rPr>
          <w:rFonts w:cs="Arial"/>
        </w:rPr>
        <w:t xml:space="preserve">, pokud se </w:t>
      </w:r>
      <w:r w:rsidR="00921201" w:rsidRPr="00822A23">
        <w:rPr>
          <w:rFonts w:cs="Arial"/>
        </w:rPr>
        <w:t>jedná o </w:t>
      </w:r>
      <w:r w:rsidR="00670EBE" w:rsidRPr="00822A23">
        <w:rPr>
          <w:rFonts w:cs="Arial"/>
        </w:rPr>
        <w:t>přenosné baterie nebo akumulátory. V prv</w:t>
      </w:r>
      <w:r w:rsidR="00E359DB" w:rsidRPr="00822A23">
        <w:rPr>
          <w:rFonts w:cs="Arial"/>
        </w:rPr>
        <w:t>n</w:t>
      </w:r>
      <w:r w:rsidR="00670EBE" w:rsidRPr="00822A23">
        <w:rPr>
          <w:rFonts w:cs="Arial"/>
        </w:rPr>
        <w:t>ím případ</w:t>
      </w:r>
      <w:r w:rsidR="00E359DB" w:rsidRPr="00822A23">
        <w:rPr>
          <w:rFonts w:cs="Arial"/>
        </w:rPr>
        <w:t>ě</w:t>
      </w:r>
      <w:r w:rsidR="00670EBE" w:rsidRPr="00822A23">
        <w:rPr>
          <w:rFonts w:cs="Arial"/>
        </w:rPr>
        <w:t xml:space="preserve"> se množství 5 tun rozdelí na 1,66 tun v každém roce.</w:t>
      </w:r>
      <w:r w:rsidR="0048618E" w:rsidRPr="00822A23">
        <w:rPr>
          <w:rFonts w:cs="Arial"/>
        </w:rPr>
        <w:t xml:space="preserve"> </w:t>
      </w:r>
      <w:r w:rsidR="006902E8">
        <w:rPr>
          <w:rFonts w:cs="Arial"/>
        </w:rPr>
        <w:t xml:space="preserve">Znamená to tedy, že aby výrobce splnil podmínku, že musí bo dobu tří let uvést na trh minimálně 500 tun výrobků, musí během jednoho roku uvést na trh cca 1, 66 tun přenosných baterií nebo akumulátorů. </w:t>
      </w:r>
      <w:r w:rsidR="0048618E" w:rsidRPr="00822A23">
        <w:rPr>
          <w:rFonts w:cs="Arial"/>
        </w:rPr>
        <w:t xml:space="preserve">Při takto </w:t>
      </w:r>
      <w:r w:rsidR="006902E8">
        <w:rPr>
          <w:rFonts w:cs="Arial"/>
        </w:rPr>
        <w:t>nastavené výši</w:t>
      </w:r>
      <w:r w:rsidR="0048618E" w:rsidRPr="00822A23">
        <w:rPr>
          <w:rFonts w:cs="Arial"/>
        </w:rPr>
        <w:t xml:space="preserve"> </w:t>
      </w:r>
      <w:r w:rsidR="006902E8">
        <w:rPr>
          <w:rFonts w:cs="Arial"/>
        </w:rPr>
        <w:t xml:space="preserve">limitu </w:t>
      </w:r>
      <w:r w:rsidR="0048618E" w:rsidRPr="00822A23">
        <w:rPr>
          <w:rFonts w:cs="Arial"/>
        </w:rPr>
        <w:t>by</w:t>
      </w:r>
      <w:r w:rsidR="006902E8">
        <w:rPr>
          <w:rFonts w:cs="Arial"/>
        </w:rPr>
        <w:t xml:space="preserve"> na základě dat z</w:t>
      </w:r>
      <w:r w:rsidR="00022FE5">
        <w:rPr>
          <w:rFonts w:cs="Arial"/>
        </w:rPr>
        <w:t> </w:t>
      </w:r>
      <w:r w:rsidR="006902E8">
        <w:rPr>
          <w:rFonts w:cs="Arial"/>
        </w:rPr>
        <w:t>roku</w:t>
      </w:r>
      <w:r w:rsidR="00022FE5">
        <w:rPr>
          <w:rFonts w:cs="Arial"/>
        </w:rPr>
        <w:t xml:space="preserve"> </w:t>
      </w:r>
      <w:r w:rsidR="0048618E" w:rsidRPr="00822A23">
        <w:rPr>
          <w:rFonts w:cs="Arial"/>
        </w:rPr>
        <w:t>2014</w:t>
      </w:r>
      <w:r w:rsidR="006902E8">
        <w:rPr>
          <w:rFonts w:cs="Arial"/>
        </w:rPr>
        <w:t>,</w:t>
      </w:r>
      <w:r w:rsidR="0048618E" w:rsidRPr="00822A23">
        <w:rPr>
          <w:rFonts w:cs="Arial"/>
        </w:rPr>
        <w:t xml:space="preserve"> mohlo </w:t>
      </w:r>
      <w:r w:rsidR="006902E8">
        <w:rPr>
          <w:rFonts w:cs="Arial"/>
        </w:rPr>
        <w:t xml:space="preserve">teoreticky </w:t>
      </w:r>
      <w:r w:rsidR="0048618E" w:rsidRPr="00822A23">
        <w:rPr>
          <w:rFonts w:cs="Arial"/>
        </w:rPr>
        <w:t>KS založit cca 48 výrobců.</w:t>
      </w:r>
      <w:r w:rsidR="00670EBE" w:rsidRPr="00822A23">
        <w:rPr>
          <w:rFonts w:cs="Arial"/>
        </w:rPr>
        <w:t xml:space="preserve"> Dále uvažujeme množství 3,75 t za období 3 let</w:t>
      </w:r>
      <w:r w:rsidR="0048618E" w:rsidRPr="00822A23">
        <w:rPr>
          <w:rFonts w:cs="Arial"/>
        </w:rPr>
        <w:t xml:space="preserve">, při kterém by si KS mohlo založit 57 subjektů </w:t>
      </w:r>
      <w:r w:rsidR="00670EBE" w:rsidRPr="00822A23">
        <w:rPr>
          <w:rFonts w:cs="Arial"/>
        </w:rPr>
        <w:t xml:space="preserve"> a následn</w:t>
      </w:r>
      <w:r w:rsidR="00E359DB" w:rsidRPr="00822A23">
        <w:rPr>
          <w:rFonts w:cs="Arial"/>
        </w:rPr>
        <w:t>ě</w:t>
      </w:r>
      <w:r w:rsidR="00670EBE" w:rsidRPr="00822A23">
        <w:rPr>
          <w:rFonts w:cs="Arial"/>
        </w:rPr>
        <w:t xml:space="preserve"> </w:t>
      </w:r>
      <w:r w:rsidR="0048618E" w:rsidRPr="00822A23">
        <w:rPr>
          <w:rFonts w:cs="Arial"/>
        </w:rPr>
        <w:t xml:space="preserve">předpokládáme limit </w:t>
      </w:r>
      <w:r w:rsidR="00670EBE" w:rsidRPr="00822A23">
        <w:rPr>
          <w:rFonts w:cs="Arial"/>
        </w:rPr>
        <w:t xml:space="preserve">3 tuny za </w:t>
      </w:r>
      <w:r w:rsidR="0048618E" w:rsidRPr="00822A23">
        <w:rPr>
          <w:rFonts w:cs="Arial"/>
        </w:rPr>
        <w:t>tříleté</w:t>
      </w:r>
      <w:r w:rsidR="00670EBE" w:rsidRPr="00822A23">
        <w:rPr>
          <w:rFonts w:cs="Arial"/>
        </w:rPr>
        <w:t xml:space="preserve"> období</w:t>
      </w:r>
      <w:r w:rsidR="0048618E" w:rsidRPr="00822A23">
        <w:rPr>
          <w:rFonts w:cs="Arial"/>
        </w:rPr>
        <w:t>, při kterých by si KS mohlo založit 53 výrobců</w:t>
      </w:r>
      <w:r w:rsidR="00670EBE" w:rsidRPr="00822A23">
        <w:rPr>
          <w:rFonts w:cs="Arial"/>
        </w:rPr>
        <w:t>.</w:t>
      </w:r>
      <w:r w:rsidR="00291E2E" w:rsidRPr="00822A23">
        <w:rPr>
          <w:rFonts w:cs="Arial"/>
        </w:rPr>
        <w:t xml:space="preserve"> </w:t>
      </w:r>
      <w:r w:rsidR="006D002F" w:rsidRPr="00822A23">
        <w:rPr>
          <w:rFonts w:cs="Arial"/>
        </w:rPr>
        <w:t xml:space="preserve">Pokud bereme v úvahu, že kolektivní systém může být založen </w:t>
      </w:r>
      <w:r w:rsidR="006D002F" w:rsidRPr="00822A23">
        <w:rPr>
          <w:rFonts w:cs="Arial"/>
        </w:rPr>
        <w:lastRenderedPageBreak/>
        <w:t xml:space="preserve">minimálně čtyřmi výrobci, mohlo by teoreticky v oblasti </w:t>
      </w:r>
      <w:r w:rsidR="006D002F">
        <w:rPr>
          <w:rFonts w:cs="Arial"/>
        </w:rPr>
        <w:t>přenosných baterií a akumulátorů</w:t>
      </w:r>
      <w:r w:rsidR="006D002F" w:rsidRPr="00822A23">
        <w:rPr>
          <w:rFonts w:cs="Arial"/>
        </w:rPr>
        <w:t xml:space="preserve"> vzniknout až </w:t>
      </w:r>
      <w:r w:rsidR="006D002F">
        <w:rPr>
          <w:rFonts w:cs="Arial"/>
        </w:rPr>
        <w:t>12</w:t>
      </w:r>
      <w:r w:rsidR="006D002F" w:rsidRPr="00822A23">
        <w:rPr>
          <w:rFonts w:cs="Arial"/>
        </w:rPr>
        <w:t xml:space="preserve"> kolektivních systémů.</w:t>
      </w:r>
    </w:p>
    <w:p w:rsidR="00552819" w:rsidRPr="00822A23" w:rsidRDefault="00552819" w:rsidP="00783869">
      <w:pPr>
        <w:spacing w:before="240"/>
        <w:rPr>
          <w:rFonts w:cs="Arial"/>
        </w:rPr>
      </w:pPr>
      <w:r>
        <w:rPr>
          <w:rFonts w:cs="Arial"/>
        </w:rPr>
        <w:t>Uvedená data byla získána na základě oslovení významného kolektivního systému v obalsti kolektivního plnění pro přenosné baterie</w:t>
      </w:r>
      <w:r w:rsidRPr="00552819">
        <w:rPr>
          <w:rFonts w:cs="Arial"/>
        </w:rPr>
        <w:t xml:space="preserve"> či akumulátor</w:t>
      </w:r>
      <w:r>
        <w:rPr>
          <w:rFonts w:cs="Arial"/>
        </w:rPr>
        <w:t xml:space="preserve">y, přičemž do daných hodnot nejsou zahrnuty výrobci baterií a akumulátorů, kteří tyto baterie či akumulátory uvádějí na trh společně s elektrozařízeními. Takovýcho výrobců existuje na trhu celkem dalších více než 1000. Obecně zde platí, že výrobci elektrozařízení neuvádí na trh významně vysoká množství baterií a akumulátorů, ale každopádně je nutné uvažovat, že uvedené počty výrobců budou pro jednotlivé limity vyšší, a to právě s ohledem na skupečnost, že uvedená data nezahrnují celý trh. </w:t>
      </w:r>
      <w:r w:rsidR="006D002F">
        <w:rPr>
          <w:rFonts w:cs="Arial"/>
        </w:rPr>
        <w:t xml:space="preserve">Zároveň tedy bude i reálně vyšší teoretický maximální počet kolektivních systémů, než uvedených 12 osob. </w:t>
      </w:r>
      <w:r>
        <w:rPr>
          <w:rFonts w:cs="Arial"/>
        </w:rPr>
        <w:t xml:space="preserve"> </w:t>
      </w:r>
    </w:p>
    <w:p w:rsidR="00237AFD" w:rsidRPr="00822A23" w:rsidRDefault="008E555C">
      <w:pPr>
        <w:pStyle w:val="Titulek"/>
      </w:pPr>
      <w:r w:rsidRPr="00822A23">
        <w:t xml:space="preserve">Tabulka </w:t>
      </w:r>
      <w:r w:rsidR="00217E4D">
        <w:t xml:space="preserve"> </w:t>
      </w:r>
      <w:r w:rsidR="00381FB7" w:rsidRPr="006C1859">
        <w:fldChar w:fldCharType="begin"/>
      </w:r>
      <w:r w:rsidR="008F0CAD" w:rsidRPr="00822A23">
        <w:instrText xml:space="preserve"> SEQ Tabulka \* ARABIC </w:instrText>
      </w:r>
      <w:r w:rsidR="00381FB7" w:rsidRPr="006C1859">
        <w:fldChar w:fldCharType="separate"/>
      </w:r>
      <w:r w:rsidR="00FD5E92" w:rsidRPr="00822A23">
        <w:t>9</w:t>
      </w:r>
      <w:r w:rsidR="00381FB7" w:rsidRPr="006C1859">
        <w:fldChar w:fldCharType="end"/>
      </w:r>
      <w:r w:rsidRPr="00822A23">
        <w:t>: Počt</w:t>
      </w:r>
      <w:r w:rsidR="00217E4D">
        <w:t>y</w:t>
      </w:r>
      <w:r w:rsidRPr="00822A23">
        <w:t xml:space="preserve"> výrobců </w:t>
      </w:r>
      <w:r w:rsidR="008F0CAD" w:rsidRPr="00822A23">
        <w:rPr>
          <w:rFonts w:cs="Arial"/>
          <w:noProof w:val="0"/>
          <w:color w:val="000000"/>
          <w:lang w:eastAsia="cs-CZ" w:bidi="ar-SA"/>
        </w:rPr>
        <w:t xml:space="preserve">uvádějících na trh množství </w:t>
      </w:r>
      <w:r w:rsidR="006902E8">
        <w:rPr>
          <w:rFonts w:cs="Arial"/>
          <w:noProof w:val="0"/>
          <w:color w:val="000000"/>
          <w:lang w:eastAsia="cs-CZ" w:bidi="ar-SA"/>
        </w:rPr>
        <w:t xml:space="preserve">přenosných </w:t>
      </w:r>
      <w:r w:rsidR="008F0CAD" w:rsidRPr="00822A23">
        <w:rPr>
          <w:rFonts w:cs="Arial"/>
          <w:noProof w:val="0"/>
          <w:color w:val="000000"/>
          <w:lang w:eastAsia="cs-CZ" w:bidi="ar-SA"/>
        </w:rPr>
        <w:t>baterií či akumulátorů</w:t>
      </w:r>
      <w:r w:rsidR="00E87884" w:rsidRPr="00822A23">
        <w:rPr>
          <w:rFonts w:cs="Arial"/>
          <w:noProof w:val="0"/>
          <w:color w:val="000000"/>
          <w:lang w:eastAsia="cs-CZ" w:bidi="ar-SA"/>
        </w:rPr>
        <w:t xml:space="preserve"> </w:t>
      </w:r>
      <w:r w:rsidR="00E87884" w:rsidRPr="00822A23">
        <w:t xml:space="preserve">při </w:t>
      </w:r>
      <w:r w:rsidR="001C2CE1">
        <w:t xml:space="preserve">různě </w:t>
      </w:r>
      <w:r w:rsidR="00E87884" w:rsidRPr="00822A23">
        <w:t>stanovených limitech</w:t>
      </w:r>
    </w:p>
    <w:tbl>
      <w:tblPr>
        <w:tblStyle w:val="Svtlmka1"/>
        <w:tblW w:w="0" w:type="auto"/>
        <w:tblLook w:val="04A0" w:firstRow="1" w:lastRow="0" w:firstColumn="1" w:lastColumn="0" w:noHBand="0" w:noVBand="1"/>
      </w:tblPr>
      <w:tblGrid>
        <w:gridCol w:w="1849"/>
        <w:gridCol w:w="1799"/>
        <w:gridCol w:w="1916"/>
        <w:gridCol w:w="1862"/>
      </w:tblGrid>
      <w:tr w:rsidR="00E44F23" w:rsidRPr="00822A23" w:rsidTr="00921201">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rsidR="00E44F23" w:rsidRPr="00822A23" w:rsidRDefault="00E44F23" w:rsidP="00783869">
            <w:pPr>
              <w:spacing w:before="240"/>
              <w:rPr>
                <w:rFonts w:cs="Arial"/>
                <w:sz w:val="16"/>
                <w:szCs w:val="16"/>
              </w:rPr>
            </w:pPr>
          </w:p>
        </w:tc>
        <w:tc>
          <w:tcPr>
            <w:tcW w:w="1799" w:type="dxa"/>
            <w:tcBorders>
              <w:top w:val="none" w:sz="0" w:space="0" w:color="auto"/>
              <w:left w:val="none" w:sz="0" w:space="0" w:color="auto"/>
              <w:bottom w:val="none" w:sz="0" w:space="0" w:color="auto"/>
              <w:right w:val="none" w:sz="0" w:space="0" w:color="auto"/>
            </w:tcBorders>
          </w:tcPr>
          <w:p w:rsidR="00E44F23" w:rsidRPr="00822A23" w:rsidRDefault="00E44F23" w:rsidP="008E555C">
            <w:pPr>
              <w:spacing w:before="24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uvedeno na trh (za 3 roky)</w:t>
            </w:r>
          </w:p>
        </w:tc>
        <w:tc>
          <w:tcPr>
            <w:tcW w:w="1916" w:type="dxa"/>
            <w:tcBorders>
              <w:top w:val="none" w:sz="0" w:space="0" w:color="auto"/>
              <w:left w:val="none" w:sz="0" w:space="0" w:color="auto"/>
              <w:bottom w:val="none" w:sz="0" w:space="0" w:color="auto"/>
              <w:right w:val="none" w:sz="0" w:space="0" w:color="auto"/>
            </w:tcBorders>
          </w:tcPr>
          <w:p w:rsidR="00E44F23" w:rsidRPr="00822A23" w:rsidRDefault="00E44F23">
            <w:pPr>
              <w:spacing w:before="24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uvedeno na trh (za rok)</w:t>
            </w:r>
          </w:p>
        </w:tc>
        <w:tc>
          <w:tcPr>
            <w:tcW w:w="1862" w:type="dxa"/>
            <w:tcBorders>
              <w:top w:val="none" w:sz="0" w:space="0" w:color="auto"/>
              <w:left w:val="none" w:sz="0" w:space="0" w:color="auto"/>
              <w:bottom w:val="none" w:sz="0" w:space="0" w:color="auto"/>
              <w:right w:val="none" w:sz="0" w:space="0" w:color="auto"/>
            </w:tcBorders>
          </w:tcPr>
          <w:p w:rsidR="00E44F23" w:rsidRPr="00822A23" w:rsidRDefault="00E44F23">
            <w:pPr>
              <w:spacing w:before="240"/>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počet výrobců v r. 2014</w:t>
            </w:r>
          </w:p>
        </w:tc>
      </w:tr>
      <w:tr w:rsidR="00E44F23" w:rsidRPr="00822A23" w:rsidTr="003F2EB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left"/>
              <w:rPr>
                <w:rFonts w:cs="Arial"/>
                <w:sz w:val="16"/>
                <w:szCs w:val="16"/>
              </w:rPr>
            </w:pPr>
            <w:r w:rsidRPr="00822A23">
              <w:rPr>
                <w:rFonts w:cs="Arial"/>
                <w:sz w:val="16"/>
                <w:szCs w:val="16"/>
              </w:rPr>
              <w:t>nad</w:t>
            </w:r>
          </w:p>
        </w:tc>
        <w:tc>
          <w:tcPr>
            <w:tcW w:w="1799"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5 t</w:t>
            </w:r>
          </w:p>
        </w:tc>
        <w:tc>
          <w:tcPr>
            <w:tcW w:w="1916"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1,66 t</w:t>
            </w:r>
          </w:p>
        </w:tc>
        <w:tc>
          <w:tcPr>
            <w:tcW w:w="1862"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48</w:t>
            </w:r>
          </w:p>
        </w:tc>
      </w:tr>
      <w:tr w:rsidR="00E44F23" w:rsidRPr="00822A23" w:rsidTr="003F2EB9">
        <w:trPr>
          <w:cnfStyle w:val="000000010000" w:firstRow="0" w:lastRow="0" w:firstColumn="0" w:lastColumn="0" w:oddVBand="0" w:evenVBand="0" w:oddHBand="0" w:evenHBand="1"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left"/>
              <w:rPr>
                <w:rFonts w:cs="Arial"/>
                <w:sz w:val="16"/>
                <w:szCs w:val="16"/>
              </w:rPr>
            </w:pPr>
            <w:r w:rsidRPr="00822A23">
              <w:rPr>
                <w:rFonts w:cs="Arial"/>
                <w:sz w:val="16"/>
                <w:szCs w:val="16"/>
              </w:rPr>
              <w:t>nad</w:t>
            </w:r>
          </w:p>
        </w:tc>
        <w:tc>
          <w:tcPr>
            <w:tcW w:w="1799"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3,75 t</w:t>
            </w:r>
          </w:p>
        </w:tc>
        <w:tc>
          <w:tcPr>
            <w:tcW w:w="1916"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1,25 t</w:t>
            </w:r>
          </w:p>
        </w:tc>
        <w:tc>
          <w:tcPr>
            <w:tcW w:w="1862"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57</w:t>
            </w:r>
          </w:p>
        </w:tc>
      </w:tr>
      <w:tr w:rsidR="00E44F23" w:rsidRPr="00822A23" w:rsidTr="003F2EB9">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left"/>
              <w:rPr>
                <w:rFonts w:cs="Arial"/>
                <w:sz w:val="16"/>
                <w:szCs w:val="16"/>
              </w:rPr>
            </w:pPr>
            <w:r w:rsidRPr="00822A23">
              <w:rPr>
                <w:rFonts w:cs="Arial"/>
                <w:sz w:val="16"/>
                <w:szCs w:val="16"/>
              </w:rPr>
              <w:t>nad</w:t>
            </w:r>
          </w:p>
        </w:tc>
        <w:tc>
          <w:tcPr>
            <w:tcW w:w="1799"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3,00 t</w:t>
            </w:r>
          </w:p>
        </w:tc>
        <w:tc>
          <w:tcPr>
            <w:tcW w:w="1916"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1,00 t</w:t>
            </w:r>
          </w:p>
        </w:tc>
        <w:tc>
          <w:tcPr>
            <w:tcW w:w="1862" w:type="dxa"/>
            <w:tcBorders>
              <w:top w:val="none" w:sz="0" w:space="0" w:color="auto"/>
              <w:left w:val="none" w:sz="0" w:space="0" w:color="auto"/>
              <w:bottom w:val="none" w:sz="0" w:space="0" w:color="auto"/>
              <w:right w:val="none" w:sz="0" w:space="0" w:color="auto"/>
            </w:tcBorders>
            <w:vAlign w:val="center"/>
          </w:tcPr>
          <w:p w:rsidR="00E44F23" w:rsidRPr="00822A23" w:rsidRDefault="00E44F23">
            <w:pPr>
              <w:spacing w:before="240"/>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53</w:t>
            </w:r>
          </w:p>
        </w:tc>
      </w:tr>
    </w:tbl>
    <w:p w:rsidR="00237AFD" w:rsidRPr="00822A23" w:rsidRDefault="008E555C">
      <w:pPr>
        <w:rPr>
          <w:rFonts w:cs="Arial"/>
        </w:rPr>
      </w:pPr>
      <w:r w:rsidRPr="00822A23">
        <w:rPr>
          <w:rFonts w:cs="Arial"/>
        </w:rPr>
        <w:t xml:space="preserve">Zdroj: </w:t>
      </w:r>
      <w:r w:rsidR="001C2CE1">
        <w:rPr>
          <w:rFonts w:cs="Arial"/>
        </w:rPr>
        <w:t xml:space="preserve">Vybrané kolektivní systémy </w:t>
      </w:r>
    </w:p>
    <w:p w:rsidR="00237AFD" w:rsidRPr="00822A23" w:rsidRDefault="00237AFD">
      <w:pPr>
        <w:rPr>
          <w:rFonts w:cs="Arial"/>
        </w:rPr>
      </w:pPr>
    </w:p>
    <w:p w:rsidR="00775FB8" w:rsidRDefault="00775FB8">
      <w:pPr>
        <w:rPr>
          <w:rFonts w:cs="Arial"/>
        </w:rPr>
      </w:pPr>
      <w:r>
        <w:rPr>
          <w:rFonts w:cs="Arial"/>
        </w:rPr>
        <w:t xml:space="preserve">Pro výrobce průmyslových a automobilových baterií či akumulátorů byla nastavena podmínka pro založení kolektivního systému, že musí uvádět na trh minimálně 500 tun výrobků po dobu tří let. Počty výrobců, které by tuto podminku splnily, a počty výrobců kteří by splnily limity nižší, resp. 375 tun a </w:t>
      </w:r>
      <w:r w:rsidR="001C2CE1">
        <w:rPr>
          <w:rFonts w:cs="Arial"/>
        </w:rPr>
        <w:t>300 tun, jsou uvedeny v následující tabulce</w:t>
      </w:r>
      <w:r>
        <w:rPr>
          <w:rFonts w:cs="Arial"/>
        </w:rPr>
        <w:t xml:space="preserve">. </w:t>
      </w:r>
    </w:p>
    <w:p w:rsidR="00237AFD" w:rsidRPr="00822A23" w:rsidRDefault="00237AFD">
      <w:pPr>
        <w:rPr>
          <w:rFonts w:cs="Arial"/>
        </w:rPr>
      </w:pPr>
    </w:p>
    <w:p w:rsidR="00237AFD" w:rsidRPr="00822A23" w:rsidRDefault="003F2EB9">
      <w:pPr>
        <w:pStyle w:val="Titulek"/>
      </w:pPr>
      <w:r w:rsidRPr="00822A23">
        <w:t xml:space="preserve">Tabulka </w:t>
      </w:r>
      <w:r w:rsidR="00381FB7" w:rsidRPr="006C1859">
        <w:fldChar w:fldCharType="begin"/>
      </w:r>
      <w:r w:rsidRPr="00822A23">
        <w:instrText xml:space="preserve"> SEQ Tabulka \* ARABIC </w:instrText>
      </w:r>
      <w:r w:rsidR="00381FB7" w:rsidRPr="006C1859">
        <w:fldChar w:fldCharType="separate"/>
      </w:r>
      <w:r w:rsidR="00FD5E92" w:rsidRPr="00822A23">
        <w:t>10</w:t>
      </w:r>
      <w:r w:rsidR="00381FB7" w:rsidRPr="006C1859">
        <w:fldChar w:fldCharType="end"/>
      </w:r>
      <w:r w:rsidRPr="00822A23">
        <w:t>: Počt</w:t>
      </w:r>
      <w:r w:rsidR="00217E4D">
        <w:t>y</w:t>
      </w:r>
      <w:r w:rsidRPr="00822A23">
        <w:t xml:space="preserve"> výrobců uvádějících na trh množství automobilových nebo průmyslových baterií nebo akumulátorů</w:t>
      </w:r>
      <w:r w:rsidR="00E87884" w:rsidRPr="00822A23">
        <w:t xml:space="preserve"> při </w:t>
      </w:r>
      <w:r w:rsidR="001C2CE1">
        <w:t>různě</w:t>
      </w:r>
      <w:r w:rsidR="001C2CE1" w:rsidRPr="00822A23">
        <w:t xml:space="preserve"> </w:t>
      </w:r>
      <w:r w:rsidR="00E87884" w:rsidRPr="00822A23">
        <w:t>stanovených limitech</w:t>
      </w:r>
    </w:p>
    <w:tbl>
      <w:tblPr>
        <w:tblStyle w:val="Svtlmka1"/>
        <w:tblW w:w="0" w:type="auto"/>
        <w:tblLook w:val="04A0" w:firstRow="1" w:lastRow="0" w:firstColumn="1" w:lastColumn="0" w:noHBand="0" w:noVBand="1"/>
      </w:tblPr>
      <w:tblGrid>
        <w:gridCol w:w="2303"/>
        <w:gridCol w:w="2303"/>
        <w:gridCol w:w="2303"/>
        <w:gridCol w:w="2303"/>
      </w:tblGrid>
      <w:tr w:rsidR="004B7730" w:rsidRPr="00822A23" w:rsidTr="003F2EB9">
        <w:trPr>
          <w:cnfStyle w:val="100000000000" w:firstRow="1" w:lastRow="0" w:firstColumn="0" w:lastColumn="0" w:oddVBand="0" w:evenVBand="0" w:oddHBand="0"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4B7730" w:rsidRPr="00822A23" w:rsidRDefault="004B7730">
            <w:pPr>
              <w:rPr>
                <w:rFonts w:cs="Arial"/>
                <w:sz w:val="16"/>
                <w:szCs w:val="16"/>
              </w:rPr>
            </w:pP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4B7730">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uvedeno na trh (za 3 roky)</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4B7730">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uvedeno na trh (za rok)</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3F2EB9">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p</w:t>
            </w:r>
            <w:r w:rsidR="008F0CAD" w:rsidRPr="00822A23">
              <w:rPr>
                <w:rFonts w:cs="Arial"/>
                <w:sz w:val="16"/>
                <w:szCs w:val="16"/>
              </w:rPr>
              <w:t>očet výrobců</w:t>
            </w:r>
          </w:p>
        </w:tc>
      </w:tr>
      <w:tr w:rsidR="004B7730" w:rsidRPr="00822A23" w:rsidTr="003F2EB9">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vAlign w:val="center"/>
          </w:tcPr>
          <w:p w:rsidR="00237AFD" w:rsidRPr="00822A23" w:rsidRDefault="004B7730">
            <w:pPr>
              <w:jc w:val="left"/>
              <w:rPr>
                <w:rFonts w:cs="Arial"/>
                <w:sz w:val="16"/>
                <w:szCs w:val="16"/>
              </w:rPr>
            </w:pPr>
            <w:r w:rsidRPr="00822A23">
              <w:rPr>
                <w:rFonts w:cs="Arial"/>
                <w:sz w:val="16"/>
                <w:szCs w:val="16"/>
              </w:rPr>
              <w:t>nad</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500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166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3F2EB9">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26</w:t>
            </w:r>
          </w:p>
        </w:tc>
      </w:tr>
      <w:tr w:rsidR="004B7730" w:rsidRPr="00822A23" w:rsidTr="003F2EB9">
        <w:trPr>
          <w:cnfStyle w:val="000000010000" w:firstRow="0" w:lastRow="0" w:firstColumn="0" w:lastColumn="0" w:oddVBand="0" w:evenVBand="0" w:oddHBand="0" w:evenHBand="1"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vAlign w:val="center"/>
          </w:tcPr>
          <w:p w:rsidR="00237AFD" w:rsidRPr="00822A23" w:rsidRDefault="004B7730">
            <w:pPr>
              <w:jc w:val="left"/>
              <w:rPr>
                <w:rFonts w:cs="Arial"/>
                <w:sz w:val="16"/>
                <w:szCs w:val="16"/>
              </w:rPr>
            </w:pPr>
            <w:r w:rsidRPr="00822A23">
              <w:rPr>
                <w:rFonts w:cs="Arial"/>
                <w:sz w:val="16"/>
                <w:szCs w:val="16"/>
              </w:rPr>
              <w:t>nad</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375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125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2E746A">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36</w:t>
            </w:r>
          </w:p>
        </w:tc>
      </w:tr>
      <w:tr w:rsidR="004B7730" w:rsidRPr="00822A23" w:rsidTr="003F2EB9">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vAlign w:val="center"/>
          </w:tcPr>
          <w:p w:rsidR="00237AFD" w:rsidRPr="00822A23" w:rsidRDefault="004B7730">
            <w:pPr>
              <w:jc w:val="left"/>
              <w:rPr>
                <w:rFonts w:cs="Arial"/>
                <w:sz w:val="16"/>
                <w:szCs w:val="16"/>
              </w:rPr>
            </w:pPr>
            <w:r w:rsidRPr="00822A23">
              <w:rPr>
                <w:rFonts w:cs="Arial"/>
                <w:sz w:val="16"/>
                <w:szCs w:val="16"/>
              </w:rPr>
              <w:t>nad</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300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100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2E746A">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33</w:t>
            </w:r>
          </w:p>
        </w:tc>
      </w:tr>
    </w:tbl>
    <w:p w:rsidR="00237AFD" w:rsidRDefault="00775FB8">
      <w:pPr>
        <w:rPr>
          <w:rFonts w:cs="Arial"/>
        </w:rPr>
      </w:pPr>
      <w:r>
        <w:rPr>
          <w:rFonts w:cs="Arial"/>
        </w:rPr>
        <w:t>Zdroj: MŽP</w:t>
      </w:r>
    </w:p>
    <w:p w:rsidR="00775FB8" w:rsidRPr="00822A23" w:rsidRDefault="00775FB8">
      <w:pPr>
        <w:rPr>
          <w:rFonts w:cs="Arial"/>
        </w:rPr>
      </w:pPr>
    </w:p>
    <w:p w:rsidR="00237AFD" w:rsidRPr="00822A23" w:rsidRDefault="003F2EB9">
      <w:pPr>
        <w:rPr>
          <w:rFonts w:cs="Arial"/>
        </w:rPr>
      </w:pPr>
      <w:r w:rsidRPr="00822A23">
        <w:rPr>
          <w:rFonts w:cs="Arial"/>
        </w:rPr>
        <w:t>Při</w:t>
      </w:r>
      <w:r w:rsidR="000D7918" w:rsidRPr="00822A23">
        <w:rPr>
          <w:rFonts w:cs="Arial"/>
        </w:rPr>
        <w:t xml:space="preserve"> navrh</w:t>
      </w:r>
      <w:r w:rsidR="006D002F">
        <w:rPr>
          <w:rFonts w:cs="Arial"/>
        </w:rPr>
        <w:t>ovaném</w:t>
      </w:r>
      <w:r w:rsidRPr="00822A23">
        <w:rPr>
          <w:rFonts w:cs="Arial"/>
        </w:rPr>
        <w:t xml:space="preserve"> limit</w:t>
      </w:r>
      <w:r w:rsidR="006D002F">
        <w:rPr>
          <w:rFonts w:cs="Arial"/>
        </w:rPr>
        <w:t>u</w:t>
      </w:r>
      <w:r w:rsidRPr="00822A23">
        <w:rPr>
          <w:rFonts w:cs="Arial"/>
        </w:rPr>
        <w:t xml:space="preserve"> nad 500 tun bude počet výrobců, kteří mohou splnit tuto podmínku cca 26 z celkového počtu 126 subjektů.</w:t>
      </w:r>
      <w:r w:rsidR="00AD3EAE" w:rsidRPr="00822A23">
        <w:rPr>
          <w:rFonts w:cs="Arial"/>
        </w:rPr>
        <w:t xml:space="preserve"> U nižších limitů např. 300 tun za 3-leté období by tuto podmínku splnilo cca 33 subjektů.</w:t>
      </w:r>
      <w:r w:rsidR="006D002F" w:rsidRPr="006D002F">
        <w:rPr>
          <w:rFonts w:cs="Arial"/>
        </w:rPr>
        <w:t xml:space="preserve"> </w:t>
      </w:r>
      <w:r w:rsidR="006D002F" w:rsidRPr="00822A23">
        <w:rPr>
          <w:rFonts w:cs="Arial"/>
        </w:rPr>
        <w:t xml:space="preserve">Pokud </w:t>
      </w:r>
      <w:r w:rsidR="006D002F">
        <w:rPr>
          <w:rFonts w:cs="Arial"/>
        </w:rPr>
        <w:t>bychom</w:t>
      </w:r>
      <w:r w:rsidR="006D002F" w:rsidRPr="00822A23">
        <w:rPr>
          <w:rFonts w:cs="Arial"/>
        </w:rPr>
        <w:t xml:space="preserve"> </w:t>
      </w:r>
      <w:r w:rsidR="006D002F">
        <w:rPr>
          <w:rFonts w:cs="Arial"/>
        </w:rPr>
        <w:t xml:space="preserve">vzali </w:t>
      </w:r>
      <w:r w:rsidR="006D002F" w:rsidRPr="00822A23">
        <w:rPr>
          <w:rFonts w:cs="Arial"/>
        </w:rPr>
        <w:t xml:space="preserve">v úvahu, že kolektivní systém může </w:t>
      </w:r>
      <w:r w:rsidR="006D002F" w:rsidRPr="00822A23">
        <w:rPr>
          <w:rFonts w:cs="Arial"/>
        </w:rPr>
        <w:lastRenderedPageBreak/>
        <w:t xml:space="preserve">být založen minimálně čtyřmi výrobci, mohlo by teoreticky v oblasti </w:t>
      </w:r>
      <w:r w:rsidR="006D002F" w:rsidRPr="006D002F">
        <w:rPr>
          <w:rFonts w:cs="Arial"/>
        </w:rPr>
        <w:t>automobilových nebo průmyslových baterií</w:t>
      </w:r>
      <w:r w:rsidR="006D002F">
        <w:rPr>
          <w:rFonts w:cs="Arial"/>
        </w:rPr>
        <w:t xml:space="preserve"> akumulátorů</w:t>
      </w:r>
      <w:r w:rsidR="006D002F" w:rsidRPr="00822A23">
        <w:rPr>
          <w:rFonts w:cs="Arial"/>
        </w:rPr>
        <w:t xml:space="preserve"> vzniknout až </w:t>
      </w:r>
      <w:r w:rsidR="006D002F">
        <w:rPr>
          <w:rFonts w:cs="Arial"/>
        </w:rPr>
        <w:t>6</w:t>
      </w:r>
      <w:r w:rsidR="006D002F" w:rsidRPr="00822A23">
        <w:rPr>
          <w:rFonts w:cs="Arial"/>
        </w:rPr>
        <w:t xml:space="preserve"> kolektivních systémů.</w:t>
      </w:r>
    </w:p>
    <w:p w:rsidR="00237AFD" w:rsidRPr="00822A23" w:rsidRDefault="00FD5E92">
      <w:pPr>
        <w:pStyle w:val="Titulek"/>
      </w:pPr>
      <w:r w:rsidRPr="00822A23">
        <w:t xml:space="preserve">Tabulka </w:t>
      </w:r>
      <w:r w:rsidR="00381FB7" w:rsidRPr="006C1859">
        <w:fldChar w:fldCharType="begin"/>
      </w:r>
      <w:r w:rsidRPr="00822A23">
        <w:instrText xml:space="preserve"> SEQ Tabulka \* ARABIC </w:instrText>
      </w:r>
      <w:r w:rsidR="00381FB7" w:rsidRPr="006C1859">
        <w:fldChar w:fldCharType="separate"/>
      </w:r>
      <w:r w:rsidRPr="00822A23">
        <w:t>11</w:t>
      </w:r>
      <w:r w:rsidR="00381FB7" w:rsidRPr="006C1859">
        <w:fldChar w:fldCharType="end"/>
      </w:r>
      <w:r w:rsidRPr="00822A23">
        <w:t>: Počt</w:t>
      </w:r>
      <w:r w:rsidR="00217E4D">
        <w:t>y</w:t>
      </w:r>
      <w:r w:rsidRPr="00822A23">
        <w:t xml:space="preserve"> výrobců uvádějících na trh množství elektrozařízení</w:t>
      </w:r>
      <w:r w:rsidR="00E87884" w:rsidRPr="00822A23">
        <w:t xml:space="preserve"> při </w:t>
      </w:r>
      <w:r w:rsidR="001C2CE1">
        <w:t>různě</w:t>
      </w:r>
      <w:r w:rsidR="001C2CE1" w:rsidRPr="00822A23">
        <w:t xml:space="preserve"> </w:t>
      </w:r>
      <w:r w:rsidR="00E87884" w:rsidRPr="00822A23">
        <w:t>stanovených limitech</w:t>
      </w:r>
    </w:p>
    <w:tbl>
      <w:tblPr>
        <w:tblStyle w:val="Svtlmka1"/>
        <w:tblW w:w="0" w:type="auto"/>
        <w:tblLook w:val="04A0" w:firstRow="1" w:lastRow="0" w:firstColumn="1" w:lastColumn="0" w:noHBand="0" w:noVBand="1"/>
      </w:tblPr>
      <w:tblGrid>
        <w:gridCol w:w="2303"/>
        <w:gridCol w:w="2303"/>
        <w:gridCol w:w="2303"/>
        <w:gridCol w:w="2303"/>
      </w:tblGrid>
      <w:tr w:rsidR="00FD5E92" w:rsidRPr="00822A23" w:rsidTr="00FD5E92">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tcPr>
          <w:p w:rsidR="00FD5E92" w:rsidRPr="00822A23" w:rsidRDefault="00FD5E92">
            <w:pPr>
              <w:rPr>
                <w:rFonts w:cs="Arial"/>
                <w:sz w:val="16"/>
                <w:szCs w:val="16"/>
              </w:rPr>
            </w:pP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uvedeno na trh (za 3 roky)</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uvedeno na trh (za rok)</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100000000000" w:firstRow="1" w:lastRow="0" w:firstColumn="0" w:lastColumn="0" w:oddVBand="0" w:evenVBand="0" w:oddHBand="0" w:evenHBand="0" w:firstRowFirstColumn="0" w:firstRowLastColumn="0" w:lastRowFirstColumn="0" w:lastRowLastColumn="0"/>
              <w:rPr>
                <w:rFonts w:cs="Arial"/>
                <w:sz w:val="16"/>
                <w:szCs w:val="16"/>
              </w:rPr>
            </w:pPr>
            <w:r w:rsidRPr="00822A23">
              <w:rPr>
                <w:rFonts w:cs="Arial"/>
                <w:sz w:val="16"/>
                <w:szCs w:val="16"/>
              </w:rPr>
              <w:t>počet výrobců</w:t>
            </w:r>
          </w:p>
        </w:tc>
      </w:tr>
      <w:tr w:rsidR="00FD5E92" w:rsidRPr="00822A23" w:rsidTr="00FD5E92">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left"/>
              <w:rPr>
                <w:rFonts w:cs="Arial"/>
                <w:sz w:val="16"/>
                <w:szCs w:val="16"/>
              </w:rPr>
            </w:pPr>
            <w:r w:rsidRPr="00822A23">
              <w:rPr>
                <w:rFonts w:cs="Arial"/>
                <w:sz w:val="16"/>
                <w:szCs w:val="16"/>
              </w:rPr>
              <w:t>nad</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500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166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214</w:t>
            </w:r>
          </w:p>
        </w:tc>
      </w:tr>
      <w:tr w:rsidR="00FD5E92" w:rsidRPr="00822A23" w:rsidTr="00FD5E92">
        <w:trPr>
          <w:cnfStyle w:val="000000010000" w:firstRow="0" w:lastRow="0" w:firstColumn="0" w:lastColumn="0" w:oddVBand="0" w:evenVBand="0" w:oddHBand="0" w:evenHBand="1"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left"/>
              <w:rPr>
                <w:rFonts w:cs="Arial"/>
                <w:sz w:val="16"/>
                <w:szCs w:val="16"/>
              </w:rPr>
            </w:pPr>
            <w:r w:rsidRPr="00822A23">
              <w:rPr>
                <w:rFonts w:cs="Arial"/>
                <w:sz w:val="16"/>
                <w:szCs w:val="16"/>
              </w:rPr>
              <w:t>nad</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375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125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010000" w:firstRow="0" w:lastRow="0" w:firstColumn="0" w:lastColumn="0" w:oddVBand="0" w:evenVBand="0" w:oddHBand="0" w:evenHBand="1" w:firstRowFirstColumn="0" w:firstRowLastColumn="0" w:lastRowFirstColumn="0" w:lastRowLastColumn="0"/>
              <w:rPr>
                <w:rFonts w:cs="Arial"/>
                <w:sz w:val="16"/>
                <w:szCs w:val="16"/>
              </w:rPr>
            </w:pPr>
            <w:r w:rsidRPr="00822A23">
              <w:rPr>
                <w:rFonts w:cs="Arial"/>
                <w:sz w:val="16"/>
                <w:szCs w:val="16"/>
              </w:rPr>
              <w:t>241</w:t>
            </w:r>
          </w:p>
        </w:tc>
      </w:tr>
      <w:tr w:rsidR="00FD5E92" w:rsidRPr="00822A23" w:rsidTr="00BF5A42">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left"/>
              <w:rPr>
                <w:rFonts w:cs="Arial"/>
                <w:sz w:val="16"/>
                <w:szCs w:val="16"/>
              </w:rPr>
            </w:pPr>
            <w:r w:rsidRPr="00822A23">
              <w:rPr>
                <w:rFonts w:cs="Arial"/>
                <w:sz w:val="16"/>
                <w:szCs w:val="16"/>
              </w:rPr>
              <w:t>nad</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300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100 t</w:t>
            </w:r>
          </w:p>
        </w:tc>
        <w:tc>
          <w:tcPr>
            <w:tcW w:w="2303" w:type="dxa"/>
            <w:tcBorders>
              <w:top w:val="none" w:sz="0" w:space="0" w:color="auto"/>
              <w:left w:val="none" w:sz="0" w:space="0" w:color="auto"/>
              <w:bottom w:val="none" w:sz="0" w:space="0" w:color="auto"/>
              <w:right w:val="none" w:sz="0" w:space="0" w:color="auto"/>
            </w:tcBorders>
            <w:vAlign w:val="center"/>
          </w:tcPr>
          <w:p w:rsidR="00237AFD" w:rsidRPr="00822A23" w:rsidRDefault="008F0CAD">
            <w:pPr>
              <w:jc w:val="center"/>
              <w:cnfStyle w:val="000000100000" w:firstRow="0" w:lastRow="0" w:firstColumn="0" w:lastColumn="0" w:oddVBand="0" w:evenVBand="0" w:oddHBand="1" w:evenHBand="0" w:firstRowFirstColumn="0" w:firstRowLastColumn="0" w:lastRowFirstColumn="0" w:lastRowLastColumn="0"/>
              <w:rPr>
                <w:rFonts w:cs="Arial"/>
                <w:sz w:val="16"/>
                <w:szCs w:val="16"/>
              </w:rPr>
            </w:pPr>
            <w:r w:rsidRPr="00822A23">
              <w:rPr>
                <w:rFonts w:cs="Arial"/>
                <w:sz w:val="16"/>
                <w:szCs w:val="16"/>
              </w:rPr>
              <w:t>296</w:t>
            </w:r>
          </w:p>
        </w:tc>
      </w:tr>
    </w:tbl>
    <w:p w:rsidR="00237AFD" w:rsidRDefault="00775FB8">
      <w:pPr>
        <w:rPr>
          <w:rFonts w:cs="Arial"/>
        </w:rPr>
      </w:pPr>
      <w:r>
        <w:rPr>
          <w:rFonts w:cs="Arial"/>
        </w:rPr>
        <w:t>Zdroj: Vybrané kolektivní systémy, dopočet MŽP</w:t>
      </w:r>
    </w:p>
    <w:p w:rsidR="00775FB8" w:rsidRPr="00822A23" w:rsidRDefault="00775FB8">
      <w:pPr>
        <w:rPr>
          <w:rFonts w:cs="Arial"/>
        </w:rPr>
      </w:pPr>
    </w:p>
    <w:p w:rsidR="00237AFD" w:rsidRPr="00822A23" w:rsidRDefault="00237AFD">
      <w:pPr>
        <w:rPr>
          <w:rFonts w:cs="Arial"/>
        </w:rPr>
      </w:pPr>
    </w:p>
    <w:p w:rsidR="00237AFD" w:rsidRPr="00822A23" w:rsidRDefault="008F0CAD">
      <w:pPr>
        <w:rPr>
          <w:rFonts w:cs="Arial"/>
          <w:szCs w:val="22"/>
        </w:rPr>
      </w:pPr>
      <w:r w:rsidRPr="00822A23">
        <w:rPr>
          <w:rFonts w:cs="Arial"/>
          <w:noProof w:val="0"/>
          <w:color w:val="000000"/>
          <w:szCs w:val="22"/>
          <w:lang w:eastAsia="cs-CZ" w:bidi="ar-SA"/>
        </w:rPr>
        <w:t xml:space="preserve">Počty výrobců, které splňují jednotlivé limity pro množství </w:t>
      </w:r>
      <w:r w:rsidR="00022FE5">
        <w:rPr>
          <w:rFonts w:cs="Arial"/>
        </w:rPr>
        <w:t>vybraných</w:t>
      </w:r>
      <w:r w:rsidR="00022FE5" w:rsidRPr="00822A23">
        <w:rPr>
          <w:rFonts w:cs="Arial"/>
          <w:noProof w:val="0"/>
          <w:color w:val="000000"/>
          <w:szCs w:val="22"/>
          <w:lang w:eastAsia="cs-CZ" w:bidi="ar-SA"/>
        </w:rPr>
        <w:t xml:space="preserve"> </w:t>
      </w:r>
      <w:r w:rsidRPr="00822A23">
        <w:rPr>
          <w:rFonts w:cs="Arial"/>
          <w:noProof w:val="0"/>
          <w:color w:val="000000"/>
          <w:szCs w:val="22"/>
          <w:lang w:eastAsia="cs-CZ" w:bidi="ar-SA"/>
        </w:rPr>
        <w:t>výrobků uváděných na trh, byly získány na základě oslovení několika kolektivních systémů. Zároveň byl</w:t>
      </w:r>
      <w:r w:rsidR="00B80D55" w:rsidRPr="00822A23">
        <w:rPr>
          <w:rFonts w:cs="Arial"/>
          <w:noProof w:val="0"/>
          <w:color w:val="000000"/>
          <w:szCs w:val="22"/>
          <w:lang w:eastAsia="cs-CZ" w:bidi="ar-SA"/>
        </w:rPr>
        <w:t>a</w:t>
      </w:r>
      <w:r w:rsidRPr="00822A23">
        <w:rPr>
          <w:rFonts w:cs="Arial"/>
          <w:noProof w:val="0"/>
          <w:color w:val="000000"/>
          <w:szCs w:val="22"/>
          <w:lang w:eastAsia="cs-CZ" w:bidi="ar-SA"/>
        </w:rPr>
        <w:t xml:space="preserve"> provedena aproximace na veškeré výrobce elektrozařízení evidované v České republice, resp. </w:t>
      </w:r>
      <w:r w:rsidR="006D002F">
        <w:rPr>
          <w:rFonts w:cs="Arial"/>
          <w:noProof w:val="0"/>
          <w:color w:val="000000"/>
          <w:szCs w:val="22"/>
          <w:lang w:eastAsia="cs-CZ" w:bidi="ar-SA"/>
        </w:rPr>
        <w:t xml:space="preserve">evidované </w:t>
      </w:r>
      <w:r w:rsidR="0033364F" w:rsidRPr="00822A23">
        <w:rPr>
          <w:rFonts w:cs="Arial"/>
          <w:noProof w:val="0"/>
          <w:color w:val="000000"/>
          <w:szCs w:val="22"/>
          <w:lang w:eastAsia="cs-CZ" w:bidi="ar-SA"/>
        </w:rPr>
        <w:t>v</w:t>
      </w:r>
      <w:r w:rsidR="006D002F">
        <w:rPr>
          <w:rFonts w:cs="Arial"/>
          <w:noProof w:val="0"/>
          <w:color w:val="000000"/>
          <w:szCs w:val="22"/>
          <w:lang w:eastAsia="cs-CZ" w:bidi="ar-SA"/>
        </w:rPr>
        <w:t xml:space="preserve"> aktuálním </w:t>
      </w:r>
      <w:r w:rsidRPr="00822A23">
        <w:rPr>
          <w:rFonts w:cs="Arial"/>
          <w:noProof w:val="0"/>
          <w:color w:val="000000"/>
          <w:szCs w:val="22"/>
          <w:lang w:eastAsia="cs-CZ" w:bidi="ar-SA"/>
        </w:rPr>
        <w:t>Seznamu výrobců ve smyslu zákona o odpadech. Celkem je v</w:t>
      </w:r>
      <w:r w:rsidR="0084739D">
        <w:rPr>
          <w:rFonts w:cs="Arial"/>
          <w:noProof w:val="0"/>
          <w:color w:val="000000"/>
          <w:szCs w:val="22"/>
          <w:lang w:eastAsia="cs-CZ" w:bidi="ar-SA"/>
        </w:rPr>
        <w:t> </w:t>
      </w:r>
      <w:r w:rsidRPr="00822A23">
        <w:rPr>
          <w:rFonts w:cs="Arial"/>
          <w:noProof w:val="0"/>
          <w:color w:val="000000"/>
          <w:szCs w:val="22"/>
          <w:lang w:eastAsia="cs-CZ" w:bidi="ar-SA"/>
        </w:rPr>
        <w:t>současnosti evidováno 4191 výrobců elektrozařízení.</w:t>
      </w:r>
    </w:p>
    <w:p w:rsidR="00822A23" w:rsidRPr="00822A23" w:rsidRDefault="00822A23">
      <w:pPr>
        <w:rPr>
          <w:rFonts w:cs="Arial"/>
          <w:szCs w:val="22"/>
        </w:rPr>
      </w:pPr>
    </w:p>
    <w:p w:rsidR="00822A23" w:rsidRPr="00822A23" w:rsidRDefault="00822A23" w:rsidP="00822A23">
      <w:pPr>
        <w:rPr>
          <w:rFonts w:cs="Arial"/>
        </w:rPr>
      </w:pPr>
      <w:r w:rsidRPr="00822A23">
        <w:rPr>
          <w:rFonts w:cs="Arial"/>
        </w:rPr>
        <w:t>Při limitu nastaveném ve výši 500 tun u výrobců, kteří uvádějí na trh elektrozařízení</w:t>
      </w:r>
      <w:r w:rsidR="006D002F">
        <w:rPr>
          <w:rFonts w:cs="Arial"/>
        </w:rPr>
        <w:t>,</w:t>
      </w:r>
      <w:r w:rsidRPr="00822A23">
        <w:rPr>
          <w:rFonts w:cs="Arial"/>
        </w:rPr>
        <w:t xml:space="preserve"> by celkem 214 z nich splnilo danou podmínku, a mohli by se účastnit </w:t>
      </w:r>
      <w:r w:rsidR="006D002F">
        <w:rPr>
          <w:rFonts w:cs="Arial"/>
        </w:rPr>
        <w:t>založ</w:t>
      </w:r>
      <w:r w:rsidRPr="00822A23">
        <w:rPr>
          <w:rFonts w:cs="Arial"/>
        </w:rPr>
        <w:t>ení kolektivního systému či obecně by se mohli stát akcionáři nebo společníky některého z již existujících kolektivních systémů. Pokud bereme v úvahu, že kolektivní systém může být založen minimálně čtyřmi výrobci, mohlo by teoreticky v oblasti elektrozařízení vzniknout až 53 kolektivních systémů. Při uvedené teoretcké existenci vysokého počtu kolektivních systémů v oblasti elektrozařízení na trhu by samozřejmě nemohlo být kolektivní plnění zajišťováno efektivně, neboť by finanční příspěvky výrobců byly ve významné míře namísto zpětného odběru, osvěty a využití používány na vlastní administrativní činnost jednotlivých kolektivních systémů, tzn., pokud by nemělo dojít k omezení míry zpětnéh</w:t>
      </w:r>
      <w:r w:rsidR="00022FE5">
        <w:rPr>
          <w:rFonts w:cs="Arial"/>
        </w:rPr>
        <w:t>o</w:t>
      </w:r>
      <w:r w:rsidRPr="00822A23">
        <w:rPr>
          <w:rFonts w:cs="Arial"/>
        </w:rPr>
        <w:t xml:space="preserve"> odběru, došlo by nepochybně k výraznému navýšení příspěvků ze strany výrobců, a tedy i ke zdražení výrobků pro konečné uživatele (spotřebitele). Navíc by v uvedeném případně docházelo k enormnímu zatížení státní správy (ministersvo, ČIŽP).</w:t>
      </w:r>
    </w:p>
    <w:p w:rsidR="00822A23" w:rsidRPr="00822A23" w:rsidRDefault="00822A23" w:rsidP="00822A23">
      <w:pPr>
        <w:rPr>
          <w:rFonts w:cs="Arial"/>
        </w:rPr>
      </w:pPr>
    </w:p>
    <w:p w:rsidR="00822A23" w:rsidRPr="00822A23" w:rsidRDefault="00822A23" w:rsidP="00822A23">
      <w:pPr>
        <w:rPr>
          <w:rFonts w:cs="Arial"/>
        </w:rPr>
      </w:pPr>
      <w:r w:rsidRPr="00822A23">
        <w:rPr>
          <w:rFonts w:cs="Arial"/>
        </w:rPr>
        <w:t>V případě, že byl daný limit nastaven ve výši 300 tun elektrozařízení uvedeného na trh po dobu 3 let, tak by uvedená skupina výrobců byla vyší o 82 oso</w:t>
      </w:r>
      <w:r w:rsidR="0089277C">
        <w:rPr>
          <w:rFonts w:cs="Arial"/>
        </w:rPr>
        <w:t>b, resp. by se jednalo celkem o </w:t>
      </w:r>
      <w:r w:rsidRPr="00822A23">
        <w:rPr>
          <w:rFonts w:cs="Arial"/>
        </w:rPr>
        <w:t>296 výrobců. V takovém případě by mohlo teoreticky vzniknout až 74 kolektivních systémů, tzn., že jejich teoretický maximální počet by se zvýšil o 21 o</w:t>
      </w:r>
      <w:r w:rsidR="00775FB8">
        <w:rPr>
          <w:rFonts w:cs="Arial"/>
        </w:rPr>
        <w:t>proti výše uvažované varianě, a </w:t>
      </w:r>
      <w:r w:rsidRPr="00822A23">
        <w:rPr>
          <w:rFonts w:cs="Arial"/>
        </w:rPr>
        <w:t>zmi</w:t>
      </w:r>
      <w:r>
        <w:rPr>
          <w:rFonts w:cs="Arial"/>
        </w:rPr>
        <w:t>ňo</w:t>
      </w:r>
      <w:r w:rsidRPr="00822A23">
        <w:rPr>
          <w:rFonts w:cs="Arial"/>
        </w:rPr>
        <w:t>vané negativní aspekty</w:t>
      </w:r>
      <w:r>
        <w:rPr>
          <w:rFonts w:cs="Arial"/>
        </w:rPr>
        <w:t xml:space="preserve"> by se </w:t>
      </w:r>
      <w:r w:rsidR="00775FB8">
        <w:rPr>
          <w:rFonts w:cs="Arial"/>
        </w:rPr>
        <w:t>zintenzovňovaly.</w:t>
      </w:r>
      <w:r w:rsidRPr="00822A23">
        <w:rPr>
          <w:rFonts w:cs="Arial"/>
        </w:rPr>
        <w:t xml:space="preserve">    </w:t>
      </w:r>
    </w:p>
    <w:p w:rsidR="00822A23" w:rsidRPr="00822A23" w:rsidRDefault="00822A23" w:rsidP="00822A23">
      <w:pPr>
        <w:rPr>
          <w:rFonts w:cs="Arial"/>
        </w:rPr>
      </w:pPr>
    </w:p>
    <w:p w:rsidR="00822A23" w:rsidRDefault="00822A23" w:rsidP="00822A23">
      <w:pPr>
        <w:rPr>
          <w:rFonts w:cs="Arial"/>
        </w:rPr>
      </w:pPr>
      <w:r w:rsidRPr="00822A23">
        <w:rPr>
          <w:rFonts w:cs="Arial"/>
        </w:rPr>
        <w:t xml:space="preserve">Uvedený limit 500 tun byl nicméně vyhodnocen jako optimální z toho důvodu, že je platný pro všech současných 10 skupin elektrozařízení, přičemž elektrozařízení napříč těmito skupinami se významně liší v hmotnosti na jeden kus výrobku uvedeného na trh. Jako příklad lze uvést hmotnost pračky či ledničky ze skupiny 1 ve srovnání s hmotností zářivky či světelného LED zdroje. Vzhledem ke skutečnosti, že mohou na trhu existovat kolektivní </w:t>
      </w:r>
      <w:r w:rsidRPr="00822A23">
        <w:rPr>
          <w:rFonts w:cs="Arial"/>
        </w:rPr>
        <w:lastRenderedPageBreak/>
        <w:t>systémy, které mohou potenciálně chtít zajišťovat kolektivní plnění pouze pro určitou skupinu elektrozařízení, jejichž hmotnost v přepočtu na jeden kus je minimální, mohlo by vyšší nastavení limitu působit diskriminačně vůči takovýmto výrobcům.</w:t>
      </w:r>
      <w:r>
        <w:rPr>
          <w:rFonts w:cs="Arial"/>
        </w:rPr>
        <w:t xml:space="preserve">       </w:t>
      </w:r>
    </w:p>
    <w:p w:rsidR="00822A23" w:rsidRDefault="00822A23" w:rsidP="00822A23">
      <w:pPr>
        <w:rPr>
          <w:rFonts w:cs="Arial"/>
        </w:rPr>
      </w:pPr>
    </w:p>
    <w:p w:rsidR="00822A23" w:rsidRDefault="00822A23">
      <w:pPr>
        <w:rPr>
          <w:rFonts w:cs="Arial"/>
          <w:szCs w:val="22"/>
        </w:rPr>
      </w:pPr>
    </w:p>
    <w:p w:rsidR="00DD47D6" w:rsidRPr="00ED38E9" w:rsidRDefault="00A202B8" w:rsidP="00783869">
      <w:pPr>
        <w:pStyle w:val="Normlntun"/>
        <w:rPr>
          <w:rFonts w:cs="Arial"/>
        </w:rPr>
      </w:pPr>
      <w:r w:rsidRPr="00ED38E9">
        <w:rPr>
          <w:rFonts w:cs="Arial"/>
        </w:rPr>
        <w:t>Dopady na územní samosprávné celky (obce, kraje), sociální oblast, životní prostředí</w:t>
      </w:r>
    </w:p>
    <w:p w:rsidR="00A202B8" w:rsidRPr="00ED38E9" w:rsidRDefault="00A202B8" w:rsidP="00783869">
      <w:pPr>
        <w:rPr>
          <w:rFonts w:cs="Arial"/>
        </w:rPr>
      </w:pPr>
      <w:r w:rsidRPr="00ED38E9">
        <w:rPr>
          <w:rFonts w:cs="Arial"/>
        </w:rPr>
        <w:t>Návrh zákona předpokládá, že kolektivní systémy založí pouze subjekty, které budou sběr výrobků s ukončenou životností plnit efektivně</w:t>
      </w:r>
      <w:r w:rsidR="0024251A" w:rsidRPr="00ED38E9">
        <w:rPr>
          <w:rFonts w:cs="Arial"/>
        </w:rPr>
        <w:t>,</w:t>
      </w:r>
      <w:r w:rsidRPr="00ED38E9">
        <w:rPr>
          <w:rFonts w:cs="Arial"/>
        </w:rPr>
        <w:t xml:space="preserve"> a tím bude kvalitnější systém zpětného odběru, vedoucí k méně odpadu uloženého mimo místa zpětného odběru a efektivní zpracování daného odpadu. To znamená, že dojde ke snížení rizika nákladů obcí a krajů </w:t>
      </w:r>
      <w:r w:rsidR="0024251A" w:rsidRPr="00ED38E9">
        <w:rPr>
          <w:rFonts w:cs="Arial"/>
        </w:rPr>
        <w:t>na likvidaci černých skládek</w:t>
      </w:r>
      <w:r w:rsidRPr="00ED38E9">
        <w:rPr>
          <w:rFonts w:cs="Arial"/>
        </w:rPr>
        <w:t xml:space="preserve">, lepší dostupnost </w:t>
      </w:r>
      <w:r w:rsidR="0024251A" w:rsidRPr="00ED38E9">
        <w:rPr>
          <w:rFonts w:cs="Arial"/>
        </w:rPr>
        <w:t xml:space="preserve">sběrných </w:t>
      </w:r>
      <w:r w:rsidRPr="00ED38E9">
        <w:rPr>
          <w:rFonts w:cs="Arial"/>
        </w:rPr>
        <w:t>míst pro občany a také k</w:t>
      </w:r>
      <w:r w:rsidR="00DE1E3D" w:rsidRPr="00ED38E9">
        <w:rPr>
          <w:rFonts w:cs="Arial"/>
        </w:rPr>
        <w:t>e</w:t>
      </w:r>
      <w:r w:rsidRPr="00ED38E9">
        <w:rPr>
          <w:rFonts w:cs="Arial"/>
        </w:rPr>
        <w:t> snížení rizika negativních dopadů na životní prostředí.</w:t>
      </w:r>
    </w:p>
    <w:p w:rsidR="00257E70" w:rsidRPr="00ED38E9" w:rsidRDefault="00257E70" w:rsidP="005D660F">
      <w:pPr>
        <w:pStyle w:val="Nadpis3"/>
      </w:pPr>
      <w:r w:rsidRPr="00ED38E9">
        <w:lastRenderedPageBreak/>
        <w:t>Vyhodnocení nákladů a přínosů variant</w:t>
      </w:r>
    </w:p>
    <w:p w:rsidR="00477B0E" w:rsidRPr="00ED38E9" w:rsidRDefault="00477B0E">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12</w:t>
      </w:r>
      <w:r w:rsidR="00381FB7" w:rsidRPr="00ED38E9">
        <w:rPr>
          <w:rFonts w:cs="Arial"/>
        </w:rPr>
        <w:fldChar w:fldCharType="end"/>
      </w:r>
      <w:r w:rsidRPr="00ED38E9">
        <w:rPr>
          <w:rFonts w:cs="Arial"/>
        </w:rPr>
        <w:t>: Porovnání nákladů a přínosů</w:t>
      </w:r>
    </w:p>
    <w:p w:rsidR="00257E70" w:rsidRPr="00ED38E9" w:rsidRDefault="00477B0E" w:rsidP="00257E70">
      <w:pPr>
        <w:rPr>
          <w:rFonts w:cs="Arial"/>
        </w:rPr>
      </w:pPr>
      <w:r w:rsidRPr="00ED38E9">
        <w:rPr>
          <w:rFonts w:cs="Arial"/>
          <w:lang w:eastAsia="cs-CZ" w:bidi="ar-SA"/>
        </w:rPr>
        <w:drawing>
          <wp:inline distT="0" distB="0" distL="0" distR="0" wp14:anchorId="34629FEB" wp14:editId="469DD4E2">
            <wp:extent cx="5760720" cy="8180134"/>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180134"/>
                    </a:xfrm>
                    <a:prstGeom prst="rect">
                      <a:avLst/>
                    </a:prstGeom>
                    <a:noFill/>
                    <a:ln>
                      <a:noFill/>
                    </a:ln>
                  </pic:spPr>
                </pic:pic>
              </a:graphicData>
            </a:graphic>
          </wp:inline>
        </w:drawing>
      </w:r>
    </w:p>
    <w:p w:rsidR="00257E70" w:rsidRPr="00ED38E9" w:rsidRDefault="00257E70" w:rsidP="005D660F">
      <w:pPr>
        <w:pStyle w:val="Nadpis2"/>
      </w:pPr>
      <w:bookmarkStart w:id="19" w:name="_Toc441759842"/>
      <w:r w:rsidRPr="00ED38E9">
        <w:lastRenderedPageBreak/>
        <w:t>Návrh řešení</w:t>
      </w:r>
      <w:bookmarkEnd w:id="19"/>
    </w:p>
    <w:p w:rsidR="00257E70" w:rsidRPr="00ED38E9" w:rsidRDefault="00257E70" w:rsidP="005D660F">
      <w:pPr>
        <w:pStyle w:val="Nadpis3"/>
      </w:pPr>
      <w:r w:rsidRPr="00ED38E9">
        <w:t>Stanovení pořadí variant a výběr nejvhodnějšího řešení</w:t>
      </w:r>
    </w:p>
    <w:p w:rsidR="00257E70" w:rsidRPr="00ED38E9" w:rsidRDefault="00257E70" w:rsidP="002D66F0">
      <w:pPr>
        <w:pStyle w:val="Odstavecseseznamem"/>
        <w:numPr>
          <w:ilvl w:val="0"/>
          <w:numId w:val="86"/>
        </w:numPr>
        <w:contextualSpacing w:val="0"/>
        <w:rPr>
          <w:rFonts w:cs="Arial"/>
          <w:b/>
          <w:bCs/>
        </w:rPr>
      </w:pPr>
      <w:r w:rsidRPr="00ED38E9">
        <w:rPr>
          <w:rFonts w:cs="Arial"/>
          <w:b/>
          <w:bCs/>
        </w:rPr>
        <w:t>Varianta 1</w:t>
      </w:r>
    </w:p>
    <w:p w:rsidR="00257E70" w:rsidRPr="00ED38E9" w:rsidRDefault="00257E70" w:rsidP="002D66F0">
      <w:pPr>
        <w:pStyle w:val="Odstavecseseznamem"/>
        <w:numPr>
          <w:ilvl w:val="0"/>
          <w:numId w:val="86"/>
        </w:numPr>
        <w:contextualSpacing w:val="0"/>
        <w:rPr>
          <w:rFonts w:cs="Arial"/>
        </w:rPr>
      </w:pPr>
      <w:r w:rsidRPr="00ED38E9">
        <w:rPr>
          <w:rFonts w:cs="Arial"/>
        </w:rPr>
        <w:t>Varianta 0</w:t>
      </w:r>
    </w:p>
    <w:p w:rsidR="00257E70" w:rsidRPr="00ED38E9" w:rsidRDefault="00257E70" w:rsidP="00257E70">
      <w:pPr>
        <w:rPr>
          <w:rFonts w:cs="Arial"/>
        </w:rPr>
      </w:pPr>
    </w:p>
    <w:p w:rsidR="00257E70" w:rsidRPr="00ED38E9" w:rsidRDefault="00E411E4" w:rsidP="00257E70">
      <w:pPr>
        <w:rPr>
          <w:rFonts w:cs="Arial"/>
        </w:rPr>
      </w:pPr>
      <w:r w:rsidRPr="00ED38E9">
        <w:rPr>
          <w:rFonts w:cs="Arial"/>
        </w:rPr>
        <w:t xml:space="preserve">Doporučujeme přijmout Variantu 1, která sice představuje navýšení administrativní zátěže </w:t>
      </w:r>
      <w:r w:rsidR="00622821">
        <w:rPr>
          <w:rFonts w:cs="Arial"/>
        </w:rPr>
        <w:t xml:space="preserve">na straně </w:t>
      </w:r>
      <w:r w:rsidRPr="00ED38E9">
        <w:rPr>
          <w:rFonts w:cs="Arial"/>
        </w:rPr>
        <w:t>ministerstv</w:t>
      </w:r>
      <w:r w:rsidR="00622821">
        <w:rPr>
          <w:rFonts w:cs="Arial"/>
        </w:rPr>
        <w:t>a</w:t>
      </w:r>
      <w:r w:rsidRPr="00ED38E9">
        <w:rPr>
          <w:rFonts w:cs="Arial"/>
        </w:rPr>
        <w:t xml:space="preserve"> a podnikatelský</w:t>
      </w:r>
      <w:r w:rsidR="00622821">
        <w:rPr>
          <w:rFonts w:cs="Arial"/>
        </w:rPr>
        <w:t>ch</w:t>
      </w:r>
      <w:r w:rsidRPr="00ED38E9">
        <w:rPr>
          <w:rFonts w:cs="Arial"/>
        </w:rPr>
        <w:t xml:space="preserve"> subjektů, ale naopak představuje sjednocení </w:t>
      </w:r>
      <w:r w:rsidR="00622821">
        <w:rPr>
          <w:rFonts w:cs="Arial"/>
        </w:rPr>
        <w:t xml:space="preserve">podmínek </w:t>
      </w:r>
      <w:r w:rsidRPr="00ED38E9">
        <w:rPr>
          <w:rFonts w:cs="Arial"/>
        </w:rPr>
        <w:t xml:space="preserve">v dané oblasti a </w:t>
      </w:r>
      <w:r w:rsidR="00622821">
        <w:rPr>
          <w:rFonts w:cs="Arial"/>
        </w:rPr>
        <w:t xml:space="preserve"> minimalizaci </w:t>
      </w:r>
      <w:r w:rsidRPr="00ED38E9">
        <w:rPr>
          <w:rFonts w:cs="Arial"/>
        </w:rPr>
        <w:t>rizik plynoucích pro výrobce, obyvatele, obce, kraje a životní prostředí.</w:t>
      </w:r>
    </w:p>
    <w:p w:rsidR="00261D77" w:rsidRPr="00ED38E9" w:rsidRDefault="00261D77" w:rsidP="005D660F">
      <w:pPr>
        <w:pStyle w:val="Nadpis1"/>
      </w:pPr>
      <w:bookmarkStart w:id="20" w:name="_Toc441759843"/>
      <w:bookmarkStart w:id="21" w:name="_Toc441760180"/>
      <w:r w:rsidRPr="00ED38E9">
        <w:t>Nastavení cílů sběru pro specifické skupiny EEZ</w:t>
      </w:r>
      <w:bookmarkEnd w:id="20"/>
      <w:bookmarkEnd w:id="21"/>
      <w:r w:rsidRPr="00ED38E9">
        <w:t xml:space="preserve"> </w:t>
      </w:r>
    </w:p>
    <w:p w:rsidR="00261D77" w:rsidRPr="00ED38E9" w:rsidRDefault="00261D77" w:rsidP="005D660F">
      <w:pPr>
        <w:pStyle w:val="Nadpis2"/>
      </w:pPr>
      <w:bookmarkStart w:id="22" w:name="_Toc441759844"/>
      <w:r w:rsidRPr="00ED38E9">
        <w:t>Důvod předložení a cíle</w:t>
      </w:r>
      <w:bookmarkEnd w:id="22"/>
    </w:p>
    <w:p w:rsidR="00261D77" w:rsidRPr="00ED38E9" w:rsidRDefault="00261D77" w:rsidP="005D660F">
      <w:pPr>
        <w:pStyle w:val="Nadpis3"/>
      </w:pPr>
      <w:r w:rsidRPr="00ED38E9">
        <w:t>Definice problému</w:t>
      </w:r>
    </w:p>
    <w:p w:rsidR="00261D77" w:rsidRPr="00ED38E9" w:rsidRDefault="00261D77" w:rsidP="00261D77">
      <w:pPr>
        <w:rPr>
          <w:rFonts w:cs="Arial"/>
          <w:szCs w:val="22"/>
        </w:rPr>
      </w:pPr>
      <w:r w:rsidRPr="00ED38E9">
        <w:rPr>
          <w:rFonts w:cs="Arial"/>
          <w:szCs w:val="22"/>
        </w:rPr>
        <w:t>Směrnice Evropského parlamentu a Rady 2012/19/EU o odpadních elektrických a elektronických zařízeních (dále jen „Směrnice OEEZ“), která vstoupila v účinnost 14. února 2014</w:t>
      </w:r>
      <w:r w:rsidRPr="00ED38E9">
        <w:rPr>
          <w:rFonts w:cs="Arial"/>
          <w:color w:val="000000"/>
          <w:szCs w:val="22"/>
          <w:shd w:val="clear" w:color="auto" w:fill="FFFFFF"/>
        </w:rPr>
        <w:t xml:space="preserve">, </w:t>
      </w:r>
      <w:r w:rsidRPr="00ED38E9">
        <w:rPr>
          <w:rFonts w:cs="Arial"/>
          <w:szCs w:val="22"/>
        </w:rPr>
        <w:t>nově</w:t>
      </w:r>
      <w:r w:rsidRPr="00ED38E9">
        <w:rPr>
          <w:rFonts w:cs="Arial"/>
          <w:color w:val="000000"/>
          <w:szCs w:val="22"/>
          <w:shd w:val="clear" w:color="auto" w:fill="FFFFFF"/>
        </w:rPr>
        <w:t xml:space="preserve"> </w:t>
      </w:r>
      <w:r w:rsidRPr="00ED38E9">
        <w:rPr>
          <w:rFonts w:cs="Arial"/>
          <w:szCs w:val="22"/>
        </w:rPr>
        <w:t xml:space="preserve">ukládá členským státům uplatnění zásady odpovědnosti výrobců při sběru elektrických a elektronických zařízení EEZ. </w:t>
      </w:r>
      <w:r w:rsidRPr="00ED38E9">
        <w:rPr>
          <w:rFonts w:cs="Arial"/>
        </w:rPr>
        <w:t xml:space="preserve">V této souvislosti si klade Směrnice OEEZ za cíl zajistit, aby nedocházelo k odlišným úpravám v členských státech EU, </w:t>
      </w:r>
      <w:r w:rsidR="00784B81">
        <w:rPr>
          <w:rFonts w:cs="Arial"/>
        </w:rPr>
        <w:t>což</w:t>
      </w:r>
      <w:r w:rsidR="00784B81" w:rsidRPr="00ED38E9">
        <w:rPr>
          <w:rFonts w:cs="Arial"/>
        </w:rPr>
        <w:t xml:space="preserve"> </w:t>
      </w:r>
      <w:r w:rsidR="0089277C">
        <w:rPr>
          <w:rFonts w:cs="Arial"/>
        </w:rPr>
        <w:t>může vést k </w:t>
      </w:r>
      <w:r w:rsidRPr="00ED38E9">
        <w:rPr>
          <w:rFonts w:cs="Arial"/>
        </w:rPr>
        <w:t>podstatným nerovnostem ve finančním zatížení hospodářských subjektů. Současně existence rozdílných vnitrostátních politik nakládání s OEEZ omezuje efe</w:t>
      </w:r>
      <w:r w:rsidR="0089277C">
        <w:rPr>
          <w:rFonts w:cs="Arial"/>
        </w:rPr>
        <w:t>ktivnost recyklační politiky. Z </w:t>
      </w:r>
      <w:r w:rsidRPr="00ED38E9">
        <w:rPr>
          <w:rFonts w:cs="Arial"/>
        </w:rPr>
        <w:t xml:space="preserve">tohoto důvodu Směrnice </w:t>
      </w:r>
      <w:r w:rsidRPr="00ED38E9">
        <w:rPr>
          <w:rFonts w:cs="Arial"/>
          <w:szCs w:val="22"/>
        </w:rPr>
        <w:t xml:space="preserve">OEEZ </w:t>
      </w:r>
      <w:r w:rsidRPr="00ED38E9">
        <w:rPr>
          <w:rFonts w:cs="Arial"/>
        </w:rPr>
        <w:t>stanovuje základní kritéria a minimální požadavky na manipulaci s OEEZ na úrovni EU.</w:t>
      </w:r>
    </w:p>
    <w:p w:rsidR="00F04392" w:rsidRDefault="00261D77" w:rsidP="006F5445">
      <w:pPr>
        <w:spacing w:before="120"/>
        <w:rPr>
          <w:rFonts w:cs="Arial"/>
          <w:szCs w:val="22"/>
        </w:rPr>
      </w:pPr>
      <w:r w:rsidRPr="00ED38E9">
        <w:rPr>
          <w:rFonts w:cs="Arial"/>
          <w:szCs w:val="22"/>
        </w:rPr>
        <w:t xml:space="preserve">Na jejich základě ukládá členským státům dle revidovaného požadavku povinnost implementovat </w:t>
      </w:r>
      <w:r w:rsidRPr="00ED38E9">
        <w:rPr>
          <w:rFonts w:cs="Arial"/>
          <w:b/>
          <w:bCs/>
          <w:szCs w:val="22"/>
        </w:rPr>
        <w:t>nový systém úrovně sběru s minimální úrovní sběru OEEZ a jeho postupným nárůstem v letech 2016-2019</w:t>
      </w:r>
      <w:r w:rsidRPr="00ED38E9">
        <w:rPr>
          <w:rFonts w:cs="Arial"/>
          <w:szCs w:val="22"/>
        </w:rPr>
        <w:t xml:space="preserve">, přičemž celkové cílové úrovně sběru stanovuje na všechna sebraná OEEZ bez ohledu na jejich druh, tj. klasifikaci podle skupin EEZ. </w:t>
      </w:r>
    </w:p>
    <w:p w:rsidR="00261D77" w:rsidRPr="00ED38E9" w:rsidRDefault="00261D77" w:rsidP="00622821">
      <w:pPr>
        <w:spacing w:before="120"/>
        <w:rPr>
          <w:rFonts w:cs="Arial"/>
        </w:rPr>
      </w:pPr>
      <w:r w:rsidRPr="00ED38E9">
        <w:rPr>
          <w:rFonts w:cs="Arial"/>
        </w:rPr>
        <w:t xml:space="preserve">Do 31. 12. 2015 nadále platí dle Směrnice OEEZ požadavek na úroveň tříděného sběru v průměru nejméně čtyř kilogramů OEEZ z domácností na osobu za rok nebo stejné úrovně hmotnosti OEEZ, jaká byla sebrána v dotyčném členském státě v průměru v předchozích třech letech, podle toho, která z těchto hodnot je vyšší (viz článek 7 Směrnice OEEZ). Je na rozhodnutí členských států, který z těchto dvou ekvivalentních cílů si přejí následně reportovat. </w:t>
      </w:r>
      <w:r w:rsidRPr="00ED38E9">
        <w:rPr>
          <w:rFonts w:cs="Arial"/>
          <w:color w:val="000000"/>
          <w:szCs w:val="22"/>
        </w:rPr>
        <w:t>Členské státy tak mají možnost výběru mezi dosažením cíle sběru založeného na EEZ uvedených na trh a cíle sběru založeného na produkci OEEZ.</w:t>
      </w:r>
    </w:p>
    <w:p w:rsidR="00F04392" w:rsidRDefault="00261D77" w:rsidP="006F5445">
      <w:pPr>
        <w:spacing w:before="120"/>
        <w:rPr>
          <w:rFonts w:cs="Arial"/>
        </w:rPr>
      </w:pPr>
      <w:r w:rsidRPr="00ED38E9">
        <w:rPr>
          <w:rFonts w:cs="Arial"/>
        </w:rPr>
        <w:t xml:space="preserve">Směrnice OEEZ v současnosti dále uplatňuje zařazení elektrozařízení pro potřeby evidence do 10 stávajících skupin dle níže uvedené tabulky </w:t>
      </w:r>
      <w:r w:rsidR="000D14C5">
        <w:rPr>
          <w:rFonts w:cs="Arial"/>
        </w:rPr>
        <w:t>která je součástí</w:t>
      </w:r>
      <w:r w:rsidRPr="00ED38E9">
        <w:rPr>
          <w:rFonts w:cs="Arial"/>
        </w:rPr>
        <w:t xml:space="preserve"> přílo</w:t>
      </w:r>
      <w:r w:rsidR="000D14C5">
        <w:rPr>
          <w:rFonts w:cs="Arial"/>
        </w:rPr>
        <w:t>hy</w:t>
      </w:r>
      <w:r w:rsidRPr="00ED38E9">
        <w:rPr>
          <w:rFonts w:cs="Arial"/>
        </w:rPr>
        <w:t xml:space="preserve"> I Směrnice OEEZ. Tyto skupiny EEZ jsou vymezeny v současném zákon</w:t>
      </w:r>
      <w:r w:rsidR="00784B81">
        <w:rPr>
          <w:rFonts w:cs="Arial"/>
        </w:rPr>
        <w:t>ě</w:t>
      </w:r>
      <w:r w:rsidRPr="00ED38E9">
        <w:rPr>
          <w:rFonts w:cs="Arial"/>
        </w:rPr>
        <w:t xml:space="preserve"> o odpadech, a to v příloze č. 7. </w:t>
      </w:r>
    </w:p>
    <w:p w:rsidR="00261D77" w:rsidRPr="00ED38E9" w:rsidRDefault="00261D77" w:rsidP="00261D77">
      <w:pPr>
        <w:spacing w:before="120"/>
        <w:rPr>
          <w:rFonts w:cs="Arial"/>
        </w:rPr>
      </w:pPr>
      <w:r w:rsidRPr="00ED38E9">
        <w:rPr>
          <w:rFonts w:cs="Arial"/>
        </w:rPr>
        <w:t xml:space="preserve">V tomto zákoně nejsou v současné době požadavky Směrnice OEEZ na dosažení úrovně sběru EEZ implementovány. Stejně tak jsou požadavky sběru v současné době stanoveny na ČR bez ohledu na druhy (skupiny) jednotlivých EEZ uvedené níže. </w:t>
      </w:r>
    </w:p>
    <w:p w:rsidR="00503D71" w:rsidRDefault="00503D71" w:rsidP="00261D77">
      <w:pPr>
        <w:pStyle w:val="Titulek"/>
        <w:rPr>
          <w:rFonts w:cs="Arial"/>
        </w:rPr>
      </w:pPr>
    </w:p>
    <w:p w:rsidR="00261D77" w:rsidRPr="00ED38E9" w:rsidRDefault="00261D77" w:rsidP="00261D77">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13</w:t>
      </w:r>
      <w:r w:rsidR="00381FB7" w:rsidRPr="00ED38E9">
        <w:rPr>
          <w:rFonts w:cs="Arial"/>
        </w:rPr>
        <w:fldChar w:fldCharType="end"/>
      </w:r>
      <w:r w:rsidRPr="00ED38E9">
        <w:rPr>
          <w:rFonts w:cs="Arial"/>
        </w:rPr>
        <w:t>: Skupiny EEZ pro účely evidence platné do 14. 8. 2015</w:t>
      </w:r>
    </w:p>
    <w:tbl>
      <w:tblPr>
        <w:tblW w:w="5880" w:type="dxa"/>
        <w:tblCellMar>
          <w:left w:w="70" w:type="dxa"/>
          <w:right w:w="70" w:type="dxa"/>
        </w:tblCellMar>
        <w:tblLook w:val="0000" w:firstRow="0" w:lastRow="0" w:firstColumn="0" w:lastColumn="0" w:noHBand="0" w:noVBand="0"/>
      </w:tblPr>
      <w:tblGrid>
        <w:gridCol w:w="5880"/>
      </w:tblGrid>
      <w:tr w:rsidR="00261D77" w:rsidRPr="000B7CBF" w:rsidTr="002A3964">
        <w:trPr>
          <w:trHeight w:val="463"/>
        </w:trPr>
        <w:tc>
          <w:tcPr>
            <w:tcW w:w="5880" w:type="dxa"/>
            <w:tcBorders>
              <w:top w:val="single" w:sz="8" w:space="0" w:color="auto"/>
              <w:left w:val="single" w:sz="8" w:space="0" w:color="auto"/>
              <w:bottom w:val="single" w:sz="4" w:space="0" w:color="auto"/>
              <w:right w:val="single" w:sz="8" w:space="0" w:color="auto"/>
            </w:tcBorders>
            <w:shd w:val="clear" w:color="9999FF" w:fill="800080"/>
            <w:noWrap/>
            <w:vAlign w:val="center"/>
          </w:tcPr>
          <w:p w:rsidR="00261D77" w:rsidRPr="000B7CBF" w:rsidRDefault="00261D77" w:rsidP="002A3964">
            <w:pPr>
              <w:spacing w:line="240" w:lineRule="auto"/>
              <w:jc w:val="left"/>
              <w:rPr>
                <w:rFonts w:cs="Arial"/>
                <w:color w:val="FFFFFF"/>
                <w:sz w:val="18"/>
                <w:szCs w:val="18"/>
                <w:lang w:eastAsia="zh-CN"/>
              </w:rPr>
            </w:pPr>
            <w:r w:rsidRPr="000B7CBF">
              <w:rPr>
                <w:rFonts w:cs="Arial"/>
                <w:color w:val="FFFFFF"/>
                <w:sz w:val="18"/>
                <w:szCs w:val="18"/>
                <w:lang w:eastAsia="zh-CN"/>
              </w:rPr>
              <w:t>Kategorie</w:t>
            </w:r>
          </w:p>
        </w:tc>
      </w:tr>
      <w:tr w:rsidR="00261D77" w:rsidRPr="000B7CBF" w:rsidTr="002A3964">
        <w:trPr>
          <w:trHeight w:val="463"/>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1. Velké spotřebiče pro domácnost</w:t>
            </w:r>
          </w:p>
        </w:tc>
      </w:tr>
      <w:tr w:rsidR="00261D77" w:rsidRPr="000B7CBF" w:rsidTr="002A3964">
        <w:trPr>
          <w:trHeight w:val="463"/>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2. Malé spotřebiče pro domácnost</w:t>
            </w:r>
          </w:p>
        </w:tc>
      </w:tr>
      <w:tr w:rsidR="00261D77" w:rsidRPr="000B7CBF" w:rsidTr="002A3964">
        <w:trPr>
          <w:trHeight w:val="464"/>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3. Zařízení informačních technologií a telekomunikační zařízení</w:t>
            </w:r>
          </w:p>
        </w:tc>
      </w:tr>
      <w:tr w:rsidR="00261D77" w:rsidRPr="000B7CBF" w:rsidTr="002A3964">
        <w:trPr>
          <w:trHeight w:val="463"/>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4. Spotřební elektronika a fotovoltaické panely</w:t>
            </w:r>
          </w:p>
        </w:tc>
      </w:tr>
      <w:tr w:rsidR="00261D77" w:rsidRPr="000B7CBF" w:rsidTr="002A3964">
        <w:trPr>
          <w:trHeight w:val="463"/>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ind w:left="-70" w:firstLine="70"/>
              <w:jc w:val="left"/>
              <w:rPr>
                <w:rFonts w:cs="Arial"/>
                <w:sz w:val="18"/>
                <w:szCs w:val="18"/>
                <w:lang w:eastAsia="zh-CN"/>
              </w:rPr>
            </w:pPr>
            <w:r w:rsidRPr="000B7CBF">
              <w:rPr>
                <w:rFonts w:cs="Arial"/>
                <w:sz w:val="18"/>
                <w:szCs w:val="18"/>
                <w:lang w:eastAsia="zh-CN"/>
              </w:rPr>
              <w:t>5. Osvětlovací zařízení</w:t>
            </w:r>
          </w:p>
        </w:tc>
      </w:tr>
      <w:tr w:rsidR="00261D77" w:rsidRPr="000B7CBF" w:rsidTr="002A3964">
        <w:trPr>
          <w:trHeight w:val="463"/>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6. Elektrické a elektronické nástroje (s výjimkou velkých stacionárních průmyslových nástrojů)</w:t>
            </w:r>
          </w:p>
        </w:tc>
      </w:tr>
      <w:tr w:rsidR="00261D77" w:rsidRPr="000B7CBF" w:rsidTr="002A3964">
        <w:trPr>
          <w:trHeight w:val="464"/>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7. Hračky, vybavení pro volný čas a sporty</w:t>
            </w:r>
          </w:p>
        </w:tc>
      </w:tr>
      <w:tr w:rsidR="00261D77" w:rsidRPr="000B7CBF" w:rsidTr="002A3964">
        <w:trPr>
          <w:trHeight w:val="463"/>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8. Zdravotnické prostředky (s výjimkou všech implantovaných a infikovaných výrobků)</w:t>
            </w:r>
          </w:p>
        </w:tc>
      </w:tr>
      <w:tr w:rsidR="00261D77" w:rsidRPr="000B7CBF" w:rsidTr="002A3964">
        <w:trPr>
          <w:trHeight w:val="463"/>
        </w:trPr>
        <w:tc>
          <w:tcPr>
            <w:tcW w:w="5880" w:type="dxa"/>
            <w:tcBorders>
              <w:top w:val="nil"/>
              <w:left w:val="single" w:sz="8" w:space="0" w:color="auto"/>
              <w:bottom w:val="single" w:sz="4"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9. Přístroje pro monitorování a kontrolu</w:t>
            </w:r>
          </w:p>
        </w:tc>
      </w:tr>
      <w:tr w:rsidR="00261D77" w:rsidRPr="000B7CBF" w:rsidTr="002A3964">
        <w:trPr>
          <w:trHeight w:val="464"/>
        </w:trPr>
        <w:tc>
          <w:tcPr>
            <w:tcW w:w="5880" w:type="dxa"/>
            <w:tcBorders>
              <w:top w:val="nil"/>
              <w:left w:val="single" w:sz="8" w:space="0" w:color="auto"/>
              <w:bottom w:val="single" w:sz="8" w:space="0" w:color="auto"/>
              <w:right w:val="single" w:sz="8" w:space="0" w:color="auto"/>
            </w:tcBorders>
            <w:shd w:val="clear" w:color="auto" w:fill="auto"/>
            <w:vAlign w:val="center"/>
          </w:tcPr>
          <w:p w:rsidR="00261D77" w:rsidRPr="000B7CBF" w:rsidRDefault="00261D77" w:rsidP="002A3964">
            <w:pPr>
              <w:spacing w:line="240" w:lineRule="auto"/>
              <w:jc w:val="left"/>
              <w:rPr>
                <w:rFonts w:cs="Arial"/>
                <w:sz w:val="18"/>
                <w:szCs w:val="18"/>
                <w:lang w:eastAsia="zh-CN"/>
              </w:rPr>
            </w:pPr>
            <w:r w:rsidRPr="000B7CBF">
              <w:rPr>
                <w:rFonts w:cs="Arial"/>
                <w:sz w:val="18"/>
                <w:szCs w:val="18"/>
                <w:lang w:eastAsia="zh-CN"/>
              </w:rPr>
              <w:t>10. Výdejní automaty</w:t>
            </w:r>
          </w:p>
        </w:tc>
      </w:tr>
    </w:tbl>
    <w:p w:rsidR="00261D77" w:rsidRPr="00ED38E9" w:rsidRDefault="00261D77" w:rsidP="00261D77">
      <w:pPr>
        <w:rPr>
          <w:rFonts w:cs="Arial"/>
        </w:rPr>
      </w:pPr>
    </w:p>
    <w:p w:rsidR="00261D77" w:rsidRPr="00ED38E9" w:rsidRDefault="00261D77" w:rsidP="00261D77">
      <w:pPr>
        <w:rPr>
          <w:rFonts w:cs="Arial"/>
        </w:rPr>
      </w:pPr>
      <w:r w:rsidRPr="00ED38E9">
        <w:rPr>
          <w:rFonts w:cs="Arial"/>
        </w:rPr>
        <w:t xml:space="preserve">Co se týče plnění stávajícího požadavku </w:t>
      </w:r>
      <w:r w:rsidR="000D14C5">
        <w:rPr>
          <w:rFonts w:cs="Arial"/>
        </w:rPr>
        <w:t xml:space="preserve">dosáhnout </w:t>
      </w:r>
      <w:r w:rsidRPr="00ED38E9">
        <w:rPr>
          <w:rFonts w:cs="Arial"/>
        </w:rPr>
        <w:t xml:space="preserve">sběru čtyř kilogramů OEEZ z domácností na osobu na osobu za rok, </w:t>
      </w:r>
      <w:r w:rsidR="000D14C5">
        <w:rPr>
          <w:rFonts w:cs="Arial"/>
        </w:rPr>
        <w:t xml:space="preserve">tak </w:t>
      </w:r>
      <w:r w:rsidRPr="00ED38E9">
        <w:rPr>
          <w:rFonts w:cs="Arial"/>
        </w:rPr>
        <w:t>z hlediska evidence zpětně odebraných OEEZ ČR v uplynulých více jak pěti letech splňovala tento minimální požadavek určený Směrnicí OEEZ, viz  následující tabulka.</w:t>
      </w:r>
    </w:p>
    <w:p w:rsidR="00261D77" w:rsidRPr="00ED38E9" w:rsidRDefault="00261D77" w:rsidP="00261D77">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14</w:t>
      </w:r>
      <w:r w:rsidR="00381FB7" w:rsidRPr="00ED38E9">
        <w:rPr>
          <w:rFonts w:cs="Arial"/>
        </w:rPr>
        <w:fldChar w:fldCharType="end"/>
      </w:r>
      <w:r w:rsidRPr="00ED38E9">
        <w:rPr>
          <w:rFonts w:cs="Arial"/>
        </w:rPr>
        <w:t xml:space="preserve">: Plnění cílů zpětného odběru elektrozařízení a odděleného sběru elektroodpadů </w:t>
      </w:r>
    </w:p>
    <w:tbl>
      <w:tblPr>
        <w:tblW w:w="89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47"/>
        <w:gridCol w:w="1304"/>
        <w:gridCol w:w="1304"/>
        <w:gridCol w:w="1304"/>
        <w:gridCol w:w="1304"/>
        <w:gridCol w:w="1304"/>
        <w:gridCol w:w="1263"/>
      </w:tblGrid>
      <w:tr w:rsidR="00261D77" w:rsidRPr="000B7CBF" w:rsidTr="002A3964">
        <w:trPr>
          <w:trHeight w:val="454"/>
        </w:trPr>
        <w:tc>
          <w:tcPr>
            <w:tcW w:w="1106" w:type="dxa"/>
            <w:shd w:val="clear" w:color="9999FF" w:fill="C0C0C0"/>
            <w:vAlign w:val="center"/>
          </w:tcPr>
          <w:p w:rsidR="00261D77" w:rsidRPr="000B7CBF" w:rsidRDefault="00261D77" w:rsidP="002A3964">
            <w:pPr>
              <w:spacing w:line="240" w:lineRule="auto"/>
              <w:jc w:val="left"/>
              <w:rPr>
                <w:rFonts w:cs="Arial"/>
                <w:color w:val="000080"/>
                <w:szCs w:val="22"/>
                <w:lang w:eastAsia="zh-CN"/>
              </w:rPr>
            </w:pPr>
            <w:r w:rsidRPr="000B7CBF">
              <w:rPr>
                <w:rFonts w:cs="Arial"/>
                <w:color w:val="000080"/>
                <w:szCs w:val="22"/>
                <w:lang w:eastAsia="zh-CN"/>
              </w:rPr>
              <w:t>Rok</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2008</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2009</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2010</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2011</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2012</w:t>
            </w:r>
          </w:p>
        </w:tc>
        <w:tc>
          <w:tcPr>
            <w:tcW w:w="1304" w:type="dxa"/>
            <w:shd w:val="clear" w:color="9999FF" w:fill="C0C0C0"/>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2013</w:t>
            </w:r>
          </w:p>
        </w:tc>
      </w:tr>
      <w:tr w:rsidR="00261D77" w:rsidRPr="000B7CBF" w:rsidTr="002A3964">
        <w:trPr>
          <w:trHeight w:val="454"/>
        </w:trPr>
        <w:tc>
          <w:tcPr>
            <w:tcW w:w="1106" w:type="dxa"/>
            <w:shd w:val="clear" w:color="9999FF" w:fill="C0C0C0"/>
            <w:vAlign w:val="center"/>
          </w:tcPr>
          <w:p w:rsidR="00261D77" w:rsidRPr="000B7CBF" w:rsidRDefault="00261D77" w:rsidP="002A3964">
            <w:pPr>
              <w:spacing w:line="240" w:lineRule="auto"/>
              <w:jc w:val="left"/>
              <w:rPr>
                <w:rFonts w:cs="Arial"/>
                <w:color w:val="000080"/>
                <w:szCs w:val="22"/>
                <w:lang w:eastAsia="zh-CN"/>
              </w:rPr>
            </w:pPr>
            <w:r w:rsidRPr="000B7CBF">
              <w:rPr>
                <w:rFonts w:cs="Arial"/>
                <w:color w:val="000080"/>
                <w:szCs w:val="22"/>
                <w:lang w:eastAsia="zh-CN"/>
              </w:rPr>
              <w:t>Plnění (kg/obyv.)</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4,3</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5,5</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5</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5,3</w:t>
            </w:r>
          </w:p>
        </w:tc>
        <w:tc>
          <w:tcPr>
            <w:tcW w:w="1304"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5,1</w:t>
            </w:r>
          </w:p>
        </w:tc>
        <w:tc>
          <w:tcPr>
            <w:tcW w:w="1304" w:type="dxa"/>
            <w:shd w:val="clear" w:color="9999FF" w:fill="C0C0C0"/>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5,2</w:t>
            </w:r>
          </w:p>
        </w:tc>
      </w:tr>
    </w:tbl>
    <w:p w:rsidR="00261D77" w:rsidRPr="00ED38E9" w:rsidRDefault="00261D77" w:rsidP="00261D77">
      <w:pPr>
        <w:rPr>
          <w:rFonts w:cs="Arial"/>
          <w:sz w:val="20"/>
          <w:szCs w:val="20"/>
        </w:rPr>
      </w:pPr>
    </w:p>
    <w:p w:rsidR="00261D77" w:rsidRPr="00ED38E9" w:rsidRDefault="00261D77" w:rsidP="00261D77">
      <w:pPr>
        <w:rPr>
          <w:rFonts w:cs="Arial"/>
          <w:sz w:val="18"/>
          <w:szCs w:val="18"/>
        </w:rPr>
      </w:pPr>
      <w:r w:rsidRPr="00ED38E9">
        <w:rPr>
          <w:rFonts w:cs="Arial"/>
          <w:sz w:val="18"/>
          <w:szCs w:val="18"/>
        </w:rPr>
        <w:t>Zdroj MŽP a CENIA</w:t>
      </w:r>
    </w:p>
    <w:p w:rsidR="00261D77" w:rsidRPr="00ED38E9" w:rsidRDefault="00261D77" w:rsidP="00261D77">
      <w:pPr>
        <w:rPr>
          <w:rFonts w:cs="Arial"/>
        </w:rPr>
      </w:pPr>
    </w:p>
    <w:p w:rsidR="00261D77" w:rsidRPr="00ED38E9" w:rsidRDefault="00261D77" w:rsidP="00261D77">
      <w:pPr>
        <w:rPr>
          <w:rFonts w:cs="Arial"/>
        </w:rPr>
      </w:pPr>
      <w:r w:rsidRPr="00ED38E9">
        <w:rPr>
          <w:rFonts w:cs="Arial"/>
        </w:rPr>
        <w:t xml:space="preserve">Dle údajů za rok 2013 mají hmotnostně nejvýznamnější podíl na těchto evidovaných skupinách EEZ spadající do skupiny 1 (Velké domácí spotřebiče), a to z důvodu vyšší hmotnosti těchto zařízení (patří </w:t>
      </w:r>
      <w:r w:rsidR="000B7CBF">
        <w:rPr>
          <w:rFonts w:cs="Arial"/>
        </w:rPr>
        <w:t>sem</w:t>
      </w:r>
      <w:r w:rsidR="000B7CBF" w:rsidRPr="00ED38E9">
        <w:rPr>
          <w:rFonts w:cs="Arial"/>
        </w:rPr>
        <w:t xml:space="preserve"> </w:t>
      </w:r>
      <w:r w:rsidRPr="00ED38E9">
        <w:rPr>
          <w:rFonts w:cs="Arial"/>
        </w:rPr>
        <w:t>např. ledničky, pračky a myčky) a dále skupin č. 3 a 4 (Zařízení informačních technologií a telekomunikační zařízení a Spotřebitelsk</w:t>
      </w:r>
      <w:r w:rsidR="000D14C5">
        <w:rPr>
          <w:rFonts w:cs="Arial"/>
        </w:rPr>
        <w:t>á</w:t>
      </w:r>
      <w:r w:rsidRPr="00ED38E9">
        <w:rPr>
          <w:rFonts w:cs="Arial"/>
        </w:rPr>
        <w:t xml:space="preserve"> zařízení a solární panely), následované skupinou 2 (Malé domácí spotřebiče) (Zdroj:MŽP, květen 2015). </w:t>
      </w:r>
    </w:p>
    <w:p w:rsidR="00261D77" w:rsidRPr="00ED38E9" w:rsidRDefault="00261D77" w:rsidP="00261D77">
      <w:pPr>
        <w:spacing w:before="120"/>
        <w:rPr>
          <w:rFonts w:cs="Arial"/>
        </w:rPr>
      </w:pPr>
      <w:r w:rsidRPr="00ED38E9">
        <w:rPr>
          <w:rFonts w:cs="Arial"/>
        </w:rPr>
        <w:t xml:space="preserve">Stávající skupiny evidence EEZ budou v rámci přechodného období dle Směrnice OEEZ v platnosti do 14. srpna 2018 a následně budou nahrazeny 6 skupinami dle Přílohy III Směrnice OEEZ, která bude platná od 15. srpna 2018. Systém evidence se změní následovně do těchto šesti skupin dle následující tabulky č. </w:t>
      </w:r>
      <w:r w:rsidR="00E359DB">
        <w:rPr>
          <w:rFonts w:cs="Arial"/>
        </w:rPr>
        <w:t>15</w:t>
      </w:r>
      <w:r w:rsidRPr="00ED38E9">
        <w:rPr>
          <w:rFonts w:cs="Arial"/>
        </w:rPr>
        <w:t>.</w:t>
      </w:r>
    </w:p>
    <w:p w:rsidR="00503D71" w:rsidRDefault="00503D71" w:rsidP="00261D77">
      <w:pPr>
        <w:pStyle w:val="Titulek"/>
        <w:rPr>
          <w:rFonts w:cs="Arial"/>
        </w:rPr>
      </w:pPr>
    </w:p>
    <w:p w:rsidR="00503D71" w:rsidRDefault="00503D71" w:rsidP="00261D77">
      <w:pPr>
        <w:pStyle w:val="Titulek"/>
        <w:rPr>
          <w:rFonts w:cs="Arial"/>
        </w:rPr>
      </w:pPr>
    </w:p>
    <w:p w:rsidR="00261D77" w:rsidRPr="00ED38E9" w:rsidRDefault="00261D77" w:rsidP="00261D77">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15</w:t>
      </w:r>
      <w:r w:rsidR="00381FB7" w:rsidRPr="00ED38E9">
        <w:rPr>
          <w:rFonts w:cs="Arial"/>
        </w:rPr>
        <w:fldChar w:fldCharType="end"/>
      </w:r>
      <w:r w:rsidRPr="00ED38E9">
        <w:rPr>
          <w:rFonts w:cs="Arial"/>
        </w:rPr>
        <w:t>: Skupiny elektrozařízení platná od 15. 8. 2015</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1"/>
      </w:tblGrid>
      <w:tr w:rsidR="00261D77" w:rsidRPr="000B7CBF" w:rsidTr="002A3964">
        <w:trPr>
          <w:trHeight w:val="255"/>
        </w:trPr>
        <w:tc>
          <w:tcPr>
            <w:tcW w:w="9071" w:type="dxa"/>
            <w:shd w:val="clear" w:color="9999FF" w:fill="800080"/>
            <w:noWrap/>
            <w:vAlign w:val="center"/>
          </w:tcPr>
          <w:p w:rsidR="00261D77" w:rsidRPr="000B7CBF" w:rsidRDefault="00261D77" w:rsidP="002A3964">
            <w:pPr>
              <w:spacing w:line="240" w:lineRule="auto"/>
              <w:jc w:val="center"/>
              <w:rPr>
                <w:rFonts w:cs="Arial"/>
                <w:color w:val="FFFFFF"/>
                <w:sz w:val="18"/>
                <w:szCs w:val="18"/>
                <w:lang w:eastAsia="zh-CN"/>
              </w:rPr>
            </w:pPr>
            <w:r w:rsidRPr="000B7CBF">
              <w:rPr>
                <w:rFonts w:cs="Arial"/>
                <w:color w:val="FFFFFF"/>
                <w:sz w:val="18"/>
                <w:szCs w:val="18"/>
                <w:lang w:eastAsia="zh-CN"/>
              </w:rPr>
              <w:t>Kategorie</w:t>
            </w:r>
          </w:p>
        </w:tc>
      </w:tr>
      <w:tr w:rsidR="00261D77" w:rsidRPr="000B7CBF" w:rsidTr="002A3964">
        <w:trPr>
          <w:trHeight w:val="255"/>
        </w:trPr>
        <w:tc>
          <w:tcPr>
            <w:tcW w:w="9071" w:type="dxa"/>
            <w:shd w:val="clear" w:color="auto" w:fill="auto"/>
            <w:vAlign w:val="bottom"/>
          </w:tcPr>
          <w:p w:rsidR="00261D77" w:rsidRPr="000B7CBF" w:rsidRDefault="00261D77" w:rsidP="002A3964">
            <w:pPr>
              <w:spacing w:line="240" w:lineRule="auto"/>
              <w:jc w:val="left"/>
              <w:rPr>
                <w:rFonts w:cs="Arial"/>
                <w:sz w:val="20"/>
                <w:szCs w:val="20"/>
                <w:lang w:eastAsia="zh-CN"/>
              </w:rPr>
            </w:pPr>
            <w:r w:rsidRPr="000B7CBF">
              <w:rPr>
                <w:rFonts w:cs="Arial"/>
                <w:sz w:val="20"/>
                <w:szCs w:val="20"/>
                <w:lang w:eastAsia="zh-CN"/>
              </w:rPr>
              <w:t>1. Zařízení pro tepelnou výměnu</w:t>
            </w:r>
          </w:p>
        </w:tc>
      </w:tr>
      <w:tr w:rsidR="00261D77" w:rsidRPr="000B7CBF" w:rsidTr="002A3964">
        <w:trPr>
          <w:trHeight w:val="255"/>
        </w:trPr>
        <w:tc>
          <w:tcPr>
            <w:tcW w:w="9071" w:type="dxa"/>
            <w:shd w:val="clear" w:color="auto" w:fill="auto"/>
            <w:vAlign w:val="bottom"/>
          </w:tcPr>
          <w:p w:rsidR="00261D77" w:rsidRPr="000B7CBF" w:rsidRDefault="00261D77" w:rsidP="002A3964">
            <w:pPr>
              <w:spacing w:line="240" w:lineRule="auto"/>
              <w:jc w:val="left"/>
              <w:rPr>
                <w:rFonts w:cs="Arial"/>
                <w:sz w:val="20"/>
                <w:szCs w:val="20"/>
                <w:lang w:eastAsia="zh-CN"/>
              </w:rPr>
            </w:pPr>
            <w:r w:rsidRPr="000B7CBF">
              <w:rPr>
                <w:rFonts w:cs="Arial"/>
                <w:sz w:val="20"/>
                <w:szCs w:val="20"/>
                <w:lang w:eastAsia="zh-CN"/>
              </w:rPr>
              <w:t>2. Obrazovky, monitory a zařízení obsahující obrazovky o ploše větší než 100 cm2</w:t>
            </w:r>
          </w:p>
        </w:tc>
      </w:tr>
      <w:tr w:rsidR="00261D77" w:rsidRPr="000B7CBF" w:rsidTr="002A3964">
        <w:trPr>
          <w:trHeight w:val="255"/>
        </w:trPr>
        <w:tc>
          <w:tcPr>
            <w:tcW w:w="9071" w:type="dxa"/>
            <w:shd w:val="clear" w:color="auto" w:fill="auto"/>
            <w:vAlign w:val="bottom"/>
          </w:tcPr>
          <w:p w:rsidR="00261D77" w:rsidRPr="000B7CBF" w:rsidRDefault="00261D77" w:rsidP="002A3964">
            <w:pPr>
              <w:spacing w:line="240" w:lineRule="auto"/>
              <w:jc w:val="left"/>
              <w:rPr>
                <w:rFonts w:cs="Arial"/>
                <w:sz w:val="20"/>
                <w:szCs w:val="20"/>
                <w:lang w:eastAsia="zh-CN"/>
              </w:rPr>
            </w:pPr>
            <w:r w:rsidRPr="000B7CBF">
              <w:rPr>
                <w:rFonts w:cs="Arial"/>
                <w:sz w:val="20"/>
                <w:szCs w:val="20"/>
                <w:lang w:eastAsia="zh-CN"/>
              </w:rPr>
              <w:t>3. Světelné zdroje</w:t>
            </w:r>
          </w:p>
        </w:tc>
      </w:tr>
      <w:tr w:rsidR="00261D77" w:rsidRPr="000B7CBF" w:rsidTr="002A3964">
        <w:trPr>
          <w:trHeight w:val="1530"/>
        </w:trPr>
        <w:tc>
          <w:tcPr>
            <w:tcW w:w="9071" w:type="dxa"/>
            <w:shd w:val="clear" w:color="auto" w:fill="auto"/>
            <w:vAlign w:val="bottom"/>
          </w:tcPr>
          <w:p w:rsidR="00261D77" w:rsidRPr="000B7CBF" w:rsidRDefault="00261D77" w:rsidP="002A3964">
            <w:pPr>
              <w:spacing w:line="240" w:lineRule="auto"/>
              <w:jc w:val="left"/>
              <w:rPr>
                <w:rFonts w:cs="Arial"/>
                <w:sz w:val="20"/>
                <w:szCs w:val="20"/>
                <w:lang w:eastAsia="zh-CN"/>
              </w:rPr>
            </w:pPr>
            <w:r w:rsidRPr="000B7CBF">
              <w:rPr>
                <w:rFonts w:cs="Arial"/>
                <w:sz w:val="20"/>
                <w:szCs w:val="20"/>
                <w:lang w:eastAsia="zh-CN"/>
              </w:rPr>
              <w:t>4. Velká zařízení (kterýkoli vnější rozměr větší než 50 cm) zahrnující mimo jiné: domácí spotřebiče; zařízení informačních technologií a telekomunikační zařízení; spotřební elektroniku; svítidla; zařízení reprodukující zvuk či obraz, hudební zařízení; elektrické a elektronické nástroje; hračky, vybavení pro volný čas a sporty; zdravotnické prostředky; přístroje pro monitorování a kontrolu; výdejní automaty; zařízení pro výrobu elektrického proudu. Do této kategorie nepatří zařízení kategorií 1, 2 a 3.</w:t>
            </w:r>
          </w:p>
        </w:tc>
      </w:tr>
      <w:tr w:rsidR="00261D77" w:rsidRPr="000B7CBF" w:rsidTr="002A3964">
        <w:trPr>
          <w:trHeight w:val="1275"/>
        </w:trPr>
        <w:tc>
          <w:tcPr>
            <w:tcW w:w="9071" w:type="dxa"/>
            <w:shd w:val="clear" w:color="auto" w:fill="auto"/>
            <w:vAlign w:val="bottom"/>
          </w:tcPr>
          <w:p w:rsidR="00261D77" w:rsidRPr="000B7CBF" w:rsidRDefault="00261D77" w:rsidP="00EE03D9">
            <w:pPr>
              <w:spacing w:line="240" w:lineRule="auto"/>
              <w:jc w:val="left"/>
              <w:rPr>
                <w:rFonts w:cs="Arial"/>
                <w:sz w:val="20"/>
                <w:szCs w:val="20"/>
                <w:lang w:eastAsia="zh-CN"/>
              </w:rPr>
            </w:pPr>
            <w:r w:rsidRPr="000B7CBF">
              <w:rPr>
                <w:rFonts w:cs="Arial"/>
                <w:sz w:val="20"/>
                <w:szCs w:val="20"/>
                <w:lang w:eastAsia="zh-CN"/>
              </w:rPr>
              <w:t xml:space="preserve">5. Malá zařízení (žádný vnější rozměr není větší než 50 cm) zahrnující mimo jiné: domácí spotřebiče; spotřební elektroniku; svítidla; zařízení reprodukující zvuk či obraz, hudební zařízení; elektrické a elektronické nástroje; hračky, vybavení pro volný čas a sporty; zdravotnické prostředky; přístroje pro monitorování a kontrolu; výdejní automaty; zařízení pro výrobu elektrického proudu. Do této kategorie nepatří zařízení kategorií 1 až 3 a </w:t>
            </w:r>
          </w:p>
        </w:tc>
      </w:tr>
      <w:tr w:rsidR="00261D77" w:rsidRPr="000B7CBF" w:rsidTr="002A3964">
        <w:trPr>
          <w:trHeight w:val="525"/>
        </w:trPr>
        <w:tc>
          <w:tcPr>
            <w:tcW w:w="9071" w:type="dxa"/>
            <w:shd w:val="clear" w:color="auto" w:fill="auto"/>
            <w:vAlign w:val="bottom"/>
          </w:tcPr>
          <w:p w:rsidR="00261D77" w:rsidRPr="000B7CBF" w:rsidRDefault="00261D77" w:rsidP="002A3964">
            <w:pPr>
              <w:spacing w:line="240" w:lineRule="auto"/>
              <w:jc w:val="left"/>
              <w:rPr>
                <w:rFonts w:cs="Arial"/>
                <w:sz w:val="20"/>
                <w:szCs w:val="20"/>
                <w:lang w:eastAsia="zh-CN"/>
              </w:rPr>
            </w:pPr>
            <w:r w:rsidRPr="000B7CBF">
              <w:rPr>
                <w:rFonts w:cs="Arial"/>
                <w:sz w:val="20"/>
                <w:szCs w:val="20"/>
                <w:lang w:eastAsia="zh-CN"/>
              </w:rPr>
              <w:t>6. Malá zařízení informačních technologií a telekomunikační zařízení (žádný vnější rozměr není větší než 50 cm</w:t>
            </w:r>
          </w:p>
        </w:tc>
      </w:tr>
    </w:tbl>
    <w:p w:rsidR="00261D77" w:rsidRPr="00ED38E9" w:rsidRDefault="00261D77" w:rsidP="00261D77">
      <w:pPr>
        <w:rPr>
          <w:rFonts w:cs="Arial"/>
        </w:rPr>
      </w:pPr>
    </w:p>
    <w:p w:rsidR="00261D77" w:rsidRPr="00ED38E9" w:rsidRDefault="00261D77" w:rsidP="00261D77">
      <w:pPr>
        <w:rPr>
          <w:rFonts w:cs="Arial"/>
        </w:rPr>
      </w:pPr>
      <w:r w:rsidRPr="00ED38E9">
        <w:rPr>
          <w:rFonts w:cs="Arial"/>
        </w:rPr>
        <w:t xml:space="preserve">Nejedná se o jediné změny vyvolané </w:t>
      </w:r>
      <w:r w:rsidR="000D14C5">
        <w:rPr>
          <w:rFonts w:cs="Arial"/>
        </w:rPr>
        <w:t xml:space="preserve">posunutou </w:t>
      </w:r>
      <w:r w:rsidRPr="00ED38E9">
        <w:rPr>
          <w:rFonts w:cs="Arial"/>
        </w:rPr>
        <w:t xml:space="preserve">účinností </w:t>
      </w:r>
      <w:r w:rsidR="000D14C5">
        <w:rPr>
          <w:rFonts w:cs="Arial"/>
        </w:rPr>
        <w:t xml:space="preserve">některých částí </w:t>
      </w:r>
      <w:r w:rsidRPr="00ED38E9">
        <w:rPr>
          <w:rFonts w:cs="Arial"/>
        </w:rPr>
        <w:t>Směrnice</w:t>
      </w:r>
      <w:r w:rsidR="000B7CBF">
        <w:rPr>
          <w:rFonts w:cs="Arial"/>
        </w:rPr>
        <w:t xml:space="preserve"> OEEZ.</w:t>
      </w:r>
      <w:r w:rsidRPr="00ED38E9">
        <w:rPr>
          <w:rFonts w:cs="Arial"/>
        </w:rPr>
        <w:t xml:space="preserve"> V otázce stanovení minimální úrovně sběru a jejich nárůstu Směrnice OEEZ totiž stanovuje členským státům povinnost zavést nově cíl sběru ve výši 45 % průměrné hmotnosti EEZ uvedených na trh s účinností od 1.1. 2016. Podíl je počítán na základě celkové hmotnosti OEEZ sebraných v daném členském státě a vyjádřené jako procentní podíl průměrné roční hmotnosti EEZ uvedených na trh v daném členském státě v předchozích třech letech.</w:t>
      </w:r>
    </w:p>
    <w:p w:rsidR="00261D77" w:rsidRPr="00ED38E9" w:rsidRDefault="00261D77" w:rsidP="00261D77">
      <w:pPr>
        <w:rPr>
          <w:rFonts w:cs="Arial"/>
        </w:rPr>
      </w:pPr>
      <w:r w:rsidRPr="00ED38E9">
        <w:rPr>
          <w:rFonts w:cs="Arial"/>
        </w:rPr>
        <w:t>Členské státy mají dále za povinnost zajistit, aby se objem sebraných OEEZ v období od 2016 do 2019 postupně dále zvyšoval tak, aby od 2019 činila minimální úroveň sběru, které má být každoročně dosaženo, buď 65 % průměrné hmotnosti EEZ uvedených na trh v předchozích třech letech v dotčeném členském státě, anebo 85 % hmotnosti produkce OEEZ na území tohoto členského státu.</w:t>
      </w:r>
    </w:p>
    <w:p w:rsidR="00261D77" w:rsidRPr="00ED38E9" w:rsidRDefault="00261D77" w:rsidP="00261D77">
      <w:pPr>
        <w:rPr>
          <w:rFonts w:eastAsia="SimSun" w:cs="Arial"/>
          <w:color w:val="000000"/>
          <w:lang w:eastAsia="zh-CN"/>
        </w:rPr>
      </w:pPr>
      <w:r w:rsidRPr="00ED38E9">
        <w:rPr>
          <w:rFonts w:cs="Arial"/>
        </w:rPr>
        <w:t xml:space="preserve">Oproti výše uvedenému fixnímu cíli množství kilogramů tříděného sběru OEEZ z domácností na osobu a za rok má nový princip stanovení cílů zohlednit rozdílná množství OEEZ, která se vyskytují v každém členském státě, respektive velikostí a nasyceností jednotlivých trhů s EEZ v jednotlivých </w:t>
      </w:r>
      <w:r w:rsidR="00D241D4">
        <w:rPr>
          <w:rFonts w:cs="Arial"/>
        </w:rPr>
        <w:t>členských státech EU</w:t>
      </w:r>
      <w:r w:rsidRPr="00ED38E9">
        <w:rPr>
          <w:rFonts w:cs="Arial"/>
        </w:rPr>
        <w:t xml:space="preserve"> a jejich dynamiky vývoje v rozdílných letech. </w:t>
      </w:r>
    </w:p>
    <w:p w:rsidR="00261D77" w:rsidRPr="00ED38E9" w:rsidRDefault="00261D77" w:rsidP="00261D77">
      <w:pPr>
        <w:rPr>
          <w:rFonts w:cs="Arial"/>
        </w:rPr>
      </w:pPr>
      <w:r w:rsidRPr="00ED38E9">
        <w:rPr>
          <w:rFonts w:cs="Arial"/>
        </w:rPr>
        <w:t>Tyto rozdíly mezi členskými státy Směrnice OEEZ zohledňuje a stanovila výjimky v podobě možnosti volby pomalejšího nárůstu cílů sběru OEEZ pro několik členských států, mezi něž lze zařadit i ČR</w:t>
      </w:r>
      <w:r w:rsidRPr="00ED38E9">
        <w:rPr>
          <w:rStyle w:val="Znakapoznpodarou"/>
          <w:rFonts w:cs="Arial"/>
        </w:rPr>
        <w:footnoteReference w:id="1"/>
      </w:r>
      <w:r w:rsidRPr="00ED38E9">
        <w:rPr>
          <w:rFonts w:cs="Arial"/>
        </w:rPr>
        <w:t>.</w:t>
      </w:r>
    </w:p>
    <w:p w:rsidR="00261D77" w:rsidRPr="00ED38E9" w:rsidRDefault="00261D77" w:rsidP="00261D77">
      <w:pPr>
        <w:rPr>
          <w:rFonts w:cs="Arial"/>
          <w:b/>
          <w:bCs/>
        </w:rPr>
      </w:pPr>
      <w:r w:rsidRPr="00ED38E9">
        <w:rPr>
          <w:rFonts w:cs="Arial"/>
        </w:rPr>
        <w:t>Z důvodu udělené dočasné výjimky si ČR může zvolit pomalejší nárůst cílů sběru OEEZ podle výše uvedeného schématu a to tak, že do 14.</w:t>
      </w:r>
      <w:r w:rsidR="00D241D4">
        <w:rPr>
          <w:rFonts w:cs="Arial"/>
        </w:rPr>
        <w:t xml:space="preserve"> </w:t>
      </w:r>
      <w:r w:rsidRPr="00ED38E9">
        <w:rPr>
          <w:rFonts w:cs="Arial"/>
        </w:rPr>
        <w:t xml:space="preserve">8. 2016 může dosáhnout úrovně sběru nižšího než požadovaných 45 %, ale vyšší než 40 % průměrné hmotnosti EEZ uvedených na trh v předchozích třech letech. </w:t>
      </w:r>
      <w:r w:rsidRPr="00ED38E9">
        <w:rPr>
          <w:rFonts w:cs="Arial"/>
          <w:b/>
          <w:bCs/>
        </w:rPr>
        <w:t xml:space="preserve">Požadované výše cíle sběru 65 % v případě průměrné hmotnosti EEZ uvedených na trh v předešlých třech letech </w:t>
      </w:r>
      <w:r w:rsidR="00897DFF">
        <w:rPr>
          <w:rFonts w:cs="Arial"/>
          <w:b/>
          <w:bCs/>
        </w:rPr>
        <w:t>a</w:t>
      </w:r>
      <w:r w:rsidR="00FF0A24">
        <w:rPr>
          <w:rFonts w:cs="Arial"/>
          <w:b/>
          <w:bCs/>
        </w:rPr>
        <w:t>nebo 85 % z </w:t>
      </w:r>
      <w:r w:rsidRPr="00ED38E9">
        <w:rPr>
          <w:rFonts w:cs="Arial"/>
          <w:b/>
          <w:bCs/>
        </w:rPr>
        <w:t>vyprodukovaných OEEZ pak musí Česká republika dosáhnout nejpozději do 14. 8. 2021.</w:t>
      </w:r>
    </w:p>
    <w:p w:rsidR="00261D77" w:rsidRPr="00ED38E9" w:rsidRDefault="00261D77" w:rsidP="00261D77">
      <w:pPr>
        <w:rPr>
          <w:rFonts w:cs="Arial"/>
          <w:b/>
          <w:shd w:val="clear" w:color="auto" w:fill="FFFF00"/>
        </w:rPr>
      </w:pPr>
      <w:r w:rsidRPr="00ED38E9">
        <w:rPr>
          <w:rFonts w:cs="Arial"/>
        </w:rPr>
        <w:lastRenderedPageBreak/>
        <w:t xml:space="preserve">Jak ukazují dále  přehledy, budoucí požadavek Směrnice OEEZ na dosažení minimální úrovně </w:t>
      </w:r>
      <w:r w:rsidR="00E27FE7">
        <w:rPr>
          <w:rFonts w:cs="Arial"/>
        </w:rPr>
        <w:t xml:space="preserve">přesahující </w:t>
      </w:r>
      <w:r w:rsidRPr="00ED38E9">
        <w:rPr>
          <w:rFonts w:cs="Arial"/>
        </w:rPr>
        <w:t xml:space="preserve">alespoň 40 % </w:t>
      </w:r>
      <w:r w:rsidR="00E27FE7" w:rsidRPr="00ED38E9">
        <w:rPr>
          <w:rFonts w:cs="Arial"/>
        </w:rPr>
        <w:t>mír</w:t>
      </w:r>
      <w:r w:rsidR="00E27FE7">
        <w:rPr>
          <w:rFonts w:cs="Arial"/>
        </w:rPr>
        <w:t>u</w:t>
      </w:r>
      <w:r w:rsidR="00E27FE7" w:rsidRPr="00ED38E9">
        <w:rPr>
          <w:rFonts w:cs="Arial"/>
        </w:rPr>
        <w:t xml:space="preserve"> </w:t>
      </w:r>
      <w:r w:rsidRPr="00ED38E9">
        <w:rPr>
          <w:rFonts w:cs="Arial"/>
        </w:rPr>
        <w:t>sběru OEEZ v r. 2016</w:t>
      </w:r>
      <w:r w:rsidR="000D14C5">
        <w:rPr>
          <w:rFonts w:cs="Arial"/>
        </w:rPr>
        <w:t>,</w:t>
      </w:r>
      <w:r w:rsidRPr="00ED38E9">
        <w:rPr>
          <w:rFonts w:cs="Arial"/>
        </w:rPr>
        <w:t xml:space="preserve"> v případě ČR není </w:t>
      </w:r>
      <w:r w:rsidR="000D14C5">
        <w:rPr>
          <w:rFonts w:cs="Arial"/>
        </w:rPr>
        <w:t>při</w:t>
      </w:r>
      <w:r w:rsidRPr="00ED38E9">
        <w:rPr>
          <w:rFonts w:cs="Arial"/>
        </w:rPr>
        <w:t xml:space="preserve"> stávající</w:t>
      </w:r>
      <w:r w:rsidR="000D14C5">
        <w:rPr>
          <w:rFonts w:cs="Arial"/>
        </w:rPr>
        <w:t>m trendu</w:t>
      </w:r>
      <w:r w:rsidRPr="00ED38E9">
        <w:rPr>
          <w:rFonts w:cs="Arial"/>
        </w:rPr>
        <w:t xml:space="preserve"> </w:t>
      </w:r>
      <w:r w:rsidR="003C322D">
        <w:rPr>
          <w:rFonts w:cs="Arial"/>
        </w:rPr>
        <w:t>zvyšování</w:t>
      </w:r>
      <w:r w:rsidR="003C322D" w:rsidRPr="00ED38E9">
        <w:rPr>
          <w:rFonts w:cs="Arial"/>
        </w:rPr>
        <w:t xml:space="preserve"> </w:t>
      </w:r>
      <w:r w:rsidR="003C322D">
        <w:rPr>
          <w:rFonts w:cs="Arial"/>
        </w:rPr>
        <w:t>míry</w:t>
      </w:r>
      <w:r w:rsidRPr="00ED38E9">
        <w:rPr>
          <w:rFonts w:cs="Arial"/>
        </w:rPr>
        <w:t xml:space="preserve">zpětného odběru OEEZ v ČR </w:t>
      </w:r>
      <w:r w:rsidR="00897DFF">
        <w:rPr>
          <w:rFonts w:cs="Arial"/>
        </w:rPr>
        <w:t>dosažitelný</w:t>
      </w:r>
      <w:r w:rsidRPr="00ED38E9">
        <w:rPr>
          <w:rFonts w:cs="Arial"/>
        </w:rPr>
        <w:t xml:space="preserve"> V r. 2013 dosáhla ČR úrovně zpětného odběru OEEZ ve výši </w:t>
      </w:r>
      <w:r w:rsidRPr="00ED38E9">
        <w:rPr>
          <w:rFonts w:cs="Arial"/>
          <w:b/>
          <w:bCs/>
        </w:rPr>
        <w:t>29,8 %</w:t>
      </w:r>
      <w:r w:rsidRPr="00ED38E9">
        <w:rPr>
          <w:rFonts w:cs="Arial"/>
        </w:rPr>
        <w:t xml:space="preserve"> průměrné hmotnosti EEZ uvedených na trh v předchozích třech letech, v r. 2012 pak </w:t>
      </w:r>
      <w:r w:rsidRPr="00ED38E9">
        <w:rPr>
          <w:rFonts w:cs="Arial"/>
          <w:b/>
          <w:bCs/>
        </w:rPr>
        <w:t>31,8 %,</w:t>
      </w:r>
      <w:r w:rsidRPr="00ED38E9">
        <w:rPr>
          <w:rFonts w:cs="Arial"/>
        </w:rPr>
        <w:t xml:space="preserve"> tzn., že meziročně dokonce došlo k poklesu úrovně zpětného odběru o 2 %. </w:t>
      </w:r>
      <w:r w:rsidRPr="00ED38E9">
        <w:rPr>
          <w:rFonts w:cs="Arial"/>
          <w:b/>
        </w:rPr>
        <w:t xml:space="preserve">Od sledovaného období roku 2008 tato hodnota nepřekročila 32 %.  </w:t>
      </w:r>
    </w:p>
    <w:p w:rsidR="00261D77" w:rsidRPr="00ED38E9" w:rsidRDefault="00261D77" w:rsidP="00261D77">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16</w:t>
      </w:r>
      <w:r w:rsidR="00381FB7" w:rsidRPr="00ED38E9">
        <w:rPr>
          <w:rFonts w:cs="Arial"/>
        </w:rPr>
        <w:fldChar w:fldCharType="end"/>
      </w:r>
      <w:r w:rsidRPr="00ED38E9">
        <w:rPr>
          <w:rFonts w:cs="Arial"/>
        </w:rPr>
        <w:t>: Plnění cílů zpětného odběru a odděleného sběru elektroodpadů</w:t>
      </w:r>
    </w:p>
    <w:tbl>
      <w:tblPr>
        <w:tblW w:w="88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91"/>
        <w:gridCol w:w="1191"/>
        <w:gridCol w:w="1191"/>
        <w:gridCol w:w="1191"/>
        <w:gridCol w:w="1191"/>
        <w:gridCol w:w="1191"/>
      </w:tblGrid>
      <w:tr w:rsidR="00261D77" w:rsidRPr="000B7CBF" w:rsidTr="002A3964">
        <w:trPr>
          <w:trHeight w:val="488"/>
        </w:trPr>
        <w:tc>
          <w:tcPr>
            <w:tcW w:w="1701" w:type="dxa"/>
            <w:shd w:val="clear" w:color="9999FF" w:fill="C0C0C0"/>
            <w:vAlign w:val="center"/>
          </w:tcPr>
          <w:p w:rsidR="00261D77" w:rsidRPr="000B7CBF" w:rsidRDefault="00261D77" w:rsidP="002A3964">
            <w:pPr>
              <w:spacing w:line="240" w:lineRule="auto"/>
              <w:jc w:val="left"/>
              <w:rPr>
                <w:rFonts w:cs="Arial"/>
                <w:color w:val="000080"/>
                <w:szCs w:val="22"/>
                <w:lang w:eastAsia="zh-CN"/>
              </w:rPr>
            </w:pPr>
            <w:r w:rsidRPr="000B7CBF">
              <w:rPr>
                <w:rFonts w:cs="Arial"/>
                <w:color w:val="000080"/>
                <w:szCs w:val="22"/>
                <w:lang w:eastAsia="zh-CN"/>
              </w:rPr>
              <w:t>Rok</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2008</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2009</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2010</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2011</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2012</w:t>
            </w:r>
          </w:p>
        </w:tc>
        <w:tc>
          <w:tcPr>
            <w:tcW w:w="1191" w:type="dxa"/>
            <w:shd w:val="clear" w:color="9999FF" w:fill="C0C0C0"/>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2013</w:t>
            </w:r>
          </w:p>
        </w:tc>
      </w:tr>
      <w:tr w:rsidR="00261D77" w:rsidRPr="000B7CBF" w:rsidTr="002A3964">
        <w:trPr>
          <w:trHeight w:val="489"/>
        </w:trPr>
        <w:tc>
          <w:tcPr>
            <w:tcW w:w="1701" w:type="dxa"/>
            <w:shd w:val="clear" w:color="9999FF" w:fill="C0C0C0"/>
            <w:vAlign w:val="center"/>
          </w:tcPr>
          <w:p w:rsidR="00261D77" w:rsidRPr="000B7CBF" w:rsidRDefault="00261D77" w:rsidP="002A3964">
            <w:pPr>
              <w:spacing w:line="240" w:lineRule="auto"/>
              <w:jc w:val="left"/>
              <w:rPr>
                <w:rFonts w:cs="Arial"/>
                <w:color w:val="000080"/>
                <w:szCs w:val="22"/>
                <w:lang w:eastAsia="zh-CN"/>
              </w:rPr>
            </w:pPr>
            <w:r w:rsidRPr="000B7CBF">
              <w:rPr>
                <w:rFonts w:cs="Arial"/>
                <w:color w:val="000080"/>
                <w:szCs w:val="22"/>
                <w:lang w:eastAsia="zh-CN"/>
              </w:rPr>
              <w:t>Plnění cílů (%)</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21,5</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32</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31,9</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30,4</w:t>
            </w:r>
          </w:p>
        </w:tc>
        <w:tc>
          <w:tcPr>
            <w:tcW w:w="1191" w:type="dxa"/>
            <w:shd w:val="clear" w:color="9999FF" w:fill="C0C0C0"/>
            <w:noWrap/>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31,8</w:t>
            </w:r>
          </w:p>
        </w:tc>
        <w:tc>
          <w:tcPr>
            <w:tcW w:w="1191" w:type="dxa"/>
            <w:shd w:val="clear" w:color="9999FF" w:fill="C0C0C0"/>
            <w:vAlign w:val="center"/>
          </w:tcPr>
          <w:p w:rsidR="00261D77" w:rsidRPr="000B7CBF" w:rsidRDefault="00261D77" w:rsidP="002A3964">
            <w:pPr>
              <w:spacing w:line="240" w:lineRule="auto"/>
              <w:jc w:val="center"/>
              <w:rPr>
                <w:rFonts w:cs="Arial"/>
                <w:color w:val="000080"/>
                <w:szCs w:val="22"/>
                <w:lang w:eastAsia="zh-CN"/>
              </w:rPr>
            </w:pPr>
            <w:r w:rsidRPr="000B7CBF">
              <w:rPr>
                <w:rFonts w:cs="Arial"/>
                <w:color w:val="000080"/>
                <w:szCs w:val="22"/>
                <w:lang w:eastAsia="zh-CN"/>
              </w:rPr>
              <w:t>29,8</w:t>
            </w:r>
          </w:p>
        </w:tc>
      </w:tr>
    </w:tbl>
    <w:p w:rsidR="00261D77" w:rsidRPr="00ED38E9" w:rsidRDefault="00261D77" w:rsidP="00261D77">
      <w:pPr>
        <w:rPr>
          <w:rFonts w:cs="Arial"/>
          <w:shd w:val="clear" w:color="auto" w:fill="FFFF00"/>
        </w:rPr>
      </w:pPr>
    </w:p>
    <w:p w:rsidR="00261D77" w:rsidRPr="00ED38E9" w:rsidRDefault="00261D77" w:rsidP="00261D77">
      <w:pPr>
        <w:jc w:val="left"/>
        <w:rPr>
          <w:rFonts w:cs="Arial"/>
          <w:shd w:val="clear" w:color="auto" w:fill="FFFF00"/>
        </w:rPr>
      </w:pPr>
      <w:r w:rsidRPr="00ED38E9">
        <w:rPr>
          <w:rFonts w:cs="Arial"/>
          <w:shd w:val="clear" w:color="auto" w:fill="FFFF00"/>
          <w:lang w:eastAsia="cs-CZ" w:bidi="ar-SA"/>
        </w:rPr>
        <w:drawing>
          <wp:inline distT="0" distB="0" distL="0" distR="0" wp14:anchorId="2FFCCC20" wp14:editId="102FC24B">
            <wp:extent cx="3816350" cy="2289810"/>
            <wp:effectExtent l="0" t="0" r="0" b="0"/>
            <wp:docPr id="796" name="Obráze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6350" cy="2289810"/>
                    </a:xfrm>
                    <a:prstGeom prst="rect">
                      <a:avLst/>
                    </a:prstGeom>
                    <a:noFill/>
                    <a:ln>
                      <a:noFill/>
                    </a:ln>
                  </pic:spPr>
                </pic:pic>
              </a:graphicData>
            </a:graphic>
          </wp:inline>
        </w:drawing>
      </w:r>
    </w:p>
    <w:p w:rsidR="00261D77" w:rsidRPr="00ED38E9" w:rsidRDefault="00261D77" w:rsidP="00261D77">
      <w:pPr>
        <w:spacing w:after="120"/>
        <w:rPr>
          <w:rFonts w:cs="Arial"/>
          <w:sz w:val="18"/>
          <w:szCs w:val="18"/>
        </w:rPr>
      </w:pPr>
      <w:r w:rsidRPr="00ED38E9">
        <w:rPr>
          <w:rFonts w:cs="Arial"/>
          <w:sz w:val="18"/>
          <w:szCs w:val="18"/>
        </w:rPr>
        <w:t>Zdroj MŽP a CENIA</w:t>
      </w:r>
    </w:p>
    <w:p w:rsidR="00261D77" w:rsidRPr="00ED38E9" w:rsidRDefault="00261D77" w:rsidP="00261D77">
      <w:pPr>
        <w:spacing w:after="120"/>
        <w:rPr>
          <w:rFonts w:cs="Arial"/>
        </w:rPr>
      </w:pPr>
      <w:r w:rsidRPr="00ED38E9">
        <w:rPr>
          <w:rFonts w:cs="Arial"/>
        </w:rPr>
        <w:t xml:space="preserve">Nově požadované cíle sběru dle požadavků Směrnice OEEZ a jejich promítnutí do národní právní úpravy jako celkového cíle </w:t>
      </w:r>
      <w:r w:rsidR="003C322D">
        <w:rPr>
          <w:rFonts w:cs="Arial"/>
        </w:rPr>
        <w:t>představují</w:t>
      </w:r>
      <w:r w:rsidR="003C322D" w:rsidRPr="00ED38E9">
        <w:rPr>
          <w:rFonts w:cs="Arial"/>
        </w:rPr>
        <w:t xml:space="preserve"> </w:t>
      </w:r>
      <w:r w:rsidRPr="00ED38E9">
        <w:rPr>
          <w:rFonts w:cs="Arial"/>
        </w:rPr>
        <w:t xml:space="preserve">tedy </w:t>
      </w:r>
      <w:r w:rsidR="003C322D">
        <w:rPr>
          <w:rFonts w:cs="Arial"/>
        </w:rPr>
        <w:t>nutnost</w:t>
      </w:r>
      <w:r w:rsidR="003C322D" w:rsidRPr="00ED38E9">
        <w:rPr>
          <w:rFonts w:cs="Arial"/>
        </w:rPr>
        <w:t xml:space="preserve"> </w:t>
      </w:r>
      <w:r w:rsidR="003C322D">
        <w:rPr>
          <w:rFonts w:cs="Arial"/>
        </w:rPr>
        <w:t>přijmout taková opatření,</w:t>
      </w:r>
      <w:r w:rsidR="003C322D" w:rsidRPr="00ED38E9">
        <w:rPr>
          <w:rFonts w:cs="Arial"/>
        </w:rPr>
        <w:t xml:space="preserve"> </w:t>
      </w:r>
      <w:r w:rsidR="00B53699">
        <w:rPr>
          <w:rFonts w:cs="Arial"/>
        </w:rPr>
        <w:t>která povedeou ke splnění požadovaného cíle.</w:t>
      </w:r>
      <w:r w:rsidRPr="00ED38E9">
        <w:rPr>
          <w:rFonts w:cs="Arial"/>
        </w:rPr>
        <w:t xml:space="preserve"> Směrnice OEEZ stanovuje cíl sběru OEEZ na členský stát </w:t>
      </w:r>
      <w:r w:rsidR="00B53699">
        <w:rPr>
          <w:rFonts w:cs="Arial"/>
        </w:rPr>
        <w:t xml:space="preserve">vypočítaný z celkového množství </w:t>
      </w:r>
      <w:r w:rsidRPr="00ED38E9">
        <w:rPr>
          <w:rFonts w:cs="Arial"/>
        </w:rPr>
        <w:t xml:space="preserve">sebraných OEEZ ze všech šesti skupin EEZ (po nabytí účinnosti nového členění dle skupin v r. 2018 uvedených v Tabulce č. </w:t>
      </w:r>
      <w:r w:rsidR="00E359DB">
        <w:rPr>
          <w:rFonts w:cs="Arial"/>
        </w:rPr>
        <w:t>16</w:t>
      </w:r>
      <w:r w:rsidRPr="00ED38E9">
        <w:rPr>
          <w:rFonts w:cs="Arial"/>
        </w:rPr>
        <w:t>).</w:t>
      </w:r>
    </w:p>
    <w:p w:rsidR="00261D77" w:rsidRPr="00ED38E9" w:rsidRDefault="00261D77" w:rsidP="00261D77">
      <w:pPr>
        <w:rPr>
          <w:rFonts w:cs="Arial"/>
        </w:rPr>
      </w:pPr>
      <w:r w:rsidRPr="00ED38E9">
        <w:rPr>
          <w:rFonts w:cs="Arial"/>
        </w:rPr>
        <w:t>V této souvislosti je nutné uvést, že</w:t>
      </w:r>
      <w:r w:rsidR="00897DFF">
        <w:rPr>
          <w:rFonts w:cs="Arial"/>
        </w:rPr>
        <w:t xml:space="preserve"> sběr,</w:t>
      </w:r>
      <w:r w:rsidRPr="00ED38E9">
        <w:rPr>
          <w:rFonts w:cs="Arial"/>
        </w:rPr>
        <w:t xml:space="preserve"> zpracování a recyklace některých skupin EEZ je ve srovnání s jinými skupinami EEZ technologicky náročnější, s čímž jsou spojeny </w:t>
      </w:r>
      <w:r w:rsidR="00B53699">
        <w:rPr>
          <w:rFonts w:cs="Arial"/>
        </w:rPr>
        <w:t xml:space="preserve">i </w:t>
      </w:r>
      <w:r w:rsidRPr="00ED38E9">
        <w:rPr>
          <w:rFonts w:cs="Arial"/>
        </w:rPr>
        <w:t xml:space="preserve">vyšší náklady, což ve výsledku znamená negativní nebo jen mírně pozitivní hodnotu sebraných odpadů z hlediska nákladů na jejich </w:t>
      </w:r>
      <w:r w:rsidR="00B53699">
        <w:rPr>
          <w:rFonts w:cs="Arial"/>
        </w:rPr>
        <w:t>zpracování</w:t>
      </w:r>
      <w:r w:rsidRPr="00ED38E9">
        <w:rPr>
          <w:rFonts w:cs="Arial"/>
        </w:rPr>
        <w:t xml:space="preserve">. U těchto OEEZ je nicméně s ohledem na životní prostředí vysoce žádoucí, aby byly </w:t>
      </w:r>
      <w:r w:rsidR="00B53699">
        <w:rPr>
          <w:rFonts w:cs="Arial"/>
        </w:rPr>
        <w:t>řádně</w:t>
      </w:r>
      <w:r w:rsidR="00B53699" w:rsidRPr="00ED38E9">
        <w:rPr>
          <w:rFonts w:cs="Arial"/>
        </w:rPr>
        <w:t xml:space="preserve"> </w:t>
      </w:r>
      <w:r w:rsidRPr="00ED38E9">
        <w:rPr>
          <w:rFonts w:cs="Arial"/>
        </w:rPr>
        <w:t xml:space="preserve">tříděny a nestávaly se součástí směsných komunálních odpadů. Týká se </w:t>
      </w:r>
      <w:r w:rsidR="000B7CBF">
        <w:rPr>
          <w:rFonts w:cs="Arial"/>
        </w:rPr>
        <w:t xml:space="preserve">to </w:t>
      </w:r>
      <w:r w:rsidR="00B53699">
        <w:rPr>
          <w:rFonts w:cs="Arial"/>
        </w:rPr>
        <w:t xml:space="preserve">zejména </w:t>
      </w:r>
      <w:r w:rsidRPr="00ED38E9">
        <w:rPr>
          <w:rFonts w:cs="Arial"/>
        </w:rPr>
        <w:t>elektrozařízení, která obsahují řadu látek problematických ve vztahu k životnímu prostředí.</w:t>
      </w:r>
    </w:p>
    <w:p w:rsidR="00261D77" w:rsidRPr="00ED38E9" w:rsidRDefault="00261D77" w:rsidP="00261D77">
      <w:pPr>
        <w:spacing w:before="120"/>
        <w:rPr>
          <w:rFonts w:eastAsia="SimSun" w:cs="Arial"/>
        </w:rPr>
      </w:pPr>
      <w:r w:rsidRPr="00ED38E9">
        <w:rPr>
          <w:rFonts w:eastAsia="SimSun" w:cs="Arial"/>
        </w:rPr>
        <w:t xml:space="preserve">Členské </w:t>
      </w:r>
      <w:r w:rsidRPr="00ED38E9">
        <w:rPr>
          <w:rFonts w:cs="Arial"/>
        </w:rPr>
        <w:t>státy</w:t>
      </w:r>
      <w:r w:rsidRPr="00ED38E9">
        <w:rPr>
          <w:rFonts w:eastAsia="SimSun" w:cs="Arial"/>
        </w:rPr>
        <w:t xml:space="preserve"> jsou povinny přijmout vhodná opatření k minimalizaci odstraňování OEEZ ve formě netříděného komunálního odpadu, k zajištění řádného zpracování všech sebraných OEEZ a k dosažení vysoké úrovně tříděného sběru OEEZ, a to zejména a přednostně u zařízení pro tepelnou výměnu, která obsahují látky poškozující ozonovou vrstvu a fluorované skleníkové plyny, u zářivek obsahujících rtuť, u fotovoltaických panelů a u malých zařízení uvedených v kategoriích 5 a 6 v příloze III Směrnice OEEZ.</w:t>
      </w:r>
    </w:p>
    <w:p w:rsidR="00261D77" w:rsidRPr="00ED38E9" w:rsidRDefault="00261D77" w:rsidP="00261D77">
      <w:pPr>
        <w:spacing w:before="120"/>
        <w:rPr>
          <w:rFonts w:cs="Arial"/>
        </w:rPr>
      </w:pPr>
      <w:r w:rsidRPr="00ED38E9">
        <w:rPr>
          <w:rFonts w:cs="Arial"/>
        </w:rPr>
        <w:lastRenderedPageBreak/>
        <w:t xml:space="preserve">Z tohoto důvodu je potřeba zvážit řešení směřující k zajištění </w:t>
      </w:r>
      <w:r w:rsidR="00F15456">
        <w:rPr>
          <w:rFonts w:cs="Arial"/>
        </w:rPr>
        <w:t xml:space="preserve">samostatných </w:t>
      </w:r>
      <w:r w:rsidRPr="00ED38E9">
        <w:rPr>
          <w:rFonts w:cs="Arial"/>
        </w:rPr>
        <w:t xml:space="preserve">cílů sběru OEEZ v evidenčních skupinách č. 1, 2 a 3 (dle klasifikace Směrnice OEEZ) zejména z toho důvodu, že se v těchto skupinách jedná o EEZ, která obsahují řadu látek problematických ve vztahu k životnímu prostředí (zejména rtuť, luminofory, teplonosná média), a musí jim být tedy věnována vyšší pozornost. Zpracování těchto odpadů je ve srovnání s jinými skupinami EEZ také technologicky náročnější, </w:t>
      </w:r>
      <w:r w:rsidR="00B53699">
        <w:rPr>
          <w:rFonts w:cs="Arial"/>
        </w:rPr>
        <w:t xml:space="preserve">což znamená, že je i finančně nákladnější. Vzniká tak situace, že odpady z těchto zpětně odebraných výrobků mají při zohlednění nákladů na jejich zpracování buď přímo </w:t>
      </w:r>
      <w:r w:rsidR="00B53699" w:rsidRPr="00B53699">
        <w:rPr>
          <w:rFonts w:cs="Arial"/>
        </w:rPr>
        <w:t>negativní nebo jen mírně pozitivní hodnotou</w:t>
      </w:r>
      <w:r w:rsidR="00B53699">
        <w:rPr>
          <w:rFonts w:cs="Arial"/>
        </w:rPr>
        <w:t>, a výrobci či kolektivní systémy jsou nuceni zpracovatelům přinejmenším určitou část nákladů vynaloženou na jejich zpracování subvencovat.</w:t>
      </w:r>
      <w:r w:rsidR="00B53699" w:rsidRPr="00ED38E9" w:rsidDel="00B53699">
        <w:rPr>
          <w:rFonts w:cs="Arial"/>
        </w:rPr>
        <w:t xml:space="preserve"> </w:t>
      </w:r>
    </w:p>
    <w:p w:rsidR="00261D77" w:rsidRPr="00ED38E9" w:rsidRDefault="00E20907" w:rsidP="00261D77">
      <w:pPr>
        <w:spacing w:before="120"/>
        <w:rPr>
          <w:rFonts w:cs="Arial"/>
        </w:rPr>
      </w:pPr>
      <w:r>
        <w:rPr>
          <w:rFonts w:cs="Arial"/>
        </w:rPr>
        <w:t>Při nestanovení samostatných cílů pro uvedené skupiny EEZ</w:t>
      </w:r>
      <w:r w:rsidRPr="00ED38E9">
        <w:rPr>
          <w:rFonts w:cs="Arial"/>
        </w:rPr>
        <w:t xml:space="preserve"> </w:t>
      </w:r>
      <w:r w:rsidR="00261D77" w:rsidRPr="00ED38E9">
        <w:rPr>
          <w:rFonts w:cs="Arial"/>
        </w:rPr>
        <w:t xml:space="preserve">existuje riziko, že v následujících letech při postupném, avšak pravidelném zvyšování </w:t>
      </w:r>
      <w:r>
        <w:rPr>
          <w:rFonts w:cs="Arial"/>
        </w:rPr>
        <w:t xml:space="preserve">povinné </w:t>
      </w:r>
      <w:r w:rsidR="00261D77" w:rsidRPr="00ED38E9">
        <w:rPr>
          <w:rFonts w:cs="Arial"/>
        </w:rPr>
        <w:t>minimální úrovně sběru stanoveného součtem všech sebraných skupin EEZ, bude pro kolektivní systémy jednodušší svůj zákonný cíl plnit sběrem jiných</w:t>
      </w:r>
      <w:r w:rsidR="000B7CBF">
        <w:rPr>
          <w:rFonts w:cs="Arial"/>
        </w:rPr>
        <w:t xml:space="preserve">, </w:t>
      </w:r>
      <w:r w:rsidR="00261D77" w:rsidRPr="00ED38E9">
        <w:rPr>
          <w:rFonts w:cs="Arial"/>
        </w:rPr>
        <w:t>těžších a snadněji získatelných</w:t>
      </w:r>
      <w:r w:rsidR="00FF0A24">
        <w:rPr>
          <w:rFonts w:cs="Arial"/>
        </w:rPr>
        <w:t xml:space="preserve"> i </w:t>
      </w:r>
      <w:r>
        <w:rPr>
          <w:rFonts w:cs="Arial"/>
        </w:rPr>
        <w:t>zpracovatelných</w:t>
      </w:r>
      <w:r w:rsidR="00261D77" w:rsidRPr="00ED38E9">
        <w:rPr>
          <w:rFonts w:cs="Arial"/>
        </w:rPr>
        <w:t xml:space="preserve"> OEEZ, tj. nahrazovat sběrem EEZ z jiných „hmotnějších“ skupin (např. sk. 4 - velká zařízení, jejichž kterýkoliv vnější rozměr přesáhne 50 cm) a tím </w:t>
      </w:r>
      <w:r>
        <w:rPr>
          <w:rFonts w:cs="Arial"/>
        </w:rPr>
        <w:t>dojde k</w:t>
      </w:r>
      <w:r w:rsidR="00261D77" w:rsidRPr="00ED38E9">
        <w:rPr>
          <w:rFonts w:cs="Arial"/>
        </w:rPr>
        <w:t xml:space="preserve"> poklesu či </w:t>
      </w:r>
      <w:r>
        <w:rPr>
          <w:rFonts w:cs="Arial"/>
        </w:rPr>
        <w:t>stagnaci</w:t>
      </w:r>
      <w:r w:rsidRPr="00ED38E9">
        <w:rPr>
          <w:rFonts w:cs="Arial"/>
        </w:rPr>
        <w:t xml:space="preserve"> </w:t>
      </w:r>
      <w:r w:rsidR="00261D77" w:rsidRPr="00ED38E9">
        <w:rPr>
          <w:rFonts w:cs="Arial"/>
        </w:rPr>
        <w:t>sběru např. světelných zdrojů</w:t>
      </w:r>
      <w:r>
        <w:rPr>
          <w:rFonts w:cs="Arial"/>
        </w:rPr>
        <w:t>, ledniček nebo výrobků jejichž součástí je zobrazovací technika</w:t>
      </w:r>
      <w:r w:rsidR="00261D77" w:rsidRPr="00ED38E9">
        <w:rPr>
          <w:rFonts w:cs="Arial"/>
        </w:rPr>
        <w:t xml:space="preserve">. </w:t>
      </w:r>
    </w:p>
    <w:p w:rsidR="00261D77" w:rsidRPr="00ED38E9" w:rsidRDefault="00261D77" w:rsidP="00261D77">
      <w:pPr>
        <w:rPr>
          <w:rFonts w:cs="Arial"/>
        </w:rPr>
      </w:pPr>
      <w:r w:rsidRPr="00ED38E9">
        <w:rPr>
          <w:rFonts w:cs="Arial"/>
        </w:rPr>
        <w:t xml:space="preserve">U výše uvedených odpadů je nicméně s ohledem na životní prostředí vysoce žádoucí, aby byly zpětně odebírány, tříděny a ekologicky </w:t>
      </w:r>
      <w:r w:rsidR="00E20907">
        <w:rPr>
          <w:rFonts w:cs="Arial"/>
        </w:rPr>
        <w:t>zpracovávány, resp.</w:t>
      </w:r>
      <w:r w:rsidRPr="00ED38E9">
        <w:rPr>
          <w:rFonts w:cs="Arial"/>
        </w:rPr>
        <w:t xml:space="preserve"> recyklovány</w:t>
      </w:r>
      <w:r w:rsidR="00E20907">
        <w:rPr>
          <w:rFonts w:cs="Arial"/>
        </w:rPr>
        <w:t>,</w:t>
      </w:r>
      <w:r w:rsidRPr="00ED38E9">
        <w:rPr>
          <w:rFonts w:cs="Arial"/>
        </w:rPr>
        <w:t xml:space="preserve"> a nestávaly se součástí směsných komunálních odpadů. </w:t>
      </w:r>
    </w:p>
    <w:p w:rsidR="00261D77" w:rsidRPr="00ED38E9" w:rsidRDefault="00261D77" w:rsidP="00261D77">
      <w:pPr>
        <w:spacing w:before="120"/>
        <w:rPr>
          <w:rFonts w:cs="Arial"/>
        </w:rPr>
      </w:pPr>
      <w:r w:rsidRPr="00ED38E9">
        <w:rPr>
          <w:rFonts w:cs="Arial"/>
        </w:rPr>
        <w:t xml:space="preserve">Stanovení samostatných cílů pro skupiny 1, 2 a 3 by mělo napomoci eliminovat také problém, který se v současnosti často vyskytuje. Jedná se o situaci, kdy </w:t>
      </w:r>
      <w:r w:rsidRPr="00ED38E9">
        <w:rPr>
          <w:rFonts w:cs="Arial"/>
          <w:b/>
        </w:rPr>
        <w:t>některé kolektivní systémy sice formálně provozují sběrná místa</w:t>
      </w:r>
      <w:r w:rsidRPr="00ED38E9">
        <w:rPr>
          <w:rFonts w:cs="Arial"/>
        </w:rPr>
        <w:t xml:space="preserve"> (např. ve spolupráci s posledními prodejci, servisy, svozovými společnostmi), ale nedostatečně tato sběrná místa obhospodařují, zejména pokud jde o frekvenci svozu. Tímto způsobem si sice kolektivní sys</w:t>
      </w:r>
      <w:r w:rsidR="00FF0A24">
        <w:rPr>
          <w:rFonts w:cs="Arial"/>
        </w:rPr>
        <w:t>tém snižuje provozní náklady (a </w:t>
      </w:r>
      <w:r w:rsidRPr="00ED38E9">
        <w:rPr>
          <w:rFonts w:cs="Arial"/>
        </w:rPr>
        <w:t>de facto získáv</w:t>
      </w:r>
      <w:r w:rsidR="005067A9">
        <w:rPr>
          <w:rFonts w:cs="Arial"/>
        </w:rPr>
        <w:t>á</w:t>
      </w:r>
      <w:r w:rsidRPr="00ED38E9">
        <w:rPr>
          <w:rFonts w:cs="Arial"/>
        </w:rPr>
        <w:t xml:space="preserve"> konkurenční výhodu), ale provozovatel místa zpětného odběru v důsledku takovéhoto jednání, ve snaze zbavit se sebraného OEEZ, odnáší sebrané elektroodpady bezplatně do míst zpětného odběru, které provozují jiné kolektivní systémy. V reálné praxi bývá situace ještě složitější, kdy např. některá místa zpětného odběru u posledních prodejců obhospodařují různé společnosti (např. svozové), které jsou smluvně navázány i na více kolektivních systémů. Pokud ale určitý KS nevytvoří optimální podmínky pro to, aby mohly tyto společnosti sebraná EEZ jednoduše předávat právě jemu, dochází opět k výše uvedenému „</w:t>
      </w:r>
      <w:r w:rsidRPr="00ED38E9">
        <w:rPr>
          <w:rFonts w:cs="Arial"/>
          <w:b/>
        </w:rPr>
        <w:t>parazitování</w:t>
      </w:r>
      <w:r w:rsidRPr="00ED38E9">
        <w:rPr>
          <w:rFonts w:cs="Arial"/>
        </w:rPr>
        <w:t>“ na sběrné síti jiného kolektivního systému, který pak nese veškerou tíhu nákladů na zpracování. Toto jednání, které lze v současnosti obtížně odhalovat i postihovat</w:t>
      </w:r>
      <w:r w:rsidR="000B7CBF">
        <w:rPr>
          <w:rFonts w:cs="Arial"/>
        </w:rPr>
        <w:t>,</w:t>
      </w:r>
      <w:r w:rsidRPr="00ED38E9">
        <w:rPr>
          <w:rFonts w:cs="Arial"/>
        </w:rPr>
        <w:t xml:space="preserve"> je typické zejména při </w:t>
      </w:r>
      <w:r w:rsidRPr="00ED38E9">
        <w:rPr>
          <w:rFonts w:cs="Arial"/>
          <w:b/>
        </w:rPr>
        <w:t>sběru osvětlovacích zdrojů</w:t>
      </w:r>
      <w:r w:rsidRPr="00ED38E9">
        <w:rPr>
          <w:rFonts w:cs="Arial"/>
        </w:rPr>
        <w:t xml:space="preserve"> (skupina 3 podle </w:t>
      </w:r>
      <w:r w:rsidR="005067A9">
        <w:rPr>
          <w:rFonts w:cs="Arial"/>
        </w:rPr>
        <w:t xml:space="preserve">nové </w:t>
      </w:r>
      <w:r w:rsidRPr="00ED38E9">
        <w:rPr>
          <w:rFonts w:cs="Arial"/>
        </w:rPr>
        <w:t xml:space="preserve">klasifikace dle Směrnice OEEZ), a to zejména z důvodu jejich vysokých nákladů na zpracování. Pokud by nebyly stanoveny specifické cíle pro sběr vybraných skupin EEZ, jako je tomu v současnosti, tzn. pro KS by bylo závazné dosažení cíle sběru stanoveného součtem všech sebraných skupin EEZ, reálně by mohla nastat situace, kdy by určitý KS prakticky nemusel realizovat sběr např. světelných zdrojů, nebo by ho realizoval obstrukčními způsoby uvedenými výše, neboť by měl zcela legální možnost, aby svůj zákonný cíl splnil sběrem jiných (těžších a snadněji získatelných) OEEZ, např. ledniček nebo televizorů. </w:t>
      </w:r>
    </w:p>
    <w:p w:rsidR="00261D77" w:rsidRPr="00ED38E9" w:rsidRDefault="00261D77" w:rsidP="005D660F">
      <w:pPr>
        <w:pStyle w:val="Nadpis3"/>
      </w:pPr>
      <w:r w:rsidRPr="00ED38E9">
        <w:lastRenderedPageBreak/>
        <w:t>Popis existujícího právního stavu v dané oblasti</w:t>
      </w:r>
    </w:p>
    <w:p w:rsidR="00261D77" w:rsidRPr="00ED38E9" w:rsidRDefault="00261D77" w:rsidP="00261D77">
      <w:pPr>
        <w:rPr>
          <w:rFonts w:eastAsia="SimSun" w:cs="Arial"/>
          <w:lang w:eastAsia="zh-CN"/>
        </w:rPr>
      </w:pPr>
      <w:r w:rsidRPr="00ED38E9">
        <w:rPr>
          <w:rFonts w:eastAsia="SimSun" w:cs="Arial"/>
          <w:lang w:eastAsia="zh-CN"/>
        </w:rPr>
        <w:t xml:space="preserve">Obecný rámec pro fungování systému zpětného odběru elektrozařízení a odděleného sběru elektroodpadů nastavuje směrnice OEEZ. Tato nová evropská právní úprava nahrazuje původní směrnici 2002/96/ES o odpadních elektrických a elektronických zařízeních. Směrnice 2012/19/EU o odpadních elektrických a elektronických zařízeních byla </w:t>
      </w:r>
      <w:r w:rsidR="00720435">
        <w:rPr>
          <w:rFonts w:eastAsia="SimSun" w:cs="Arial"/>
          <w:lang w:eastAsia="zh-CN"/>
        </w:rPr>
        <w:t>transponována</w:t>
      </w:r>
      <w:r w:rsidR="00720435" w:rsidRPr="00ED38E9">
        <w:rPr>
          <w:rFonts w:eastAsia="SimSun" w:cs="Arial"/>
          <w:lang w:eastAsia="zh-CN"/>
        </w:rPr>
        <w:t xml:space="preserve"> </w:t>
      </w:r>
      <w:r w:rsidRPr="00ED38E9">
        <w:rPr>
          <w:rFonts w:eastAsia="SimSun" w:cs="Arial"/>
          <w:lang w:eastAsia="zh-CN"/>
        </w:rPr>
        <w:t xml:space="preserve">do zákona o odpadech zákonem č. 184/2014 Sb. </w:t>
      </w:r>
      <w:r w:rsidR="00720435">
        <w:rPr>
          <w:rFonts w:eastAsia="SimSun" w:cs="Arial"/>
          <w:lang w:eastAsia="zh-CN"/>
        </w:rPr>
        <w:t>Uvedená</w:t>
      </w:r>
      <w:r w:rsidRPr="00ED38E9">
        <w:rPr>
          <w:rFonts w:eastAsia="SimSun" w:cs="Arial"/>
          <w:lang w:eastAsia="zh-CN"/>
        </w:rPr>
        <w:t xml:space="preserve"> novela zákona o odpadech nabyla účinnosti dne 1. října 2014. </w:t>
      </w:r>
    </w:p>
    <w:p w:rsidR="00261D77" w:rsidRPr="000B7CBF" w:rsidRDefault="00261D77" w:rsidP="00261D77">
      <w:pPr>
        <w:spacing w:before="120"/>
        <w:rPr>
          <w:rFonts w:eastAsia="SimSun" w:cs="Arial"/>
          <w:color w:val="000000"/>
          <w:szCs w:val="22"/>
          <w:lang w:eastAsia="zh-CN"/>
        </w:rPr>
      </w:pPr>
      <w:r w:rsidRPr="000B7CBF">
        <w:rPr>
          <w:rFonts w:eastAsia="SimSun" w:cs="Arial"/>
          <w:color w:val="000000"/>
          <w:szCs w:val="22"/>
          <w:lang w:eastAsia="zh-CN"/>
        </w:rPr>
        <w:t xml:space="preserve">V České republice je problematika nakládání s odpadními elektrickými a elektronickými zařízeními upravena následujícími právními předpisy: </w:t>
      </w:r>
    </w:p>
    <w:p w:rsidR="00261D77" w:rsidRPr="000B7CBF" w:rsidRDefault="00261D77" w:rsidP="002D66F0">
      <w:pPr>
        <w:numPr>
          <w:ilvl w:val="0"/>
          <w:numId w:val="108"/>
        </w:numPr>
        <w:autoSpaceDE w:val="0"/>
        <w:autoSpaceDN w:val="0"/>
        <w:adjustRightInd w:val="0"/>
        <w:spacing w:after="67" w:line="240" w:lineRule="auto"/>
        <w:rPr>
          <w:rFonts w:eastAsia="SimSun" w:cs="Arial"/>
          <w:color w:val="000000"/>
          <w:szCs w:val="22"/>
          <w:lang w:eastAsia="zh-CN"/>
        </w:rPr>
      </w:pPr>
      <w:r w:rsidRPr="000B7CBF">
        <w:rPr>
          <w:rFonts w:eastAsia="SimSun" w:cs="Arial"/>
          <w:color w:val="000000"/>
          <w:szCs w:val="22"/>
          <w:lang w:eastAsia="zh-CN"/>
        </w:rPr>
        <w:t>zákon o odpadech - D</w:t>
      </w:r>
      <w:r w:rsidR="00720435">
        <w:rPr>
          <w:rFonts w:eastAsia="SimSun" w:cs="Arial"/>
          <w:color w:val="000000"/>
          <w:szCs w:val="22"/>
          <w:lang w:eastAsia="zh-CN"/>
        </w:rPr>
        <w:t>íl</w:t>
      </w:r>
      <w:r w:rsidRPr="000B7CBF">
        <w:rPr>
          <w:rFonts w:eastAsia="SimSun" w:cs="Arial"/>
          <w:color w:val="000000"/>
          <w:szCs w:val="22"/>
          <w:lang w:eastAsia="zh-CN"/>
        </w:rPr>
        <w:t xml:space="preserve"> 8 Elektrická a elektronická zařízení, </w:t>
      </w:r>
    </w:p>
    <w:p w:rsidR="00261D77" w:rsidRPr="000B7CBF" w:rsidRDefault="00261D77" w:rsidP="002D66F0">
      <w:pPr>
        <w:numPr>
          <w:ilvl w:val="0"/>
          <w:numId w:val="108"/>
        </w:numPr>
        <w:autoSpaceDE w:val="0"/>
        <w:autoSpaceDN w:val="0"/>
        <w:adjustRightInd w:val="0"/>
        <w:spacing w:after="67" w:line="240" w:lineRule="auto"/>
        <w:rPr>
          <w:rFonts w:eastAsia="SimSun" w:cs="Arial"/>
          <w:color w:val="000000"/>
          <w:szCs w:val="22"/>
          <w:lang w:eastAsia="zh-CN"/>
        </w:rPr>
      </w:pPr>
      <w:r w:rsidRPr="000B7CBF">
        <w:rPr>
          <w:rFonts w:eastAsia="SimSun" w:cs="Arial"/>
          <w:color w:val="000000"/>
          <w:szCs w:val="22"/>
          <w:lang w:eastAsia="zh-CN"/>
        </w:rPr>
        <w:t xml:space="preserve">vyhláška č. 237/2002 Sb., o podrobnostech způsobu provedení zpětného odběru některých výrobků, ve znění pozdějších předpisů, </w:t>
      </w:r>
    </w:p>
    <w:p w:rsidR="00261D77" w:rsidRPr="000B7CBF" w:rsidRDefault="00261D77" w:rsidP="002D66F0">
      <w:pPr>
        <w:numPr>
          <w:ilvl w:val="0"/>
          <w:numId w:val="108"/>
        </w:numPr>
        <w:autoSpaceDE w:val="0"/>
        <w:autoSpaceDN w:val="0"/>
        <w:adjustRightInd w:val="0"/>
        <w:spacing w:line="240" w:lineRule="auto"/>
        <w:rPr>
          <w:rFonts w:eastAsia="SimSun" w:cs="Arial"/>
          <w:color w:val="000000"/>
          <w:szCs w:val="22"/>
          <w:lang w:eastAsia="zh-CN"/>
        </w:rPr>
      </w:pPr>
      <w:r w:rsidRPr="000B7CBF">
        <w:rPr>
          <w:rFonts w:eastAsia="SimSun" w:cs="Arial"/>
          <w:color w:val="000000"/>
          <w:szCs w:val="22"/>
          <w:lang w:eastAsia="zh-CN"/>
        </w:rPr>
        <w:t xml:space="preserve">vyhláška č. 352/2005 Sb., </w:t>
      </w:r>
      <w:r w:rsidR="00720435" w:rsidRPr="00720435">
        <w:rPr>
          <w:rFonts w:eastAsia="SimSun" w:cs="Arial"/>
          <w:color w:val="000000"/>
          <w:szCs w:val="22"/>
          <w:lang w:eastAsia="zh-CN"/>
        </w:rPr>
        <w:t xml:space="preserve">o podrobnostech </w:t>
      </w:r>
      <w:r w:rsidR="00FF0A24">
        <w:rPr>
          <w:rFonts w:eastAsia="SimSun" w:cs="Arial"/>
          <w:color w:val="000000"/>
          <w:szCs w:val="22"/>
          <w:lang w:eastAsia="zh-CN"/>
        </w:rPr>
        <w:t>nakládání s elektrozařízeními a </w:t>
      </w:r>
      <w:r w:rsidR="00720435" w:rsidRPr="00720435">
        <w:rPr>
          <w:rFonts w:eastAsia="SimSun" w:cs="Arial"/>
          <w:color w:val="000000"/>
          <w:szCs w:val="22"/>
          <w:lang w:eastAsia="zh-CN"/>
        </w:rPr>
        <w:t>elektroodpady a o bližších podmínkách financování nakládání s</w:t>
      </w:r>
      <w:r w:rsidR="00720435">
        <w:rPr>
          <w:rFonts w:eastAsia="SimSun" w:cs="Arial"/>
          <w:color w:val="000000"/>
          <w:szCs w:val="22"/>
          <w:lang w:eastAsia="zh-CN"/>
        </w:rPr>
        <w:t> </w:t>
      </w:r>
      <w:r w:rsidR="00720435" w:rsidRPr="00720435">
        <w:rPr>
          <w:rFonts w:eastAsia="SimSun" w:cs="Arial"/>
          <w:color w:val="000000"/>
          <w:szCs w:val="22"/>
          <w:lang w:eastAsia="zh-CN"/>
        </w:rPr>
        <w:t>nimi</w:t>
      </w:r>
      <w:r w:rsidR="00720435">
        <w:rPr>
          <w:rFonts w:eastAsia="SimSun" w:cs="Arial"/>
          <w:color w:val="000000"/>
          <w:szCs w:val="22"/>
          <w:lang w:eastAsia="zh-CN"/>
        </w:rPr>
        <w:t xml:space="preserve"> (vyhláška </w:t>
      </w:r>
      <w:r w:rsidR="00FF0A24">
        <w:rPr>
          <w:rFonts w:eastAsia="SimSun" w:cs="Arial"/>
          <w:color w:val="000000"/>
          <w:szCs w:val="22"/>
          <w:lang w:eastAsia="zh-CN"/>
        </w:rPr>
        <w:t>o </w:t>
      </w:r>
      <w:r w:rsidRPr="000B7CBF">
        <w:rPr>
          <w:rFonts w:eastAsia="SimSun" w:cs="Arial"/>
          <w:color w:val="000000"/>
          <w:szCs w:val="22"/>
          <w:lang w:eastAsia="zh-CN"/>
        </w:rPr>
        <w:t>nakládání s elektrozařízeními a elektroodpady</w:t>
      </w:r>
      <w:r w:rsidR="00720435">
        <w:rPr>
          <w:rFonts w:eastAsia="SimSun" w:cs="Arial"/>
          <w:color w:val="000000"/>
          <w:szCs w:val="22"/>
          <w:lang w:eastAsia="zh-CN"/>
        </w:rPr>
        <w:t xml:space="preserve">), </w:t>
      </w:r>
      <w:r w:rsidR="00720435" w:rsidRPr="000B7CBF">
        <w:rPr>
          <w:rFonts w:eastAsia="SimSun" w:cs="Arial"/>
          <w:color w:val="000000"/>
          <w:szCs w:val="22"/>
          <w:lang w:eastAsia="zh-CN"/>
        </w:rPr>
        <w:t>ve znění pozdějších předpisů</w:t>
      </w:r>
      <w:r w:rsidRPr="000B7CBF">
        <w:rPr>
          <w:rFonts w:eastAsia="SimSun" w:cs="Arial"/>
          <w:color w:val="000000"/>
          <w:szCs w:val="22"/>
          <w:lang w:eastAsia="zh-CN"/>
        </w:rPr>
        <w:t xml:space="preserve">. </w:t>
      </w:r>
    </w:p>
    <w:p w:rsidR="00261D77" w:rsidRPr="000B7CBF" w:rsidRDefault="00261D77" w:rsidP="00261D77">
      <w:pPr>
        <w:autoSpaceDE w:val="0"/>
        <w:autoSpaceDN w:val="0"/>
        <w:adjustRightInd w:val="0"/>
        <w:spacing w:line="240" w:lineRule="auto"/>
        <w:rPr>
          <w:rFonts w:eastAsia="SimSun" w:cs="Arial"/>
          <w:color w:val="000000"/>
          <w:szCs w:val="22"/>
          <w:lang w:eastAsia="zh-CN"/>
        </w:rPr>
      </w:pPr>
    </w:p>
    <w:p w:rsidR="00261D77" w:rsidRPr="00ED38E9" w:rsidRDefault="00261D77" w:rsidP="00261D77">
      <w:pPr>
        <w:rPr>
          <w:rFonts w:cs="Arial"/>
        </w:rPr>
      </w:pPr>
      <w:r w:rsidRPr="00ED38E9">
        <w:rPr>
          <w:rFonts w:cs="Arial"/>
        </w:rPr>
        <w:t>Dle platného znění zákona o odpadech nejsou požadavky směrnice na dosažení úrovně sběru přímo implementovány, a tyto jsou tak v současné době stanoveny pro ČR bez ohledu na druhy (skupiny) jednotlivých EEZ.</w:t>
      </w:r>
    </w:p>
    <w:p w:rsidR="00261D77" w:rsidRPr="00ED38E9" w:rsidRDefault="00261D77" w:rsidP="00261D77">
      <w:pPr>
        <w:rPr>
          <w:rFonts w:cs="Arial"/>
        </w:rPr>
      </w:pPr>
      <w:r w:rsidRPr="00ED38E9">
        <w:rPr>
          <w:rFonts w:cs="Arial"/>
        </w:rPr>
        <w:t>Směrnice OEEZ stanovuje v čl. 7 úroveň sběru odpadních elektrozařízení. Na základě tohoto ustanovení, ve kterém byla zohledněna rozdílná úroveň a podmínky v členských státech, je Česká republika povinna zajistit na základě uplatnění odpovědnosti výrobce každoroční dosažení minimální úrovně sběru OEEZ do 14. srpna 2016 úrovně sběru OEEZ více než 40</w:t>
      </w:r>
      <w:r w:rsidR="00E27FE7">
        <w:rPr>
          <w:rFonts w:cs="Arial"/>
        </w:rPr>
        <w:t> </w:t>
      </w:r>
      <w:r w:rsidRPr="00ED38E9">
        <w:rPr>
          <w:rFonts w:cs="Arial"/>
        </w:rPr>
        <w:t xml:space="preserve">% - počítáno na základě celkové hmotnosti OEEZ sebraných v České republice a vyjádřeno jako procentní podíl průměrné roční hmotnosti elektrozařízení uvedených na trh v předchozích třech letech v ČR. </w:t>
      </w:r>
    </w:p>
    <w:p w:rsidR="00261D77" w:rsidRPr="00ED38E9" w:rsidRDefault="00261D77" w:rsidP="005D660F">
      <w:pPr>
        <w:pStyle w:val="Nadpis3"/>
      </w:pPr>
      <w:r w:rsidRPr="00ED38E9">
        <w:t>Identifikace dotčených subjektů</w:t>
      </w:r>
    </w:p>
    <w:p w:rsidR="00261D77" w:rsidRPr="00ED38E9" w:rsidRDefault="00261D77" w:rsidP="00261D77">
      <w:pPr>
        <w:pStyle w:val="Odstavecseseznamem4"/>
        <w:numPr>
          <w:ilvl w:val="0"/>
          <w:numId w:val="20"/>
        </w:numPr>
        <w:spacing w:after="120"/>
        <w:ind w:left="714" w:hanging="357"/>
        <w:rPr>
          <w:rFonts w:cs="Arial"/>
        </w:rPr>
      </w:pPr>
      <w:r w:rsidRPr="00ED38E9">
        <w:rPr>
          <w:rFonts w:cs="Arial"/>
        </w:rPr>
        <w:t>výrobci,</w:t>
      </w:r>
    </w:p>
    <w:p w:rsidR="00261D77" w:rsidRPr="00ED38E9" w:rsidRDefault="00261D77" w:rsidP="00261D77">
      <w:pPr>
        <w:pStyle w:val="Odstavecseseznamem4"/>
        <w:numPr>
          <w:ilvl w:val="0"/>
          <w:numId w:val="20"/>
        </w:numPr>
        <w:spacing w:after="120"/>
        <w:ind w:left="714" w:hanging="357"/>
        <w:rPr>
          <w:rFonts w:cs="Arial"/>
        </w:rPr>
      </w:pPr>
      <w:r w:rsidRPr="00ED38E9">
        <w:rPr>
          <w:rFonts w:cs="Arial"/>
        </w:rPr>
        <w:t>kolektivní systémy (KS),</w:t>
      </w:r>
    </w:p>
    <w:p w:rsidR="00261D77" w:rsidRPr="00ED38E9" w:rsidRDefault="00261D77" w:rsidP="00261D77">
      <w:pPr>
        <w:pStyle w:val="Odstavecseseznamem4"/>
        <w:numPr>
          <w:ilvl w:val="0"/>
          <w:numId w:val="20"/>
        </w:numPr>
        <w:spacing w:after="120"/>
        <w:ind w:left="714" w:hanging="357"/>
        <w:rPr>
          <w:rFonts w:cs="Arial"/>
        </w:rPr>
      </w:pPr>
      <w:r w:rsidRPr="00ED38E9">
        <w:rPr>
          <w:rFonts w:cs="Arial"/>
        </w:rPr>
        <w:t>Ministerstvo životního prostředí (MŽP, ministerstvo),</w:t>
      </w:r>
    </w:p>
    <w:p w:rsidR="00261D77" w:rsidRPr="00ED38E9" w:rsidRDefault="00261D77" w:rsidP="00261D77">
      <w:pPr>
        <w:pStyle w:val="Odstavecseseznamem4"/>
        <w:numPr>
          <w:ilvl w:val="0"/>
          <w:numId w:val="20"/>
        </w:numPr>
        <w:spacing w:after="120"/>
        <w:ind w:left="714" w:hanging="357"/>
        <w:rPr>
          <w:rFonts w:cs="Arial"/>
        </w:rPr>
      </w:pPr>
      <w:r w:rsidRPr="00ED38E9">
        <w:rPr>
          <w:rFonts w:cs="Arial"/>
        </w:rPr>
        <w:t>spotřebitelé.</w:t>
      </w:r>
    </w:p>
    <w:p w:rsidR="00261D77" w:rsidRPr="00ED38E9" w:rsidRDefault="00261D77" w:rsidP="005D660F">
      <w:pPr>
        <w:pStyle w:val="Nadpis3"/>
      </w:pPr>
      <w:r w:rsidRPr="00ED38E9">
        <w:t>Popis cílového stavu</w:t>
      </w:r>
    </w:p>
    <w:p w:rsidR="00261D77" w:rsidRPr="00ED38E9" w:rsidRDefault="00261D77" w:rsidP="00261D77">
      <w:pPr>
        <w:rPr>
          <w:rFonts w:cs="Arial"/>
          <w:b/>
        </w:rPr>
      </w:pPr>
      <w:r w:rsidRPr="00ED38E9">
        <w:rPr>
          <w:rFonts w:cs="Arial"/>
        </w:rPr>
        <w:t xml:space="preserve">V důsledku rozšiřování trhu a dalšího zkracování </w:t>
      </w:r>
      <w:r w:rsidR="00E27FE7">
        <w:rPr>
          <w:rFonts w:cs="Arial"/>
        </w:rPr>
        <w:t>spotřebitelských uživatelských</w:t>
      </w:r>
      <w:r w:rsidR="00E27FE7" w:rsidRPr="00ED38E9">
        <w:rPr>
          <w:rFonts w:cs="Arial"/>
        </w:rPr>
        <w:t xml:space="preserve"> </w:t>
      </w:r>
      <w:r w:rsidRPr="00ED38E9">
        <w:rPr>
          <w:rFonts w:cs="Arial"/>
        </w:rPr>
        <w:t>cyklů EEZ je cílem realizovat opatření směřující k</w:t>
      </w:r>
      <w:r w:rsidR="004A6145">
        <w:rPr>
          <w:rFonts w:cs="Arial"/>
        </w:rPr>
        <w:t>e</w:t>
      </w:r>
      <w:r w:rsidRPr="00ED38E9">
        <w:rPr>
          <w:rFonts w:cs="Arial"/>
        </w:rPr>
        <w:t xml:space="preserve"> </w:t>
      </w:r>
      <w:r w:rsidR="00E27FE7">
        <w:rPr>
          <w:rFonts w:cs="Arial"/>
        </w:rPr>
        <w:t>snižování množství</w:t>
      </w:r>
      <w:r w:rsidRPr="00ED38E9">
        <w:rPr>
          <w:rFonts w:cs="Arial"/>
        </w:rPr>
        <w:t xml:space="preserve"> OEEZ, kter</w:t>
      </w:r>
      <w:r w:rsidR="00E27FE7">
        <w:rPr>
          <w:rFonts w:cs="Arial"/>
        </w:rPr>
        <w:t>é</w:t>
      </w:r>
      <w:r w:rsidRPr="00ED38E9">
        <w:rPr>
          <w:rFonts w:cs="Arial"/>
        </w:rPr>
        <w:t xml:space="preserve"> nebude zpětně odebírán</w:t>
      </w:r>
      <w:r w:rsidR="00E27FE7">
        <w:rPr>
          <w:rFonts w:cs="Arial"/>
        </w:rPr>
        <w:t>o</w:t>
      </w:r>
      <w:r w:rsidRPr="00ED38E9">
        <w:rPr>
          <w:rFonts w:cs="Arial"/>
        </w:rPr>
        <w:t>, respektive odděleně sebrán</w:t>
      </w:r>
      <w:r w:rsidR="00E27FE7">
        <w:rPr>
          <w:rFonts w:cs="Arial"/>
        </w:rPr>
        <w:t>o</w:t>
      </w:r>
      <w:r w:rsidRPr="00ED38E9">
        <w:rPr>
          <w:rFonts w:cs="Arial"/>
        </w:rPr>
        <w:t xml:space="preserve"> aodstraňován</w:t>
      </w:r>
      <w:r w:rsidR="00E27FE7">
        <w:rPr>
          <w:rFonts w:cs="Arial"/>
        </w:rPr>
        <w:t>o</w:t>
      </w:r>
      <w:r w:rsidRPr="00ED38E9">
        <w:rPr>
          <w:rFonts w:cs="Arial"/>
        </w:rPr>
        <w:t xml:space="preserve"> pouze jako netříděný komunální odpad, a to prostřednictvím </w:t>
      </w:r>
      <w:r w:rsidRPr="00ED38E9">
        <w:rPr>
          <w:rFonts w:cs="Arial"/>
          <w:b/>
        </w:rPr>
        <w:t>uplatnění povinnosti a odpovědnosti výrobců při navyšování míry sběru OEEZ a jeho opětovného použití</w:t>
      </w:r>
      <w:r w:rsidRPr="00ED38E9">
        <w:rPr>
          <w:rFonts w:cs="Arial"/>
        </w:rPr>
        <w:t xml:space="preserve">. </w:t>
      </w:r>
      <w:r w:rsidRPr="00ED38E9">
        <w:rPr>
          <w:rFonts w:cs="Arial"/>
          <w:b/>
        </w:rPr>
        <w:t xml:space="preserve">Dalším cílem je minimalizace rizik spojených při nakládání s nebezpečnými látkami obsaženými v OEEZ a nenávratných ztrát hodnotných surovin v OEEZ bez jejich recyklace. </w:t>
      </w:r>
    </w:p>
    <w:p w:rsidR="00261D77" w:rsidRPr="00ED38E9" w:rsidRDefault="00261D77" w:rsidP="00261D77">
      <w:pPr>
        <w:spacing w:before="120"/>
        <w:rPr>
          <w:rFonts w:cs="Arial"/>
        </w:rPr>
      </w:pPr>
      <w:r w:rsidRPr="00ED38E9">
        <w:rPr>
          <w:rFonts w:cs="Arial"/>
        </w:rPr>
        <w:t xml:space="preserve">Prostředkem k tomuto cíli je zajištění splnění závazků ČR v oblasti míry sběru OEEZ dle cílů směrnice OEEZ. </w:t>
      </w:r>
      <w:r w:rsidR="004A6145">
        <w:rPr>
          <w:rFonts w:cs="Arial"/>
        </w:rPr>
        <w:t>Podle</w:t>
      </w:r>
      <w:r w:rsidRPr="00ED38E9">
        <w:rPr>
          <w:rFonts w:cs="Arial"/>
        </w:rPr>
        <w:t xml:space="preserve"> čl. 7 je ČR povinna zajistit na základě uplatnění odpovědnosti výrobce každoroční dosažení minimální úrovně sběru OEEZ, která musí s účinností od 14. srpna 2016 </w:t>
      </w:r>
      <w:r w:rsidRPr="00ED38E9">
        <w:rPr>
          <w:rFonts w:cs="Arial"/>
        </w:rPr>
        <w:lastRenderedPageBreak/>
        <w:t xml:space="preserve">dosáhnout </w:t>
      </w:r>
      <w:r w:rsidR="004A6145">
        <w:rPr>
          <w:rFonts w:cs="Arial"/>
          <w:b/>
        </w:rPr>
        <w:t xml:space="preserve">více </w:t>
      </w:r>
      <w:r w:rsidRPr="00ED38E9">
        <w:rPr>
          <w:rFonts w:cs="Arial"/>
          <w:b/>
        </w:rPr>
        <w:t>než 40 %</w:t>
      </w:r>
      <w:r w:rsidRPr="00ED38E9">
        <w:rPr>
          <w:rFonts w:cs="Arial"/>
        </w:rPr>
        <w:t xml:space="preserve"> - počítáno na základě celkové </w:t>
      </w:r>
      <w:r w:rsidR="00FF0A24">
        <w:rPr>
          <w:rFonts w:cs="Arial"/>
        </w:rPr>
        <w:t>hmotnosti OEEZ sebraných v ČR a </w:t>
      </w:r>
      <w:r w:rsidRPr="00ED38E9">
        <w:rPr>
          <w:rFonts w:cs="Arial"/>
        </w:rPr>
        <w:t xml:space="preserve">vyjádřené jako procentní podíl průměrné hmotnosti EEZ uvedených na trh v předchozích třech letech v ČR. Od roku 2019 tato úroveň má činit buď 65 % průměrné hmotnosti EEZ uvedených na trh v předchozích třech letech anebo 85 % hmotnosti produkce OEEZ na území členského státu. ČR může na základě výjimky zvolit nárůst této úrovně tak, aby </w:t>
      </w:r>
      <w:r w:rsidR="00E27FE7">
        <w:rPr>
          <w:rFonts w:cs="Arial"/>
        </w:rPr>
        <w:t xml:space="preserve">nejvyšší </w:t>
      </w:r>
      <w:r w:rsidRPr="00ED38E9">
        <w:rPr>
          <w:rFonts w:cs="Arial"/>
        </w:rPr>
        <w:t>úrovně uvedené v předchozím odstavci dosáhla nejpozději s účinností k 14. 8. 2021.</w:t>
      </w:r>
    </w:p>
    <w:p w:rsidR="00261D77" w:rsidRPr="00ED38E9" w:rsidRDefault="00261D77" w:rsidP="00261D77">
      <w:pPr>
        <w:rPr>
          <w:rFonts w:cs="Arial"/>
        </w:rPr>
      </w:pPr>
      <w:r w:rsidRPr="00ED38E9">
        <w:rPr>
          <w:rFonts w:cs="Arial"/>
        </w:rPr>
        <w:t xml:space="preserve">Při naplnění tohoto cíle musí ČR zvolit model sběru, který zajistí vyvážený zpětný odběr EEZ ve všech skupinách EEZ stanovených pro jejich evidenci, a to i podle nového členění EEZ platného od 15. 8. 2018, a to především v rámci budoucího členění ve skupině 1–3 kategorie. </w:t>
      </w:r>
    </w:p>
    <w:p w:rsidR="00261D77" w:rsidRPr="00ED38E9" w:rsidRDefault="00261D77" w:rsidP="00261D77">
      <w:pPr>
        <w:spacing w:before="120"/>
        <w:rPr>
          <w:rFonts w:cs="Arial"/>
        </w:rPr>
      </w:pPr>
      <w:r w:rsidRPr="00ED38E9">
        <w:rPr>
          <w:rFonts w:cs="Arial"/>
        </w:rPr>
        <w:t xml:space="preserve">S ohledem na postupný nárůst minimální úrovně sběru OEEZ, tak musí ČR při hledání nejvhodnějšího řešení dále eliminovat budoucí </w:t>
      </w:r>
      <w:r w:rsidRPr="00ED38E9">
        <w:rPr>
          <w:rFonts w:cs="Arial"/>
          <w:b/>
        </w:rPr>
        <w:t>riziko min</w:t>
      </w:r>
      <w:r w:rsidR="00FF0A24">
        <w:rPr>
          <w:rFonts w:cs="Arial"/>
          <w:b/>
        </w:rPr>
        <w:t>imalizace sběru kategorií EEZ s </w:t>
      </w:r>
      <w:r w:rsidRPr="00ED38E9">
        <w:rPr>
          <w:rFonts w:cs="Arial"/>
          <w:b/>
        </w:rPr>
        <w:t>nižší hmotnost</w:t>
      </w:r>
      <w:r w:rsidR="00F458D5">
        <w:rPr>
          <w:rFonts w:cs="Arial"/>
          <w:b/>
        </w:rPr>
        <w:t>í</w:t>
      </w:r>
      <w:r w:rsidRPr="00ED38E9">
        <w:rPr>
          <w:rFonts w:cs="Arial"/>
          <w:b/>
        </w:rPr>
        <w:t xml:space="preserve"> a s obsahem nebezpečných látek</w:t>
      </w:r>
      <w:r w:rsidRPr="00ED38E9">
        <w:rPr>
          <w:rFonts w:cs="Arial"/>
        </w:rPr>
        <w:t xml:space="preserve">, </w:t>
      </w:r>
      <w:r w:rsidR="00977513">
        <w:rPr>
          <w:rFonts w:cs="Arial"/>
        </w:rPr>
        <w:t xml:space="preserve">pro </w:t>
      </w:r>
      <w:r w:rsidRPr="00ED38E9">
        <w:rPr>
          <w:rFonts w:cs="Arial"/>
        </w:rPr>
        <w:t xml:space="preserve">které </w:t>
      </w:r>
      <w:r w:rsidR="00977513">
        <w:rPr>
          <w:rFonts w:cs="Arial"/>
        </w:rPr>
        <w:t xml:space="preserve">je příznačný </w:t>
      </w:r>
      <w:r w:rsidRPr="00ED38E9">
        <w:rPr>
          <w:rFonts w:cs="Arial"/>
        </w:rPr>
        <w:t xml:space="preserve">nákladnější způsob </w:t>
      </w:r>
      <w:r w:rsidR="00977513">
        <w:rPr>
          <w:rFonts w:cs="Arial"/>
        </w:rPr>
        <w:t>zpracování</w:t>
      </w:r>
      <w:r w:rsidRPr="00ED38E9">
        <w:rPr>
          <w:rFonts w:cs="Arial"/>
        </w:rPr>
        <w:t xml:space="preserve">, tj. především ve skupině 1–3 EEZ podle členění účinného od 15. 8. 2018 ve Směrnici OEEZ. </w:t>
      </w:r>
    </w:p>
    <w:p w:rsidR="00261D77" w:rsidRPr="00ED38E9" w:rsidRDefault="00261D77" w:rsidP="00261D77">
      <w:pPr>
        <w:pStyle w:val="Normlntun"/>
        <w:rPr>
          <w:rFonts w:cs="Arial"/>
        </w:rPr>
      </w:pPr>
      <w:r w:rsidRPr="00ED38E9">
        <w:rPr>
          <w:rFonts w:cs="Arial"/>
        </w:rPr>
        <w:t>Cílem je proto:</w:t>
      </w:r>
    </w:p>
    <w:p w:rsidR="00261D77" w:rsidRPr="00ED38E9" w:rsidRDefault="00261D77" w:rsidP="002D66F0">
      <w:pPr>
        <w:pStyle w:val="Odstavecseseznamem4"/>
        <w:numPr>
          <w:ilvl w:val="0"/>
          <w:numId w:val="109"/>
        </w:numPr>
        <w:rPr>
          <w:rFonts w:cs="Arial"/>
        </w:rPr>
      </w:pPr>
      <w:r w:rsidRPr="00ED38E9">
        <w:rPr>
          <w:rFonts w:cs="Arial"/>
        </w:rPr>
        <w:t>Zajistit implementaci závazků ČR v podobě zvyšování úrovně zpětného OEEZ sběru postupným nárůstem v letech 2016 - 2021</w:t>
      </w:r>
    </w:p>
    <w:p w:rsidR="00261D77" w:rsidRPr="00ED38E9" w:rsidRDefault="00261D77" w:rsidP="002D66F0">
      <w:pPr>
        <w:pStyle w:val="Odstavecseseznamem4"/>
        <w:numPr>
          <w:ilvl w:val="0"/>
          <w:numId w:val="109"/>
        </w:numPr>
        <w:rPr>
          <w:rFonts w:cs="Arial"/>
        </w:rPr>
      </w:pPr>
      <w:r w:rsidRPr="00ED38E9">
        <w:rPr>
          <w:rFonts w:cs="Arial"/>
        </w:rPr>
        <w:t xml:space="preserve">Zajistit, aby nejpozději 14. 8. 2021 dosáhla v ČR </w:t>
      </w:r>
      <w:r w:rsidRPr="00ED38E9">
        <w:rPr>
          <w:rFonts w:eastAsia="SimSun" w:cs="Arial"/>
        </w:rPr>
        <w:t>úroveň sběrubuď 65 % průměrné hmotnosti EEZ uvedených na trh v předchozích třech letech, anebo 85 % hmotnosti produkce OEEZ na území ČR.</w:t>
      </w:r>
    </w:p>
    <w:p w:rsidR="00261D77" w:rsidRPr="00ED38E9" w:rsidRDefault="00261D77" w:rsidP="002D66F0">
      <w:pPr>
        <w:pStyle w:val="Odstavecseseznamem4"/>
        <w:numPr>
          <w:ilvl w:val="0"/>
          <w:numId w:val="109"/>
        </w:numPr>
        <w:rPr>
          <w:rFonts w:eastAsia="SimSun" w:cs="Arial"/>
        </w:rPr>
      </w:pPr>
      <w:r w:rsidRPr="00ED38E9">
        <w:rPr>
          <w:rFonts w:cs="Arial"/>
        </w:rPr>
        <w:t xml:space="preserve">Eliminovat negativní dopady na životní prostředí vyplývající </w:t>
      </w:r>
      <w:r w:rsidRPr="00ED38E9">
        <w:rPr>
          <w:rFonts w:eastAsia="SimSun" w:cs="Arial"/>
        </w:rPr>
        <w:t>v případě netříděného sběru OEEZ, jehož předpokladem je zajištění specifického zpracování a odborné recyklace OEEZ</w:t>
      </w:r>
      <w:r w:rsidR="00AB3A5B">
        <w:rPr>
          <w:rFonts w:eastAsia="SimSun" w:cs="Arial"/>
        </w:rPr>
        <w:t>,</w:t>
      </w:r>
      <w:r w:rsidRPr="00ED38E9">
        <w:rPr>
          <w:rFonts w:eastAsia="SimSun" w:cs="Arial"/>
        </w:rPr>
        <w:t xml:space="preserve"> a </w:t>
      </w:r>
      <w:r w:rsidR="00AB3A5B">
        <w:rPr>
          <w:rFonts w:eastAsia="SimSun" w:cs="Arial"/>
        </w:rPr>
        <w:t xml:space="preserve">který </w:t>
      </w:r>
      <w:r w:rsidRPr="00ED38E9">
        <w:rPr>
          <w:rFonts w:eastAsia="SimSun" w:cs="Arial"/>
        </w:rPr>
        <w:t>je nezbytný pro dosažení zvolené úrovně ochrany lidského zdraví a životního prostředí.</w:t>
      </w:r>
    </w:p>
    <w:p w:rsidR="00261D77" w:rsidRPr="00AB3A5B" w:rsidRDefault="00261D77" w:rsidP="002D66F0">
      <w:pPr>
        <w:pStyle w:val="Odstavecseseznamem4"/>
        <w:numPr>
          <w:ilvl w:val="0"/>
          <w:numId w:val="109"/>
        </w:numPr>
        <w:rPr>
          <w:rFonts w:cs="Arial"/>
        </w:rPr>
      </w:pPr>
      <w:r w:rsidRPr="00ED38E9">
        <w:rPr>
          <w:rFonts w:cs="Arial"/>
        </w:rPr>
        <w:t xml:space="preserve">Pro skupiny elektrozařízení (skupiny 1–3 dle členění platného od 15. 8. 2018) proto stanovit samostatný mechanismus zajištění požadavků na stoupající úrovně sběru postupně podle jednotlivých let do r. 2021, které napomohou naplnění celkové úrovně sběru a nepovedou k poklesu sebraných </w:t>
      </w:r>
      <w:r w:rsidR="00DA1612">
        <w:rPr>
          <w:rFonts w:cs="Arial"/>
        </w:rPr>
        <w:t>O</w:t>
      </w:r>
      <w:r w:rsidRPr="00ED38E9">
        <w:rPr>
          <w:rFonts w:cs="Arial"/>
        </w:rPr>
        <w:t>EEZ v těchto skupinách na úkor OEEZ s větší hmotností, jednodušším způsobem sběru a ekonomicky efektivním zp</w:t>
      </w:r>
      <w:r w:rsidR="00AB3A5B">
        <w:rPr>
          <w:rFonts w:cs="Arial"/>
        </w:rPr>
        <w:t>r</w:t>
      </w:r>
      <w:r w:rsidRPr="00AB3A5B">
        <w:rPr>
          <w:rFonts w:cs="Arial"/>
        </w:rPr>
        <w:t xml:space="preserve">acováním. </w:t>
      </w:r>
    </w:p>
    <w:p w:rsidR="00261D77" w:rsidRPr="00ED38E9" w:rsidRDefault="00261D77" w:rsidP="005D660F">
      <w:pPr>
        <w:pStyle w:val="Nadpis3"/>
      </w:pPr>
      <w:r w:rsidRPr="00ED38E9">
        <w:t>Zhodnocení rizika</w:t>
      </w:r>
    </w:p>
    <w:p w:rsidR="00261D77" w:rsidRPr="00ED38E9" w:rsidRDefault="00261D77" w:rsidP="00261D77">
      <w:pPr>
        <w:rPr>
          <w:rFonts w:cs="Arial"/>
        </w:rPr>
      </w:pPr>
      <w:r w:rsidRPr="00ED38E9">
        <w:rPr>
          <w:rFonts w:cs="Arial"/>
        </w:rPr>
        <w:t xml:space="preserve">Při nepromítnutí cílů </w:t>
      </w:r>
      <w:r w:rsidR="00AB3A5B">
        <w:rPr>
          <w:rFonts w:cs="Arial"/>
        </w:rPr>
        <w:t>S</w:t>
      </w:r>
      <w:r w:rsidRPr="00ED38E9">
        <w:rPr>
          <w:rFonts w:cs="Arial"/>
        </w:rPr>
        <w:t>měrnice</w:t>
      </w:r>
      <w:r w:rsidR="00AB3A5B">
        <w:rPr>
          <w:rFonts w:cs="Arial"/>
        </w:rPr>
        <w:t xml:space="preserve"> OEEZ</w:t>
      </w:r>
      <w:r w:rsidRPr="00ED38E9">
        <w:rPr>
          <w:rFonts w:cs="Arial"/>
        </w:rPr>
        <w:t xml:space="preserve"> </w:t>
      </w:r>
      <w:r w:rsidRPr="00ED38E9">
        <w:rPr>
          <w:rFonts w:cs="Arial"/>
          <w:noProof w:val="0"/>
        </w:rPr>
        <w:t>do</w:t>
      </w:r>
      <w:r w:rsidRPr="00ED38E9">
        <w:rPr>
          <w:rFonts w:cs="Arial"/>
        </w:rPr>
        <w:t xml:space="preserve"> národního právního řádu hrozí, že Česká republika nesplní </w:t>
      </w:r>
      <w:r w:rsidR="00F458D5">
        <w:rPr>
          <w:rFonts w:cs="Arial"/>
        </w:rPr>
        <w:t>své</w:t>
      </w:r>
      <w:r w:rsidRPr="00ED38E9">
        <w:rPr>
          <w:rFonts w:cs="Arial"/>
        </w:rPr>
        <w:t xml:space="preserve"> </w:t>
      </w:r>
      <w:r w:rsidR="00F458D5">
        <w:rPr>
          <w:rFonts w:cs="Arial"/>
        </w:rPr>
        <w:t>závazky</w:t>
      </w:r>
      <w:r w:rsidRPr="00ED38E9">
        <w:rPr>
          <w:rFonts w:cs="Arial"/>
        </w:rPr>
        <w:t xml:space="preserve">, </w:t>
      </w:r>
      <w:r w:rsidR="00F458D5">
        <w:rPr>
          <w:rFonts w:cs="Arial"/>
        </w:rPr>
        <w:t xml:space="preserve">na základě </w:t>
      </w:r>
      <w:r w:rsidRPr="00ED38E9">
        <w:rPr>
          <w:rFonts w:cs="Arial"/>
        </w:rPr>
        <w:t>kter</w:t>
      </w:r>
      <w:r w:rsidR="00F458D5">
        <w:rPr>
          <w:rFonts w:cs="Arial"/>
        </w:rPr>
        <w:t>ých</w:t>
      </w:r>
      <w:r w:rsidRPr="00ED38E9">
        <w:rPr>
          <w:rFonts w:cs="Arial"/>
        </w:rPr>
        <w:t xml:space="preserve"> </w:t>
      </w:r>
      <w:r w:rsidR="00F458D5">
        <w:rPr>
          <w:rFonts w:cs="Arial"/>
        </w:rPr>
        <w:t xml:space="preserve">je </w:t>
      </w:r>
      <w:r w:rsidRPr="00ED38E9">
        <w:rPr>
          <w:rFonts w:cs="Arial"/>
        </w:rPr>
        <w:t>mj. vyžad</w:t>
      </w:r>
      <w:r w:rsidR="00F458D5">
        <w:rPr>
          <w:rFonts w:cs="Arial"/>
        </w:rPr>
        <w:t>ováno</w:t>
      </w:r>
      <w:r w:rsidRPr="00ED38E9">
        <w:rPr>
          <w:rFonts w:cs="Arial"/>
        </w:rPr>
        <w:t xml:space="preserve"> nejpozději do 14. 8. 2021  dosáhnout minimální úrovně sběru v podobě buď 65 % průměrné hmotnosti EEZ uvedených na trh v předchozích třech letech nebo 85 % hmotnosti produkce OEEZ na území ČR. Jakékoli nesplnění požadavků uvedených ve Směrnici OEEZ je spojeno s možností sankcí uvalených na ČR podle článku 260 Smlouvy o fungování EU. </w:t>
      </w:r>
    </w:p>
    <w:p w:rsidR="00261D77" w:rsidRPr="00ED38E9" w:rsidRDefault="00261D77" w:rsidP="00261D77">
      <w:pPr>
        <w:spacing w:before="120"/>
        <w:rPr>
          <w:rFonts w:cs="Arial"/>
        </w:rPr>
      </w:pPr>
      <w:r w:rsidRPr="00ED38E9">
        <w:rPr>
          <w:rFonts w:cs="Arial"/>
        </w:rPr>
        <w:t xml:space="preserve">Dle celkového průměru v zemích EU je velké množství EEZ uváděných na trh zpětně odebíráno tříděným sběrem, avšak více jak polovina tohoto množství bývá potenciálně předmětem nesprávného zpracování a nedovoleného vývozu, a v případech, kdy byla náležitě zpracována, nebyla tato skutečnost řádně nahlášena. Dochází tak ke ztrátám hodnotných druhotných surovin, ke zhoršování životního prostředí a poskytování nekonzistentních údajů. </w:t>
      </w:r>
    </w:p>
    <w:p w:rsidR="00261D77" w:rsidRPr="00ED38E9" w:rsidRDefault="00261D77" w:rsidP="00261D77">
      <w:pPr>
        <w:spacing w:before="120"/>
        <w:rPr>
          <w:rFonts w:cs="Arial"/>
        </w:rPr>
      </w:pPr>
      <w:r w:rsidRPr="00ED38E9">
        <w:rPr>
          <w:rFonts w:cs="Arial"/>
        </w:rPr>
        <w:lastRenderedPageBreak/>
        <w:t xml:space="preserve">Při nestanovení specifických cílů pro některé skupiny OEEZ problematických ve vztahu k životnímu prostředí může dojít k poklesu sebraných elektrozařízení v těchto skupinách na úkor </w:t>
      </w:r>
      <w:r w:rsidR="00863793">
        <w:rPr>
          <w:rFonts w:cs="Arial"/>
        </w:rPr>
        <w:t>O</w:t>
      </w:r>
      <w:r w:rsidRPr="00ED38E9">
        <w:rPr>
          <w:rFonts w:cs="Arial"/>
        </w:rPr>
        <w:t xml:space="preserve">EEZ s větší hmotností, jednodušším způsobem sběru a ekonomicky efektivním zpracováním, </w:t>
      </w:r>
      <w:r w:rsidR="00AB3A5B">
        <w:rPr>
          <w:rFonts w:cs="Arial"/>
        </w:rPr>
        <w:t>pokud</w:t>
      </w:r>
      <w:r w:rsidR="00AB3A5B" w:rsidRPr="00ED38E9">
        <w:rPr>
          <w:rFonts w:cs="Arial"/>
        </w:rPr>
        <w:t xml:space="preserve"> </w:t>
      </w:r>
      <w:r w:rsidRPr="00ED38E9">
        <w:rPr>
          <w:rFonts w:cs="Arial"/>
        </w:rPr>
        <w:t xml:space="preserve">by pro výrobce či kolektivní systémy bylo závazné dosažení cíle sběru stanoveného celkovým součtem všech sebraných skupin EEZ. </w:t>
      </w:r>
    </w:p>
    <w:p w:rsidR="00261D77" w:rsidRPr="00ED38E9" w:rsidRDefault="00261D77" w:rsidP="00261D77">
      <w:pPr>
        <w:spacing w:before="120"/>
        <w:rPr>
          <w:rFonts w:cs="Arial"/>
        </w:rPr>
      </w:pPr>
      <w:r w:rsidRPr="00ED38E9">
        <w:rPr>
          <w:rFonts w:cs="Arial"/>
        </w:rPr>
        <w:t xml:space="preserve">Hrozí tedy situace, že by určité kolektivní systémy prakticky nemusely realizovat sběr některých skupin </w:t>
      </w:r>
      <w:r w:rsidR="00863793">
        <w:rPr>
          <w:rFonts w:cs="Arial"/>
        </w:rPr>
        <w:t>O</w:t>
      </w:r>
      <w:r w:rsidRPr="00ED38E9">
        <w:rPr>
          <w:rFonts w:cs="Arial"/>
        </w:rPr>
        <w:t>EEZ</w:t>
      </w:r>
      <w:r w:rsidR="00F458D5">
        <w:rPr>
          <w:rFonts w:cs="Arial"/>
        </w:rPr>
        <w:t>, které představují významnější riziko pro životní prostředí, ale jejichž sběr je spojen</w:t>
      </w:r>
      <w:r w:rsidRPr="00ED38E9">
        <w:rPr>
          <w:rFonts w:cs="Arial"/>
        </w:rPr>
        <w:t xml:space="preserve"> s vyššími </w:t>
      </w:r>
      <w:r w:rsidR="00F458D5">
        <w:rPr>
          <w:rFonts w:cs="Arial"/>
        </w:rPr>
        <w:t>náklady</w:t>
      </w:r>
      <w:r w:rsidR="00863793">
        <w:rPr>
          <w:rFonts w:cs="Arial"/>
        </w:rPr>
        <w:t>,</w:t>
      </w:r>
      <w:r w:rsidR="00F458D5">
        <w:rPr>
          <w:rFonts w:cs="Arial"/>
        </w:rPr>
        <w:t xml:space="preserve"> případně</w:t>
      </w:r>
      <w:r w:rsidR="00F458D5" w:rsidRPr="00ED38E9">
        <w:rPr>
          <w:rFonts w:cs="Arial"/>
        </w:rPr>
        <w:t xml:space="preserve"> </w:t>
      </w:r>
      <w:r w:rsidRPr="00ED38E9">
        <w:rPr>
          <w:rFonts w:cs="Arial"/>
        </w:rPr>
        <w:t xml:space="preserve">by </w:t>
      </w:r>
      <w:r w:rsidR="00F458D5">
        <w:rPr>
          <w:rFonts w:cs="Arial"/>
        </w:rPr>
        <w:t xml:space="preserve">byl tento sběr </w:t>
      </w:r>
      <w:r w:rsidRPr="00ED38E9">
        <w:rPr>
          <w:rFonts w:cs="Arial"/>
        </w:rPr>
        <w:t>realizo</w:t>
      </w:r>
      <w:r w:rsidR="00F458D5">
        <w:rPr>
          <w:rFonts w:cs="Arial"/>
        </w:rPr>
        <w:t>ván</w:t>
      </w:r>
      <w:r w:rsidRPr="00ED38E9">
        <w:rPr>
          <w:rFonts w:cs="Arial"/>
        </w:rPr>
        <w:t xml:space="preserve"> </w:t>
      </w:r>
      <w:r w:rsidR="00F458D5">
        <w:rPr>
          <w:rFonts w:cs="Arial"/>
        </w:rPr>
        <w:t>jen v minimální míře</w:t>
      </w:r>
      <w:r w:rsidRPr="00ED38E9">
        <w:rPr>
          <w:rFonts w:cs="Arial"/>
        </w:rPr>
        <w:t xml:space="preserve">, neboť by </w:t>
      </w:r>
      <w:r w:rsidR="00F458D5">
        <w:rPr>
          <w:rFonts w:cs="Arial"/>
        </w:rPr>
        <w:t>existovala</w:t>
      </w:r>
      <w:r w:rsidR="00F458D5" w:rsidRPr="00ED38E9">
        <w:rPr>
          <w:rFonts w:cs="Arial"/>
        </w:rPr>
        <w:t xml:space="preserve"> </w:t>
      </w:r>
      <w:r w:rsidRPr="00ED38E9">
        <w:rPr>
          <w:rFonts w:cs="Arial"/>
        </w:rPr>
        <w:t xml:space="preserve">zcela legální možnost, aby svůj zákonný cíl </w:t>
      </w:r>
      <w:r w:rsidR="00F458D5">
        <w:rPr>
          <w:rFonts w:cs="Arial"/>
        </w:rPr>
        <w:t xml:space="preserve">kolektivní systémy </w:t>
      </w:r>
      <w:r w:rsidRPr="00ED38E9">
        <w:rPr>
          <w:rFonts w:cs="Arial"/>
        </w:rPr>
        <w:t xml:space="preserve">splnily sběrem jiných (těžších a snadněji získatelných) OEEZ. Popsaná situace de facto odráží současné praktiky některých kolektivních systémů. V některých skupinách OEEZ by tak došlo k dalšímu poklesu stávající úrovně sběru.  </w:t>
      </w:r>
    </w:p>
    <w:p w:rsidR="00261D77" w:rsidRPr="00ED38E9" w:rsidRDefault="00261D77" w:rsidP="005D660F">
      <w:pPr>
        <w:pStyle w:val="Nadpis2"/>
      </w:pPr>
      <w:bookmarkStart w:id="23" w:name="_Toc441759845"/>
      <w:r w:rsidRPr="00ED38E9">
        <w:t>Návrh variant řešení</w:t>
      </w:r>
      <w:bookmarkEnd w:id="23"/>
    </w:p>
    <w:p w:rsidR="00261D77" w:rsidRPr="00ED38E9" w:rsidRDefault="00261D77" w:rsidP="005D660F">
      <w:pPr>
        <w:pStyle w:val="Nadpis3"/>
      </w:pPr>
      <w:r w:rsidRPr="00ED38E9">
        <w:t>Varianta 0</w:t>
      </w:r>
    </w:p>
    <w:p w:rsidR="00261D77" w:rsidRPr="00ED38E9" w:rsidRDefault="00261D77" w:rsidP="00261D77">
      <w:pPr>
        <w:rPr>
          <w:rFonts w:cs="Arial"/>
        </w:rPr>
      </w:pPr>
      <w:r w:rsidRPr="00ED38E9">
        <w:rPr>
          <w:rFonts w:cs="Arial"/>
        </w:rPr>
        <w:t xml:space="preserve">Ponechání současného stavu, tj. nestanovení cílů sběru elektroodpadu na konkrétní subjekty, ale na ČR jako celek při existenci postupně rostoucího závazku na </w:t>
      </w:r>
      <w:r w:rsidR="00AB3A5B" w:rsidRPr="00ED38E9">
        <w:rPr>
          <w:rFonts w:cs="Arial"/>
        </w:rPr>
        <w:t>zvýšen</w:t>
      </w:r>
      <w:r w:rsidR="00AB3A5B">
        <w:rPr>
          <w:rFonts w:cs="Arial"/>
        </w:rPr>
        <w:t>í</w:t>
      </w:r>
      <w:r w:rsidR="00AB3A5B" w:rsidRPr="00ED38E9">
        <w:rPr>
          <w:rFonts w:cs="Arial"/>
        </w:rPr>
        <w:t xml:space="preserve"> </w:t>
      </w:r>
      <w:r w:rsidRPr="00ED38E9">
        <w:rPr>
          <w:rFonts w:cs="Arial"/>
        </w:rPr>
        <w:t>úrovně sběru OEEZ dle požadavků Směrnice OEEZ společně pro šest skupin EEZ nejpozději do 14.</w:t>
      </w:r>
      <w:r w:rsidR="00DC4565">
        <w:rPr>
          <w:rFonts w:cs="Arial"/>
        </w:rPr>
        <w:t> </w:t>
      </w:r>
      <w:r w:rsidRPr="00ED38E9">
        <w:rPr>
          <w:rFonts w:cs="Arial"/>
        </w:rPr>
        <w:t>srpna 2021.</w:t>
      </w:r>
    </w:p>
    <w:p w:rsidR="00261D77" w:rsidRPr="00ED38E9" w:rsidRDefault="00261D77" w:rsidP="005D660F">
      <w:pPr>
        <w:pStyle w:val="Nadpis3"/>
      </w:pPr>
      <w:r w:rsidRPr="00ED38E9">
        <w:t>Varianta 1</w:t>
      </w:r>
    </w:p>
    <w:p w:rsidR="00261D77" w:rsidRPr="00ED38E9" w:rsidRDefault="00261D77" w:rsidP="00261D77">
      <w:pPr>
        <w:rPr>
          <w:rFonts w:cs="Arial"/>
        </w:rPr>
      </w:pPr>
      <w:r w:rsidRPr="00ED38E9">
        <w:rPr>
          <w:rFonts w:cs="Arial"/>
        </w:rPr>
        <w:t>Nastavení minimálních cílů sběru v oblasti elektrozařízení dle specifických skupin pro vybrané druhy EEZ, u kterých hrozí riziko poklesu objemu sběru na úkor EEZ s větší hmotností jednodušším způsobem sběru a ekonomicky efektivním zpracováním.</w:t>
      </w:r>
    </w:p>
    <w:p w:rsidR="00261D77" w:rsidRPr="00ED38E9" w:rsidRDefault="00261D77" w:rsidP="00261D77">
      <w:pPr>
        <w:rPr>
          <w:rFonts w:cs="Arial"/>
        </w:rPr>
      </w:pPr>
      <w:r w:rsidRPr="00ED38E9">
        <w:rPr>
          <w:rFonts w:cs="Arial"/>
          <w:b/>
        </w:rPr>
        <w:t>Stanovení samostatných cílů sběru</w:t>
      </w:r>
      <w:r w:rsidRPr="00ED38E9">
        <w:rPr>
          <w:rFonts w:cs="Arial"/>
        </w:rPr>
        <w:t xml:space="preserve"> pro následující uvedené skupiny elektrozařízení 1, 2 a 3 (dle klasifikace směrnice 2012/19/EU platné od 15. srpna 2018) je navrhováno zejména z toho důvodu, že se týkají elektrozařízení, která obsahují řadu látek problematických ve vztahu k životnímu prostředí (zejména rtuť, luminofory, teplonosná média), a musí jim být tedy věnována vyšší pozornost. </w:t>
      </w:r>
    </w:p>
    <w:p w:rsidR="00261D77" w:rsidRPr="00ED38E9" w:rsidRDefault="00261D77" w:rsidP="00261D77">
      <w:pPr>
        <w:rPr>
          <w:rFonts w:cs="Arial"/>
        </w:rPr>
      </w:pPr>
      <w:r w:rsidRPr="00ED38E9">
        <w:rPr>
          <w:rFonts w:cs="Arial"/>
        </w:rPr>
        <w:t>Jedná se o skupiny OEEZ vykazované ve skupinách:</w:t>
      </w:r>
    </w:p>
    <w:p w:rsidR="00261D77" w:rsidRPr="00ED38E9" w:rsidRDefault="00261D77" w:rsidP="002D66F0">
      <w:pPr>
        <w:numPr>
          <w:ilvl w:val="0"/>
          <w:numId w:val="110"/>
        </w:numPr>
        <w:spacing w:after="120"/>
        <w:rPr>
          <w:rFonts w:cs="Arial"/>
        </w:rPr>
      </w:pPr>
      <w:r w:rsidRPr="00ED38E9">
        <w:rPr>
          <w:rFonts w:cs="Arial"/>
        </w:rPr>
        <w:t>1. Zařízení pro tepelnou výměnu</w:t>
      </w:r>
    </w:p>
    <w:p w:rsidR="00261D77" w:rsidRPr="00ED38E9" w:rsidRDefault="00261D77" w:rsidP="002D66F0">
      <w:pPr>
        <w:numPr>
          <w:ilvl w:val="0"/>
          <w:numId w:val="110"/>
        </w:numPr>
        <w:spacing w:after="120"/>
        <w:rPr>
          <w:rFonts w:cs="Arial"/>
        </w:rPr>
      </w:pPr>
      <w:r w:rsidRPr="00ED38E9">
        <w:rPr>
          <w:rFonts w:cs="Arial"/>
        </w:rPr>
        <w:t>2. Obrazovky, monitory a zařízení obsahující obrazovky o ploše větší než 100 cm2</w:t>
      </w:r>
    </w:p>
    <w:p w:rsidR="00261D77" w:rsidRPr="00ED38E9" w:rsidRDefault="00261D77" w:rsidP="002D66F0">
      <w:pPr>
        <w:numPr>
          <w:ilvl w:val="0"/>
          <w:numId w:val="110"/>
        </w:numPr>
        <w:spacing w:after="120"/>
        <w:rPr>
          <w:rFonts w:cs="Arial"/>
        </w:rPr>
      </w:pPr>
      <w:r w:rsidRPr="00ED38E9">
        <w:rPr>
          <w:rFonts w:cs="Arial"/>
        </w:rPr>
        <w:t>3. Světelné zdroje</w:t>
      </w:r>
    </w:p>
    <w:p w:rsidR="00261D77" w:rsidRPr="00ED38E9" w:rsidRDefault="00261D77" w:rsidP="00261D77">
      <w:pPr>
        <w:spacing w:before="120"/>
        <w:rPr>
          <w:rFonts w:cs="Arial"/>
        </w:rPr>
      </w:pPr>
      <w:r w:rsidRPr="00ED38E9">
        <w:rPr>
          <w:rFonts w:cs="Arial"/>
        </w:rPr>
        <w:t>Návrh specifických cílů stanovuje postupný nárůst minimální úrovně odběru v souvislosti s celkovým cílem, který musí naplnit ČR do výše 65 % do r. 2021, prezentuje tabulka níže.</w:t>
      </w:r>
    </w:p>
    <w:p w:rsidR="00261D77" w:rsidRPr="00ED38E9" w:rsidRDefault="00261D77" w:rsidP="00261D77">
      <w:pPr>
        <w:pStyle w:val="Titulek"/>
        <w:rPr>
          <w:rFonts w:cs="Arial"/>
        </w:rPr>
      </w:pPr>
      <w:r w:rsidRPr="00ED38E9">
        <w:rPr>
          <w:rFonts w:cs="Arial"/>
        </w:rPr>
        <w:lastRenderedPageBreak/>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17</w:t>
      </w:r>
      <w:r w:rsidR="00381FB7" w:rsidRPr="00ED38E9">
        <w:rPr>
          <w:rFonts w:cs="Arial"/>
        </w:rPr>
        <w:fldChar w:fldCharType="end"/>
      </w:r>
      <w:r w:rsidRPr="00ED38E9">
        <w:rPr>
          <w:rFonts w:cs="Arial"/>
        </w:rPr>
        <w:t xml:space="preserve">: Přehled minimálních cílů sběru </w:t>
      </w:r>
      <w:r w:rsidR="00775D31">
        <w:rPr>
          <w:rFonts w:cs="Arial"/>
        </w:rPr>
        <w:t>O</w:t>
      </w:r>
      <w:r w:rsidRPr="00ED38E9">
        <w:rPr>
          <w:rFonts w:cs="Arial"/>
        </w:rPr>
        <w:t>EEZ</w:t>
      </w:r>
    </w:p>
    <w:p w:rsidR="00261D77" w:rsidRPr="00ED38E9" w:rsidRDefault="00261D77" w:rsidP="00261D77">
      <w:pPr>
        <w:rPr>
          <w:rFonts w:cs="Arial"/>
        </w:rPr>
      </w:pPr>
      <w:r w:rsidRPr="00ED38E9">
        <w:rPr>
          <w:rFonts w:cs="Arial"/>
          <w:lang w:eastAsia="cs-CZ" w:bidi="ar-SA"/>
        </w:rPr>
        <w:drawing>
          <wp:inline distT="0" distB="0" distL="0" distR="0" wp14:anchorId="133D627C" wp14:editId="34F7DB1B">
            <wp:extent cx="5764530" cy="1415415"/>
            <wp:effectExtent l="0" t="0" r="7620" b="0"/>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4530" cy="1415415"/>
                    </a:xfrm>
                    <a:prstGeom prst="rect">
                      <a:avLst/>
                    </a:prstGeom>
                    <a:noFill/>
                    <a:ln>
                      <a:noFill/>
                    </a:ln>
                  </pic:spPr>
                </pic:pic>
              </a:graphicData>
            </a:graphic>
          </wp:inline>
        </w:drawing>
      </w:r>
    </w:p>
    <w:p w:rsidR="00261D77" w:rsidRPr="00ED38E9" w:rsidRDefault="00261D77" w:rsidP="00261D77">
      <w:pPr>
        <w:rPr>
          <w:rFonts w:cs="Arial"/>
        </w:rPr>
      </w:pPr>
    </w:p>
    <w:p w:rsidR="00261D77" w:rsidRPr="00ED38E9" w:rsidRDefault="00261D77" w:rsidP="005D660F">
      <w:pPr>
        <w:pStyle w:val="Nadpis2"/>
      </w:pPr>
      <w:bookmarkStart w:id="24" w:name="_Toc441759846"/>
      <w:r w:rsidRPr="00ED38E9">
        <w:t>Vyhodnocení nákladů a přínosů</w:t>
      </w:r>
      <w:bookmarkEnd w:id="24"/>
    </w:p>
    <w:p w:rsidR="00261D77" w:rsidRPr="00ED38E9" w:rsidRDefault="00261D77" w:rsidP="005D660F">
      <w:pPr>
        <w:pStyle w:val="Nadpis3"/>
      </w:pPr>
      <w:r w:rsidRPr="00ED38E9">
        <w:t>Identifikace nákladů a přínosů</w:t>
      </w:r>
    </w:p>
    <w:p w:rsidR="00261D77" w:rsidRPr="00ED38E9" w:rsidRDefault="00261D77" w:rsidP="002D66F0">
      <w:pPr>
        <w:pStyle w:val="Odstavecseseznamem"/>
        <w:keepNext/>
        <w:numPr>
          <w:ilvl w:val="0"/>
          <w:numId w:val="123"/>
        </w:numPr>
        <w:spacing w:before="240" w:after="120"/>
        <w:ind w:left="714" w:hanging="357"/>
        <w:contextualSpacing w:val="0"/>
        <w:rPr>
          <w:rFonts w:cs="Arial"/>
        </w:rPr>
      </w:pPr>
      <w:r w:rsidRPr="00ED38E9">
        <w:rPr>
          <w:rFonts w:cs="Arial"/>
        </w:rPr>
        <w:t>Varianta 0</w:t>
      </w:r>
    </w:p>
    <w:p w:rsidR="00261D77" w:rsidRPr="00ED38E9" w:rsidRDefault="00261D77" w:rsidP="00261D77">
      <w:pPr>
        <w:pStyle w:val="Normlntun"/>
        <w:rPr>
          <w:rFonts w:cs="Arial"/>
        </w:rPr>
      </w:pPr>
      <w:r w:rsidRPr="00ED38E9">
        <w:rPr>
          <w:rFonts w:cs="Arial"/>
        </w:rPr>
        <w:t>Dopady na státní rozpočet a ostatní veřejné rozpočty</w:t>
      </w:r>
    </w:p>
    <w:p w:rsidR="00261D77" w:rsidRPr="00ED38E9" w:rsidRDefault="00261D77" w:rsidP="00261D77">
      <w:pPr>
        <w:pStyle w:val="Normlntun"/>
        <w:rPr>
          <w:rFonts w:cs="Arial"/>
          <w:b w:val="0"/>
          <w:bCs w:val="0"/>
        </w:rPr>
      </w:pPr>
      <w:r w:rsidRPr="00ED38E9">
        <w:rPr>
          <w:rFonts w:cs="Arial"/>
          <w:b w:val="0"/>
          <w:bCs w:val="0"/>
        </w:rPr>
        <w:t xml:space="preserve">Dopady na státní rozpočet a ostatní veřejné rozpočty v nulté variantě lze charakterizovat především jako rizika vyplývající z nenaplnění cílů Směrnice OEEZ za ČR, </w:t>
      </w:r>
      <w:r w:rsidR="00AB3A5B" w:rsidRPr="00ED38E9">
        <w:rPr>
          <w:rFonts w:cs="Arial"/>
          <w:b w:val="0"/>
          <w:bCs w:val="0"/>
        </w:rPr>
        <w:t>kter</w:t>
      </w:r>
      <w:r w:rsidR="00AB3A5B">
        <w:rPr>
          <w:rFonts w:cs="Arial"/>
          <w:b w:val="0"/>
          <w:bCs w:val="0"/>
        </w:rPr>
        <w:t>á</w:t>
      </w:r>
      <w:r w:rsidR="00AB3A5B" w:rsidRPr="00ED38E9">
        <w:rPr>
          <w:rFonts w:cs="Arial"/>
          <w:b w:val="0"/>
          <w:bCs w:val="0"/>
        </w:rPr>
        <w:t xml:space="preserve"> </w:t>
      </w:r>
      <w:r w:rsidRPr="00ED38E9">
        <w:rPr>
          <w:rFonts w:cs="Arial"/>
          <w:b w:val="0"/>
          <w:bCs w:val="0"/>
        </w:rPr>
        <w:t xml:space="preserve">by v krajním případě </w:t>
      </w:r>
      <w:r w:rsidR="002907BD" w:rsidRPr="000B7CBF">
        <w:rPr>
          <w:rFonts w:cs="Arial"/>
          <w:b w:val="0"/>
          <w:bCs w:val="0"/>
        </w:rPr>
        <w:t>mohl</w:t>
      </w:r>
      <w:r w:rsidR="002907BD">
        <w:rPr>
          <w:rFonts w:cs="Arial"/>
          <w:b w:val="0"/>
          <w:bCs w:val="0"/>
        </w:rPr>
        <w:t>a</w:t>
      </w:r>
      <w:r w:rsidR="00AB3A5B" w:rsidRPr="00ED38E9">
        <w:rPr>
          <w:rFonts w:cs="Arial"/>
          <w:b w:val="0"/>
          <w:bCs w:val="0"/>
        </w:rPr>
        <w:t xml:space="preserve"> </w:t>
      </w:r>
      <w:r w:rsidRPr="00ED38E9">
        <w:rPr>
          <w:rFonts w:cs="Arial"/>
          <w:b w:val="0"/>
          <w:bCs w:val="0"/>
        </w:rPr>
        <w:t xml:space="preserve">vést k finančním sankcím. </w:t>
      </w:r>
    </w:p>
    <w:p w:rsidR="00261D77" w:rsidRPr="00ED38E9" w:rsidRDefault="00261D77" w:rsidP="00261D77">
      <w:pPr>
        <w:pStyle w:val="Normlntun"/>
        <w:rPr>
          <w:rFonts w:cs="Arial"/>
          <w:b w:val="0"/>
          <w:bCs w:val="0"/>
        </w:rPr>
      </w:pPr>
    </w:p>
    <w:p w:rsidR="00261D77" w:rsidRPr="00ED38E9" w:rsidRDefault="00261D77" w:rsidP="00261D77">
      <w:pPr>
        <w:pStyle w:val="Normlntun"/>
        <w:rPr>
          <w:rFonts w:cs="Arial"/>
        </w:rPr>
      </w:pPr>
      <w:r w:rsidRPr="00ED38E9">
        <w:rPr>
          <w:rFonts w:cs="Arial"/>
        </w:rPr>
        <w:t xml:space="preserve">Dopady na podnikatelské subjekty </w:t>
      </w:r>
    </w:p>
    <w:p w:rsidR="00261D77" w:rsidRPr="00ED38E9" w:rsidRDefault="00261D77" w:rsidP="00261D77">
      <w:pPr>
        <w:pStyle w:val="Normlntun"/>
        <w:rPr>
          <w:rFonts w:cs="Arial"/>
          <w:color w:val="FF0000"/>
        </w:rPr>
      </w:pPr>
      <w:r w:rsidRPr="00ED38E9">
        <w:rPr>
          <w:rFonts w:cs="Arial"/>
        </w:rPr>
        <w:t>Výrobci EEZ a provozovatelé kolektivních systémů</w:t>
      </w:r>
      <w:r w:rsidRPr="00ED38E9">
        <w:rPr>
          <w:rFonts w:cs="Arial"/>
          <w:color w:val="FF0000"/>
        </w:rPr>
        <w:t xml:space="preserve"> </w:t>
      </w:r>
    </w:p>
    <w:p w:rsidR="00261D77" w:rsidRPr="00ED38E9" w:rsidRDefault="00261D77" w:rsidP="00261D77">
      <w:pPr>
        <w:rPr>
          <w:rFonts w:cs="Arial"/>
        </w:rPr>
      </w:pPr>
      <w:r w:rsidRPr="00ED38E9">
        <w:rPr>
          <w:rFonts w:cs="Arial"/>
        </w:rPr>
        <w:t>Ponechání jednoho celkové</w:t>
      </w:r>
      <w:r w:rsidR="00AB3A5B">
        <w:rPr>
          <w:rFonts w:cs="Arial"/>
        </w:rPr>
        <w:t>ho</w:t>
      </w:r>
      <w:r w:rsidRPr="00ED38E9">
        <w:rPr>
          <w:rFonts w:cs="Arial"/>
        </w:rPr>
        <w:t xml:space="preserve"> cíle podle požadavků Směrnice OEEZ může napomoci konzervaci stávajícího stavu, kdy některé KS sice formálně provozují sběrná místa (např. ve spolupráci s posledními prodejci, servisy nebo svozovými společnostmi), ale nedostatečně tato sběrná místa obhospodařují, zejména pokud jde o frekvenci svozu. </w:t>
      </w:r>
    </w:p>
    <w:p w:rsidR="00261D77" w:rsidRPr="00ED38E9" w:rsidRDefault="00261D77" w:rsidP="00261D77">
      <w:pPr>
        <w:rPr>
          <w:rFonts w:cs="Arial"/>
        </w:rPr>
      </w:pPr>
      <w:r w:rsidRPr="00ED38E9">
        <w:rPr>
          <w:rFonts w:cs="Arial"/>
        </w:rPr>
        <w:t xml:space="preserve">Tímto způsobem si sice KS snižuje provozní náklady (a de facto tím získává konkurenční výhodu), ale provozovatel místa zpětného odběru v důsledku takovéhoto jednání a ve snaze zbavit se sebraného OEEZ, odevzdává sebrané OEEZ bezplatně do míst zpětného odběru, které provozují jiné kolektivní systémy. </w:t>
      </w:r>
    </w:p>
    <w:p w:rsidR="00261D77" w:rsidRPr="00ED38E9" w:rsidRDefault="00261D77" w:rsidP="00261D77">
      <w:pPr>
        <w:pStyle w:val="Normlntun"/>
        <w:rPr>
          <w:rFonts w:cs="Arial"/>
        </w:rPr>
      </w:pPr>
      <w:r w:rsidRPr="00ED38E9">
        <w:rPr>
          <w:rFonts w:cs="Arial"/>
        </w:rPr>
        <w:t>Dopady na územní samosprávné celky (obce, kraje)</w:t>
      </w:r>
    </w:p>
    <w:p w:rsidR="00261D77" w:rsidRPr="00ED38E9" w:rsidRDefault="00261D77" w:rsidP="00261D77">
      <w:pPr>
        <w:rPr>
          <w:rFonts w:cs="Arial"/>
        </w:rPr>
      </w:pPr>
      <w:r w:rsidRPr="00ED38E9">
        <w:rPr>
          <w:rFonts w:cs="Arial"/>
        </w:rPr>
        <w:t xml:space="preserve">Povinnost výrobců EEZ určených k použití v domácnosti, resp. KS, zřídit místo zpětného odběru v obcích nad 2 000 obyvatel byla zavedena již novelou zákona o odpadech účinnou od r. 2014, a to tam, kde se nachází prodejna EEZ nebo v nichž jsou EEZ  dodávána konečnému uživateli při prodeji prostřednictvím prostředků komunikace na dálku. S ohledem na výše popsané způsoby prodeje výrobků ze strany internetových prodejců se tedy toto ustanovení týká </w:t>
      </w:r>
      <w:r w:rsidR="00644115">
        <w:rPr>
          <w:rFonts w:cs="Arial"/>
        </w:rPr>
        <w:t xml:space="preserve">minimálně </w:t>
      </w:r>
      <w:r w:rsidRPr="00ED38E9">
        <w:rPr>
          <w:rFonts w:cs="Arial"/>
        </w:rPr>
        <w:t>všech obcí nad 2000 obyvatel. V případě, že výrobce plní povinnosti v rámci KS, pak tuto povinnost za něj plní KS. Toto místo zpětného odběru může být zřízeno ve spolupráci s výrobcem nebo KS buď prostřednictvím samotné obce (místo na sběrném dvoře, sběrná nádoba na ulici, v budově obecního úřadu apod.), nebo také prostřednictvím subjektu, který provozuje svou činnost na území obce – sběrna odpadů, prodejci zboží atd.). Dále pak každá obec bez ohledu na počet obyvatel, může požádat na základě § 37k odst. 6. písm. b) zákona o odpadech výrobce, resp. KS, o uzavření smlouvy o</w:t>
      </w:r>
      <w:r w:rsidR="00F83DA4">
        <w:rPr>
          <w:rFonts w:cs="Arial"/>
        </w:rPr>
        <w:t> </w:t>
      </w:r>
      <w:r w:rsidRPr="00ED38E9">
        <w:rPr>
          <w:rFonts w:cs="Arial"/>
        </w:rPr>
        <w:t xml:space="preserve">využití systému sběru a třídění </w:t>
      </w:r>
      <w:r w:rsidRPr="00ED38E9">
        <w:rPr>
          <w:rFonts w:cs="Arial"/>
        </w:rPr>
        <w:lastRenderedPageBreak/>
        <w:t>komunálních odpadů stanovených obcí. Výrobce, resp. KS, pak ve spolupráci s obcí odebere od občanů i použitá EEZ včetně jejich částí, která občané odevzdají např. při sběru nebezpečného či velkoobjemového odpadu. KS v případě zájmů jednotlivých obcí dnes již běžně zřizují místa zpětného odběru na jejich území a KS i obce obvykle finančně motivují za účelem zvýšení množství zpětně odebraných EEZ pr</w:t>
      </w:r>
      <w:r w:rsidR="00FF0A24">
        <w:rPr>
          <w:rFonts w:cs="Arial"/>
        </w:rPr>
        <w:t>o účely druhotného zpracování a </w:t>
      </w:r>
      <w:r w:rsidRPr="00ED38E9">
        <w:rPr>
          <w:rFonts w:cs="Arial"/>
        </w:rPr>
        <w:t>recyklace. Je tedy možné, že obce mohou být kontaktovány více provozovateli kolektivních systémů. Zákon o odpadech neobsahuje omezení, že by obec mohla uzavřít smlouvu o</w:t>
      </w:r>
      <w:r w:rsidR="00644115">
        <w:rPr>
          <w:rFonts w:cs="Arial"/>
        </w:rPr>
        <w:t> </w:t>
      </w:r>
      <w:r w:rsidRPr="00ED38E9">
        <w:rPr>
          <w:rFonts w:cs="Arial"/>
        </w:rPr>
        <w:t>zřízení místa zpětného odběru pouze s jedním KS.</w:t>
      </w:r>
    </w:p>
    <w:p w:rsidR="00261D77" w:rsidRPr="00ED38E9" w:rsidRDefault="00261D77" w:rsidP="00261D77">
      <w:pPr>
        <w:pStyle w:val="Normlntun"/>
        <w:rPr>
          <w:rFonts w:cs="Arial"/>
        </w:rPr>
      </w:pPr>
      <w:r w:rsidRPr="00ED38E9">
        <w:rPr>
          <w:rFonts w:cs="Arial"/>
        </w:rPr>
        <w:t>Sociální dopady</w:t>
      </w:r>
    </w:p>
    <w:p w:rsidR="00261D77" w:rsidRPr="00ED38E9" w:rsidRDefault="00261D77" w:rsidP="00261D77">
      <w:pPr>
        <w:rPr>
          <w:rFonts w:cs="Arial"/>
        </w:rPr>
      </w:pPr>
      <w:r w:rsidRPr="00ED38E9">
        <w:rPr>
          <w:rFonts w:cs="Arial"/>
        </w:rPr>
        <w:t xml:space="preserve">Podle platné legislativy od r. 2005 se odpovědnost za financování nakládání s odpadem OEEZ převádí zejména na jejich výrobce a dovozce. V prodejnách (tzv. poslední prodejce) má spotřebitel možnost bezplatně odevzdat elektrozařízení pocházející z domácností v místě prodeje nebo dodávky tzv. kus za kus. Poslední prodejce zároveň v tomto případě nemůže vyžadovat platbu ani např. za odvoz takto odebraného odpadního elektrospotřebiče. To platí i v případech dodání a odebrání elektrozařízení prostřednictvím internetových obchodů a jimi najatých dopravců nebo v místě jiném než je „kamenná“ prodejna. </w:t>
      </w:r>
    </w:p>
    <w:p w:rsidR="00261D77" w:rsidRPr="00ED38E9" w:rsidRDefault="00261D77" w:rsidP="00261D77">
      <w:pPr>
        <w:rPr>
          <w:rFonts w:cs="Arial"/>
        </w:rPr>
      </w:pPr>
      <w:r w:rsidRPr="00ED38E9">
        <w:rPr>
          <w:rFonts w:cs="Arial"/>
        </w:rPr>
        <w:t>Novelizací zákona o odpadech z r. 2014 byla doplněna nová povinnost, která se vztahuje na poslední prodejce, kteří prodávají elektrozařízení na prodejní ploše dosahující alespoň 400 m</w:t>
      </w:r>
      <w:r w:rsidRPr="00ED38E9">
        <w:rPr>
          <w:rFonts w:cs="Arial"/>
          <w:vertAlign w:val="superscript"/>
        </w:rPr>
        <w:t>2</w:t>
      </w:r>
      <w:r w:rsidRPr="00ED38E9">
        <w:rPr>
          <w:rFonts w:cs="Arial"/>
        </w:rPr>
        <w:t>. Hranice 400 m</w:t>
      </w:r>
      <w:r w:rsidRPr="00ED38E9">
        <w:rPr>
          <w:rFonts w:cs="Arial"/>
          <w:vertAlign w:val="superscript"/>
        </w:rPr>
        <w:t>2</w:t>
      </w:r>
      <w:r w:rsidRPr="00ED38E9">
        <w:rPr>
          <w:rFonts w:cs="Arial"/>
        </w:rPr>
        <w:t xml:space="preserve"> prodejní plochy odpovídá mezinárodní klasifikaci, kdy prodejny se samoobsluhou s prodejní plochou větší než 400 m</w:t>
      </w:r>
      <w:r w:rsidRPr="00ED38E9">
        <w:rPr>
          <w:rFonts w:cs="Arial"/>
          <w:vertAlign w:val="superscript"/>
        </w:rPr>
        <w:t>2</w:t>
      </w:r>
      <w:r w:rsidRPr="00ED38E9">
        <w:rPr>
          <w:rFonts w:cs="Arial"/>
        </w:rPr>
        <w:t xml:space="preserve"> jsou nazývány supermarkety resp. velkoprodejnami se samoobsluhou. Takovýto prodejce je povinen v místě prodeje nebo jeho bezprostřední blízkosti bez ohledu na značku a bez vázání na nákup zboží umožnit spotřebiteli odevzdat použité elektrozařízení o vnějších rozměrech nepřesahujících 25 cm. Dále byly rozšířeny povinnosti posledních prodejců při prodeji prostřednictvím internetu. Poslední prodejce je při takovém prodeji výrobků, na které se vztahuje povinnost zpětného odběru, povinen prostřednictvím komunikace na dálku písemně i</w:t>
      </w:r>
      <w:r w:rsidR="00FF0A24">
        <w:rPr>
          <w:rFonts w:cs="Arial"/>
        </w:rPr>
        <w:t>nformovat konečného uživatele o </w:t>
      </w:r>
      <w:r w:rsidRPr="00ED38E9">
        <w:rPr>
          <w:rFonts w:cs="Arial"/>
        </w:rPr>
        <w:t xml:space="preserve">způsobu zajištění zpětného odběru, za které považováno informování konečného uživatele např. na faktuře, na internetových stránkách. </w:t>
      </w:r>
    </w:p>
    <w:p w:rsidR="00261D77" w:rsidRPr="00ED38E9" w:rsidRDefault="00261D77" w:rsidP="002D66F0">
      <w:pPr>
        <w:pStyle w:val="Odstavecseseznamem"/>
        <w:keepNext/>
        <w:numPr>
          <w:ilvl w:val="0"/>
          <w:numId w:val="123"/>
        </w:numPr>
        <w:spacing w:before="240" w:after="120"/>
        <w:contextualSpacing w:val="0"/>
        <w:rPr>
          <w:rFonts w:cs="Arial"/>
        </w:rPr>
      </w:pPr>
      <w:r w:rsidRPr="00ED38E9">
        <w:rPr>
          <w:rFonts w:cs="Arial"/>
        </w:rPr>
        <w:t>Varianta 1</w:t>
      </w:r>
    </w:p>
    <w:p w:rsidR="00261D77" w:rsidRPr="00ED38E9" w:rsidRDefault="00261D77" w:rsidP="00261D77">
      <w:pPr>
        <w:pStyle w:val="Normlntun"/>
        <w:rPr>
          <w:rFonts w:cs="Arial"/>
        </w:rPr>
      </w:pPr>
      <w:r w:rsidRPr="00ED38E9">
        <w:rPr>
          <w:rFonts w:cs="Arial"/>
        </w:rPr>
        <w:t>Dopady na státní rozpočet a ostatní veřejné rozpočty</w:t>
      </w:r>
    </w:p>
    <w:p w:rsidR="00261D77" w:rsidRPr="00ED38E9" w:rsidRDefault="00261D77" w:rsidP="00261D77">
      <w:pPr>
        <w:rPr>
          <w:rFonts w:cs="Arial"/>
        </w:rPr>
      </w:pPr>
      <w:r w:rsidRPr="00ED38E9">
        <w:rPr>
          <w:rFonts w:cs="Arial"/>
        </w:rPr>
        <w:t xml:space="preserve">Mezi dopady na státní rozpočet řadíme úpravu </w:t>
      </w:r>
      <w:r w:rsidR="009356B6">
        <w:rPr>
          <w:rFonts w:cs="Arial"/>
        </w:rPr>
        <w:t xml:space="preserve">formuláře </w:t>
      </w:r>
      <w:r w:rsidRPr="00ED38E9">
        <w:rPr>
          <w:rFonts w:cs="Arial"/>
        </w:rPr>
        <w:t>roční zprávy, náklady na tuto úpravu nejsou v současné době detailně vyčíslené, protože detaily roční zprávy jsou řešeny prováděcím právním předpisem, ke kterému budou náklady vyčísleny.</w:t>
      </w:r>
    </w:p>
    <w:p w:rsidR="00261D77" w:rsidRPr="00ED38E9" w:rsidRDefault="00261D77" w:rsidP="00261D77">
      <w:pPr>
        <w:pStyle w:val="Normlntun"/>
        <w:rPr>
          <w:rFonts w:cs="Arial"/>
        </w:rPr>
      </w:pPr>
      <w:r w:rsidRPr="00ED38E9">
        <w:rPr>
          <w:rFonts w:cs="Arial"/>
        </w:rPr>
        <w:t>Dopady na podnikatelské subjekty - výrobci EEZ</w:t>
      </w:r>
    </w:p>
    <w:p w:rsidR="00261D77" w:rsidRPr="00ED38E9" w:rsidRDefault="00AB3A5B" w:rsidP="00261D77">
      <w:pPr>
        <w:rPr>
          <w:rFonts w:cs="Arial"/>
        </w:rPr>
      </w:pPr>
      <w:r>
        <w:rPr>
          <w:rFonts w:cs="Arial"/>
        </w:rPr>
        <w:t xml:space="preserve">Tyto subjekty </w:t>
      </w:r>
      <w:r w:rsidR="00F97AF3">
        <w:rPr>
          <w:rFonts w:cs="Arial"/>
        </w:rPr>
        <w:t>j</w:t>
      </w:r>
      <w:r w:rsidR="00261D77" w:rsidRPr="00ED38E9">
        <w:rPr>
          <w:rFonts w:cs="Arial"/>
        </w:rPr>
        <w:t>sou povinn</w:t>
      </w:r>
      <w:r w:rsidR="00F97AF3">
        <w:rPr>
          <w:rFonts w:cs="Arial"/>
        </w:rPr>
        <w:t>y</w:t>
      </w:r>
      <w:r w:rsidR="00261D77" w:rsidRPr="00ED38E9">
        <w:rPr>
          <w:rFonts w:cs="Arial"/>
        </w:rPr>
        <w:t xml:space="preserve"> vést evidenci množství vybraných výrobků, které uvádí na trh, osob, které pro výrobce zajišťují zpětný odběr, svoz, zpracování či jiné nakládání se zpětně odebranými </w:t>
      </w:r>
      <w:r w:rsidRPr="00ED38E9">
        <w:rPr>
          <w:rFonts w:cs="Arial"/>
        </w:rPr>
        <w:t>výrobk</w:t>
      </w:r>
      <w:r>
        <w:rPr>
          <w:rFonts w:cs="Arial"/>
        </w:rPr>
        <w:t>y</w:t>
      </w:r>
      <w:r w:rsidRPr="00ED38E9">
        <w:rPr>
          <w:rFonts w:cs="Arial"/>
        </w:rPr>
        <w:t xml:space="preserve"> </w:t>
      </w:r>
      <w:r w:rsidR="00261D77" w:rsidRPr="00ED38E9">
        <w:rPr>
          <w:rFonts w:cs="Arial"/>
        </w:rPr>
        <w:t xml:space="preserve">s ukončenou životností a </w:t>
      </w:r>
      <w:r w:rsidR="00261D77" w:rsidRPr="00ED38E9">
        <w:rPr>
          <w:rFonts w:cs="Arial"/>
          <w:bCs/>
        </w:rPr>
        <w:t xml:space="preserve">toku zpětně odebraných výrobků </w:t>
      </w:r>
      <w:r w:rsidR="00261D77" w:rsidRPr="00ED38E9">
        <w:rPr>
          <w:rFonts w:cs="Arial"/>
        </w:rPr>
        <w:t>s ukončenou životností</w:t>
      </w:r>
      <w:r w:rsidR="00261D77" w:rsidRPr="00ED38E9">
        <w:rPr>
          <w:rFonts w:cs="Arial"/>
          <w:bCs/>
        </w:rPr>
        <w:t xml:space="preserve"> od místa zpětného odběru až po jejich konečné využití, včetně přípravy k opětovnému použití, nebo odstranění.</w:t>
      </w:r>
    </w:p>
    <w:p w:rsidR="00261D77" w:rsidRPr="00ED38E9" w:rsidRDefault="00261D77" w:rsidP="00261D77">
      <w:pPr>
        <w:rPr>
          <w:rFonts w:cs="Arial"/>
        </w:rPr>
      </w:pPr>
      <w:r w:rsidRPr="00ED38E9">
        <w:rPr>
          <w:rFonts w:cs="Arial"/>
        </w:rPr>
        <w:lastRenderedPageBreak/>
        <w:t xml:space="preserve">Výrobci EEZ smí uzavřít smlouvu o kolektivním plnění pro vybrané výrobky spadající do jedné ze skupin evidence EEZ (podle klasifikace platné do r. 2018 i podle změněné následně), které uvádí na trh, a to pouze s jedním provozovatelem KS. </w:t>
      </w:r>
    </w:p>
    <w:p w:rsidR="00261D77" w:rsidRPr="00ED38E9" w:rsidRDefault="00261D77" w:rsidP="00261D77">
      <w:pPr>
        <w:rPr>
          <w:rFonts w:cs="Arial"/>
        </w:rPr>
      </w:pPr>
      <w:r w:rsidRPr="00ED38E9">
        <w:rPr>
          <w:rFonts w:cs="Arial"/>
        </w:rPr>
        <w:t xml:space="preserve">Pokud výrobce plní povinnosti ukládané návrhem zákona prostřednictvím KS, je zajišťován provoz a financování KS na základě příspěvků těchto výrobců, a to v závislosti na typu a množství vybraných výrobků, které uvádí na trh. </w:t>
      </w:r>
    </w:p>
    <w:p w:rsidR="00261D77" w:rsidRPr="00ED38E9" w:rsidRDefault="00261D77" w:rsidP="00261D77">
      <w:pPr>
        <w:pStyle w:val="Normlntun"/>
        <w:rPr>
          <w:rFonts w:cs="Arial"/>
        </w:rPr>
      </w:pPr>
      <w:r w:rsidRPr="00ED38E9">
        <w:rPr>
          <w:rFonts w:cs="Arial"/>
        </w:rPr>
        <w:t>Dopady na podnikatelské subjekty - KS</w:t>
      </w:r>
    </w:p>
    <w:p w:rsidR="00261D77" w:rsidRPr="00ED38E9" w:rsidRDefault="00261D77" w:rsidP="00261D77">
      <w:pPr>
        <w:rPr>
          <w:rFonts w:cs="Arial"/>
        </w:rPr>
      </w:pPr>
      <w:r w:rsidRPr="00ED38E9">
        <w:rPr>
          <w:rFonts w:cs="Arial"/>
        </w:rPr>
        <w:t>Provozovatel kolektivního systému je povinen vytvořit finanční rezervu určenou na krytí budoucích nákladů na kolektivní plnění povinností výrobců, zohledňující finanční rizika s tím spojená, jejímž cílem je zajistit kontinuitu a dostupnost poskytován</w:t>
      </w:r>
      <w:r w:rsidR="00AB3A5B">
        <w:rPr>
          <w:rFonts w:cs="Arial"/>
        </w:rPr>
        <w:t>í</w:t>
      </w:r>
      <w:r w:rsidRPr="00ED38E9">
        <w:rPr>
          <w:rFonts w:cs="Arial"/>
        </w:rPr>
        <w:t xml:space="preserve"> služeb ze strany provozovatele kolektivního systému. Provozovatel kolektivního systému finanční rezervu vytváří a v případě jejího čerpání doplňuje tak, aby po uplynutí 4 let od udělení oprávnění k provozování kolektivního systému dosahovala její výše k poslednímu dni každého účetního období nejméně 50 % nákladů provozovatele KS podle schválené účetní závěrky za předcházející účetní období. Do nákladů provozovatele kolektivního systému se pro účely tohoto ustanovení nezapočítávají zaplacená daň z příjmů a náklady na tvorbu finanční rezervy.</w:t>
      </w:r>
    </w:p>
    <w:p w:rsidR="00261D77" w:rsidRPr="00ED38E9" w:rsidRDefault="00261D77" w:rsidP="00261D77">
      <w:pPr>
        <w:rPr>
          <w:rFonts w:cs="Arial"/>
        </w:rPr>
      </w:pPr>
      <w:r w:rsidRPr="00ED38E9">
        <w:rPr>
          <w:rFonts w:cs="Arial"/>
        </w:rPr>
        <w:t>Takovéto vázané finanční prostředky představují zdroje pro financování budoucích nákladů</w:t>
      </w:r>
      <w:r w:rsidR="001D693E">
        <w:rPr>
          <w:rFonts w:cs="Arial"/>
        </w:rPr>
        <w:t>,</w:t>
      </w:r>
      <w:r w:rsidRPr="00ED38E9">
        <w:rPr>
          <w:rFonts w:cs="Arial"/>
        </w:rPr>
        <w:t xml:space="preserve"> a proto je i omezena možnost nakládání s těmito prostředky. Dle návrhu </w:t>
      </w:r>
      <w:r w:rsidR="001D693E">
        <w:rPr>
          <w:rFonts w:cs="Arial"/>
        </w:rPr>
        <w:t>tyto finanční prostředky</w:t>
      </w:r>
      <w:r w:rsidRPr="00ED38E9">
        <w:rPr>
          <w:rFonts w:cs="Arial"/>
        </w:rPr>
        <w:t xml:space="preserve"> nemohou být předmětem nařízení a provedení výkonu rozhodnutí nebo exekuce, ani zahrnuty do majetkové podstaty provozovatele KS. Údaje o stavu a čerpání finanč</w:t>
      </w:r>
      <w:r w:rsidR="00AB3A5B">
        <w:rPr>
          <w:rFonts w:cs="Arial"/>
        </w:rPr>
        <w:t>n</w:t>
      </w:r>
      <w:r w:rsidRPr="00ED38E9">
        <w:rPr>
          <w:rFonts w:cs="Arial"/>
        </w:rPr>
        <w:t xml:space="preserve">ích prostředků ze zvláštního vázaného účetu uvádí provozovatel kolektivního systému v roční zprávě o výrobcích s ukončenou životností. </w:t>
      </w:r>
    </w:p>
    <w:p w:rsidR="00261D77" w:rsidRPr="00ED38E9" w:rsidRDefault="00261D77" w:rsidP="00261D77">
      <w:pPr>
        <w:rPr>
          <w:rFonts w:cs="Arial"/>
        </w:rPr>
      </w:pPr>
      <w:r w:rsidRPr="00ED38E9">
        <w:rPr>
          <w:rFonts w:cs="Arial"/>
        </w:rPr>
        <w:t xml:space="preserve">Finanční rezervou se snižuje riziko deficitního hospodaření, kdy alespoň část budoucích nákladů může být uhrazena z těchto vázaných prostředků. Představuje také garanci pro zajištění zpětného odběru některých </w:t>
      </w:r>
      <w:r w:rsidR="001D693E">
        <w:rPr>
          <w:rFonts w:cs="Arial"/>
        </w:rPr>
        <w:t>O</w:t>
      </w:r>
      <w:r w:rsidRPr="00ED38E9">
        <w:rPr>
          <w:rFonts w:cs="Arial"/>
        </w:rPr>
        <w:t>EEZ obsahujících nebezpečné látky</w:t>
      </w:r>
      <w:r w:rsidR="00F32A08">
        <w:rPr>
          <w:rFonts w:cs="Arial"/>
        </w:rPr>
        <w:t>.</w:t>
      </w:r>
      <w:r w:rsidRPr="00ED38E9">
        <w:rPr>
          <w:rFonts w:cs="Arial"/>
        </w:rPr>
        <w:t xml:space="preserve"> Dopad tohoto opatření na </w:t>
      </w:r>
      <w:r w:rsidR="00F83DA4" w:rsidRPr="00ED38E9">
        <w:rPr>
          <w:rFonts w:cs="Arial"/>
        </w:rPr>
        <w:t>jednotliv</w:t>
      </w:r>
      <w:r w:rsidR="00F83DA4">
        <w:rPr>
          <w:rFonts w:cs="Arial"/>
        </w:rPr>
        <w:t>é</w:t>
      </w:r>
      <w:r w:rsidR="00F83DA4" w:rsidRPr="00ED38E9">
        <w:rPr>
          <w:rFonts w:cs="Arial"/>
        </w:rPr>
        <w:t xml:space="preserve"> </w:t>
      </w:r>
      <w:r w:rsidRPr="00ED38E9">
        <w:rPr>
          <w:rFonts w:cs="Arial"/>
        </w:rPr>
        <w:t xml:space="preserve">KS není však jednoznačně popsatelný, protože výsledky hospodaření nejsou v případě všech KS </w:t>
      </w:r>
      <w:r w:rsidR="00AB3A5B" w:rsidRPr="00ED38E9">
        <w:rPr>
          <w:rFonts w:cs="Arial"/>
        </w:rPr>
        <w:t>veřejn</w:t>
      </w:r>
      <w:r w:rsidR="00AB3A5B">
        <w:rPr>
          <w:rFonts w:cs="Arial"/>
        </w:rPr>
        <w:t>ě</w:t>
      </w:r>
      <w:r w:rsidR="00AB3A5B" w:rsidRPr="00ED38E9">
        <w:rPr>
          <w:rFonts w:cs="Arial"/>
        </w:rPr>
        <w:t xml:space="preserve"> </w:t>
      </w:r>
      <w:r w:rsidRPr="00ED38E9">
        <w:rPr>
          <w:rFonts w:cs="Arial"/>
        </w:rPr>
        <w:t xml:space="preserve">dohledatelné (Tabulka </w:t>
      </w:r>
      <w:r w:rsidR="00595F69">
        <w:rPr>
          <w:rFonts w:cs="Arial"/>
        </w:rPr>
        <w:t>19</w:t>
      </w:r>
      <w:r w:rsidRPr="00ED38E9">
        <w:rPr>
          <w:rFonts w:cs="Arial"/>
        </w:rPr>
        <w:t>), což neumožňuje tento dopad komplexně vyhodnotit s ohledem na finanční kondici jednotllivých KS.</w:t>
      </w:r>
    </w:p>
    <w:p w:rsidR="00261D77" w:rsidRPr="00ED38E9" w:rsidRDefault="00261D77" w:rsidP="00261D77">
      <w:pPr>
        <w:rPr>
          <w:rFonts w:cs="Arial"/>
        </w:rPr>
      </w:pPr>
      <w:r w:rsidRPr="00ED38E9">
        <w:rPr>
          <w:rFonts w:cs="Arial"/>
        </w:rPr>
        <w:t xml:space="preserve">KS dále nesmí rozdělovat zisk ze své činnosti, veškeré takové prostředky musí být použity k tvorbě rezerv, respektive na financování činností dle § 41 návrhu zákona: </w:t>
      </w:r>
    </w:p>
    <w:p w:rsidR="00261D77" w:rsidRPr="00ED38E9" w:rsidRDefault="00261D77" w:rsidP="002D66F0">
      <w:pPr>
        <w:numPr>
          <w:ilvl w:val="0"/>
          <w:numId w:val="124"/>
        </w:numPr>
        <w:spacing w:line="240" w:lineRule="auto"/>
        <w:rPr>
          <w:rFonts w:cs="Arial"/>
        </w:rPr>
      </w:pPr>
      <w:r w:rsidRPr="00ED38E9">
        <w:rPr>
          <w:rFonts w:cs="Arial"/>
        </w:rPr>
        <w:t>zajišťování kolektivního plnění povinností výrobců,</w:t>
      </w:r>
    </w:p>
    <w:p w:rsidR="00261D77" w:rsidRPr="00ED38E9" w:rsidRDefault="00261D77" w:rsidP="002D66F0">
      <w:pPr>
        <w:numPr>
          <w:ilvl w:val="0"/>
          <w:numId w:val="124"/>
        </w:numPr>
        <w:spacing w:line="240" w:lineRule="auto"/>
        <w:rPr>
          <w:rFonts w:cs="Arial"/>
        </w:rPr>
      </w:pPr>
      <w:r w:rsidRPr="00ED38E9">
        <w:rPr>
          <w:rFonts w:cs="Arial"/>
        </w:rPr>
        <w:t>osvětové a propagační činnosti,</w:t>
      </w:r>
    </w:p>
    <w:p w:rsidR="00261D77" w:rsidRPr="00ED38E9" w:rsidRDefault="00261D77" w:rsidP="002D66F0">
      <w:pPr>
        <w:numPr>
          <w:ilvl w:val="0"/>
          <w:numId w:val="124"/>
        </w:numPr>
        <w:spacing w:after="120"/>
        <w:rPr>
          <w:rFonts w:cs="Arial"/>
        </w:rPr>
      </w:pPr>
      <w:r w:rsidRPr="00ED38E9">
        <w:rPr>
          <w:rFonts w:cs="Arial"/>
        </w:rPr>
        <w:t>poradenské, výzkumné a publikační činnosti v oblasti zpětného odběru, opětovného použití a recyklace výrobků s ukončenou životností toho druhu, pro který zajišťuje kolektivní plnění povinností výrobců.</w:t>
      </w:r>
    </w:p>
    <w:p w:rsidR="00261D77" w:rsidRPr="00ED38E9" w:rsidRDefault="00261D77" w:rsidP="00261D77">
      <w:pPr>
        <w:rPr>
          <w:rFonts w:cs="Arial"/>
        </w:rPr>
      </w:pPr>
      <w:r w:rsidRPr="00ED38E9">
        <w:rPr>
          <w:rFonts w:cs="Arial"/>
        </w:rPr>
        <w:t>Pro provozovatele KS dále vzniká povinnost provádění auditu ze strany certifikovaného auditora podle zákona č. 93/2009 Sb., o auditorech. Auditor</w:t>
      </w:r>
      <w:r w:rsidR="00232C56">
        <w:rPr>
          <w:rFonts w:cs="Arial"/>
        </w:rPr>
        <w:t>em</w:t>
      </w:r>
      <w:r w:rsidRPr="00ED38E9">
        <w:rPr>
          <w:rFonts w:cs="Arial"/>
        </w:rPr>
        <w:t xml:space="preserve"> musí být ověřen</w:t>
      </w:r>
      <w:r w:rsidR="00232C56">
        <w:rPr>
          <w:rFonts w:cs="Arial"/>
        </w:rPr>
        <w:t>a</w:t>
      </w:r>
      <w:r w:rsidRPr="00ED38E9">
        <w:rPr>
          <w:rFonts w:cs="Arial"/>
        </w:rPr>
        <w:t xml:space="preserve"> účetní závěrka a výroční zprávu provozovatele kolektivního systému, podklady pro ověření správnosti evidencí výrobců, s nimiž má KS uzavřenou smlouvu o kolektivním plnění</w:t>
      </w:r>
      <w:r w:rsidR="00D31B1A">
        <w:rPr>
          <w:rFonts w:cs="Arial"/>
        </w:rPr>
        <w:t>,</w:t>
      </w:r>
      <w:r w:rsidRPr="00ED38E9">
        <w:rPr>
          <w:rFonts w:cs="Arial"/>
        </w:rPr>
        <w:t xml:space="preserve"> a osob, které pro provozovatele kolektivního systému zajišťují zpětný odběr, svoz, zpracování či jiné nakládání se zpětně odebranými výrobky s ukončenou životností. Za tímto účelem auditor vypracuje zprávu o ověření. </w:t>
      </w:r>
    </w:p>
    <w:p w:rsidR="00261D77" w:rsidRPr="00ED38E9" w:rsidRDefault="00261D77" w:rsidP="00261D77">
      <w:pPr>
        <w:spacing w:before="120"/>
        <w:rPr>
          <w:rFonts w:cs="Arial"/>
        </w:rPr>
      </w:pPr>
      <w:r w:rsidRPr="00ED38E9">
        <w:rPr>
          <w:rFonts w:cs="Arial"/>
        </w:rPr>
        <w:lastRenderedPageBreak/>
        <w:t xml:space="preserve">KS dále prostřednictvím auditora zajistí ověření správnosti a úplnosti údajů o množství vybraných výrobků uvedených na trh, které výrobci vykázali provozovateli kolektivního systému tak, aby bylo provedeno ověření u výrobců, kteří dohromady uvedli nejméně 15 % z celkového množství vybraných výrobků vykázaných provozovateli KS a ověření bylo provedeno u každého výrobce, s nímž má KS uzavřenou smlouvu nejméně jednou za 5 let. </w:t>
      </w:r>
    </w:p>
    <w:p w:rsidR="00261D77" w:rsidRPr="00ED38E9" w:rsidRDefault="00261D77" w:rsidP="00261D77">
      <w:pPr>
        <w:rPr>
          <w:rFonts w:cs="Arial"/>
        </w:rPr>
      </w:pPr>
      <w:r w:rsidRPr="00ED38E9">
        <w:rPr>
          <w:rFonts w:cs="Arial"/>
        </w:rPr>
        <w:t xml:space="preserve">Dále je povinností zajistit ověření správnosti a úplnosti údajů o množství výrobků s ukončenou životností, které byly zpětně odebrány, svezeny, zpracovány nebo s nimiž bylo </w:t>
      </w:r>
      <w:r w:rsidR="00AB3A5B" w:rsidRPr="00933184">
        <w:rPr>
          <w:rFonts w:cs="Arial"/>
        </w:rPr>
        <w:t>nakládáno</w:t>
      </w:r>
      <w:r w:rsidR="00AB3A5B" w:rsidRPr="000B7CBF">
        <w:rPr>
          <w:rFonts w:cs="Arial"/>
        </w:rPr>
        <w:t xml:space="preserve"> </w:t>
      </w:r>
      <w:r w:rsidRPr="00ED38E9">
        <w:rPr>
          <w:rFonts w:cs="Arial"/>
        </w:rPr>
        <w:t xml:space="preserve">jiným způsobem, včetně údajů o způsobu nakládání s těmito výrobky s ukončenou životností. Ověření by se mělo provádět tak, aby v každém roce </w:t>
      </w:r>
      <w:r w:rsidR="00AB3A5B">
        <w:rPr>
          <w:rFonts w:cs="Arial"/>
        </w:rPr>
        <w:t>bylo provedeno</w:t>
      </w:r>
      <w:r w:rsidR="00FF0A24">
        <w:rPr>
          <w:rFonts w:cs="Arial"/>
        </w:rPr>
        <w:t xml:space="preserve"> ověření u </w:t>
      </w:r>
      <w:r w:rsidRPr="00ED38E9">
        <w:rPr>
          <w:rFonts w:cs="Arial"/>
        </w:rPr>
        <w:t>osob zajišťujících zpětný odběr, svoz, zpracování či jiné nakládání se zpětně odebranými výrobky s ukončenou životností</w:t>
      </w:r>
      <w:r w:rsidR="00AB3A5B">
        <w:rPr>
          <w:rFonts w:cs="Arial"/>
        </w:rPr>
        <w:t xml:space="preserve">, které pokryje </w:t>
      </w:r>
      <w:r w:rsidRPr="00ED38E9">
        <w:rPr>
          <w:rFonts w:cs="Arial"/>
        </w:rPr>
        <w:t xml:space="preserve"> nejméně 20 % z celkového množství zpětně odebraných výrobků odebraných v rámci KS. Povinnost vypracování zpráv se vztahuje ke každému roku, ve kterém platí oprávnění k provozování kolektivního systému a provozovatel kolektivního systému je povinen ministerstvu jej zaslat nejpozději do 6 měsíců od skončení ověřovaného období. </w:t>
      </w:r>
    </w:p>
    <w:p w:rsidR="00261D77" w:rsidRPr="00ED38E9" w:rsidRDefault="00261D77" w:rsidP="00261D77">
      <w:pPr>
        <w:pStyle w:val="Normlntun"/>
        <w:rPr>
          <w:rFonts w:cs="Arial"/>
        </w:rPr>
      </w:pPr>
      <w:r w:rsidRPr="00ED38E9">
        <w:rPr>
          <w:rFonts w:cs="Arial"/>
        </w:rPr>
        <w:t>Dopady na územní samosprávné celky (obce, kraje)</w:t>
      </w:r>
    </w:p>
    <w:p w:rsidR="00261D77" w:rsidRPr="00ED38E9" w:rsidRDefault="00261D77" w:rsidP="00261D77">
      <w:pPr>
        <w:rPr>
          <w:rFonts w:cs="Arial"/>
        </w:rPr>
      </w:pPr>
      <w:r w:rsidRPr="00ED38E9">
        <w:rPr>
          <w:rFonts w:cs="Arial"/>
        </w:rPr>
        <w:t xml:space="preserve">Za účelem splnění povinností výrobců vyplývajících ze Směrnice OEEZ je výrobce elektrozařízení určených k použití v domácnostech povinen zřídit na vlastní náklady nejméně jedno veřejné místo zpětného odběru v každé obci, městském obvodě nebo městské části s počtem více než 2000 obyvatel. To reprezentuje podle statistických údajů nejméně 676 obcí v ČR. Od 15. srpna 2018 navíc pro zpětný odběr odpadních elektrozařízení skupin 3, 5 a 6 podle přílohy č. 1 části II (viz tabulka) </w:t>
      </w:r>
      <w:r w:rsidR="00A376F2">
        <w:rPr>
          <w:rFonts w:cs="Arial"/>
        </w:rPr>
        <w:t>je povinnost</w:t>
      </w:r>
      <w:r w:rsidRPr="00ED38E9">
        <w:rPr>
          <w:rFonts w:cs="Arial"/>
        </w:rPr>
        <w:t xml:space="preserve"> zřídit sběrné místo dále v každé obci, městském obvodě nebo městské části s počtem více než 1500 obyvatel. Podle evidence MV platné k 1.1.2015 tomuto kritériu odpovídá celkově 922 obcí v ČR.</w:t>
      </w:r>
      <w:r w:rsidRPr="00ED38E9">
        <w:rPr>
          <w:rStyle w:val="Znakapoznpodarou"/>
          <w:rFonts w:cs="Arial"/>
        </w:rPr>
        <w:footnoteReference w:id="2"/>
      </w:r>
      <w:r w:rsidRPr="00ED38E9">
        <w:rPr>
          <w:rFonts w:cs="Arial"/>
        </w:rPr>
        <w:t xml:space="preserve"> </w:t>
      </w:r>
    </w:p>
    <w:p w:rsidR="00261D77" w:rsidRPr="00ED38E9" w:rsidRDefault="00261D77" w:rsidP="00261D77">
      <w:pPr>
        <w:spacing w:before="120"/>
        <w:rPr>
          <w:rFonts w:cs="Arial"/>
        </w:rPr>
      </w:pPr>
      <w:r w:rsidRPr="00ED38E9">
        <w:rPr>
          <w:rFonts w:cs="Arial"/>
        </w:rPr>
        <w:t>Další povinností výrobců je zřízení místa zpětného odběru v každé obci, která o to projeví zájem, a to za podmínek obdobných jako pro ostatní obce. Tato možnost byla obsažena již v </w:t>
      </w:r>
      <w:r w:rsidR="00477775">
        <w:rPr>
          <w:rFonts w:cs="Arial"/>
        </w:rPr>
        <w:t>dosavadním</w:t>
      </w:r>
      <w:r w:rsidRPr="00ED38E9">
        <w:rPr>
          <w:rFonts w:cs="Arial"/>
        </w:rPr>
        <w:t xml:space="preserve"> zákon</w:t>
      </w:r>
      <w:r w:rsidR="00477775">
        <w:rPr>
          <w:rFonts w:cs="Arial"/>
        </w:rPr>
        <w:t>ě</w:t>
      </w:r>
      <w:r w:rsidRPr="00ED38E9">
        <w:rPr>
          <w:rFonts w:cs="Arial"/>
        </w:rPr>
        <w:t xml:space="preserve"> o odpadech. V souvislosti s popisem situace v oblasti zasíťování obcí místy zpětného odběru ve variantě nulové se nepředpokládá zásadní nový dopad na výrobce, resp. provozovatele KS, přes které je realizována většina zpětného odběru OEEZ</w:t>
      </w:r>
      <w:r w:rsidR="00F32A08">
        <w:rPr>
          <w:rFonts w:cs="Arial"/>
        </w:rPr>
        <w:t>.</w:t>
      </w:r>
      <w:r w:rsidRPr="00ED38E9">
        <w:rPr>
          <w:rFonts w:cs="Arial"/>
        </w:rPr>
        <w:t xml:space="preserve"> </w:t>
      </w:r>
    </w:p>
    <w:p w:rsidR="00261D77" w:rsidRPr="00ED38E9" w:rsidRDefault="00261D77" w:rsidP="00261D77">
      <w:pPr>
        <w:pStyle w:val="Normlntun"/>
        <w:rPr>
          <w:rFonts w:cs="Arial"/>
        </w:rPr>
      </w:pPr>
      <w:r w:rsidRPr="00ED38E9">
        <w:rPr>
          <w:rFonts w:cs="Arial"/>
        </w:rPr>
        <w:t>Sociální dopady</w:t>
      </w:r>
    </w:p>
    <w:p w:rsidR="00261D77" w:rsidRPr="00ED38E9" w:rsidRDefault="00261D77" w:rsidP="00261D77">
      <w:pPr>
        <w:rPr>
          <w:rFonts w:cs="Arial"/>
        </w:rPr>
      </w:pPr>
      <w:r w:rsidRPr="00ED38E9">
        <w:rPr>
          <w:rFonts w:cs="Arial"/>
        </w:rPr>
        <w:t xml:space="preserve">Nastavení cílů sběru pro specifické skupiny EEZ může vést k lepší informovanosti spotřebitele a nové kalkulaci cen. Návrh zákona dále stanovuje výrobcům, distributorům a poslednímu prodejci povinnost při prodeji nového EEZ uvádět odděleně náklady na zpětný odběr, zpracování, využití a odstranění OEEZ, které připadají na 1 kus nového EEZ. Tyto náklady nemají převýšit náklady známé výrobci EEZ v okamžiku uvedení nového elektrozařízení na trh, nebo prokazatelný odhad předpokládaných nákladů v případě, že náklady výrobci elektrozařízení vzniknou až po tomto okamžiku. Plní-li výrobce elektrozařízení povinnosti stanovené tímto zákonem </w:t>
      </w:r>
      <w:r w:rsidR="00F83DA4">
        <w:rPr>
          <w:rFonts w:cs="Arial"/>
        </w:rPr>
        <w:t>prostřednictvím</w:t>
      </w:r>
      <w:r w:rsidRPr="00ED38E9">
        <w:rPr>
          <w:rFonts w:cs="Arial"/>
        </w:rPr>
        <w:t> KS, určí se náklady známé výrobci elektrozařízení v okamžiku uvedení nového elektrozařízení na trh podle výše příspěvku hrazeného provozovateli KS.</w:t>
      </w:r>
    </w:p>
    <w:p w:rsidR="00261D77" w:rsidRPr="00ED38E9" w:rsidRDefault="00261D77" w:rsidP="00261D77">
      <w:pPr>
        <w:pStyle w:val="Normlntun"/>
        <w:rPr>
          <w:rFonts w:cs="Arial"/>
        </w:rPr>
      </w:pPr>
      <w:r w:rsidRPr="00ED38E9">
        <w:rPr>
          <w:rFonts w:cs="Arial"/>
        </w:rPr>
        <w:lastRenderedPageBreak/>
        <w:t>Dopady na životní prostředí</w:t>
      </w:r>
    </w:p>
    <w:p w:rsidR="00261D77" w:rsidRPr="00ED38E9" w:rsidRDefault="00261D77" w:rsidP="00261D77">
      <w:pPr>
        <w:rPr>
          <w:rFonts w:cs="Arial"/>
        </w:rPr>
      </w:pPr>
      <w:r w:rsidRPr="00ED38E9">
        <w:rPr>
          <w:rFonts w:cs="Arial"/>
        </w:rPr>
        <w:t xml:space="preserve">Předpokládáme, že dojde ke snížení množství </w:t>
      </w:r>
      <w:r w:rsidR="00CD2A85">
        <w:rPr>
          <w:rFonts w:cs="Arial"/>
        </w:rPr>
        <w:t>O</w:t>
      </w:r>
      <w:r w:rsidRPr="00ED38E9">
        <w:rPr>
          <w:rFonts w:cs="Arial"/>
        </w:rPr>
        <w:t xml:space="preserve">EEZ, které končí ve směsném komunálním odpadu, </w:t>
      </w:r>
      <w:r w:rsidR="00CD2A85">
        <w:rPr>
          <w:rFonts w:cs="Arial"/>
        </w:rPr>
        <w:t>což</w:t>
      </w:r>
      <w:r w:rsidR="00CD2A85" w:rsidRPr="00ED38E9">
        <w:rPr>
          <w:rFonts w:cs="Arial"/>
        </w:rPr>
        <w:t xml:space="preserve"> </w:t>
      </w:r>
      <w:r w:rsidRPr="00ED38E9">
        <w:rPr>
          <w:rFonts w:cs="Arial"/>
        </w:rPr>
        <w:t xml:space="preserve">je podmíněno v současné době již reflektovanou potřebou včasné přípravy výrobců a především provozovatelů KS na narůstající požadavky na plnění minimálních úrovní </w:t>
      </w:r>
      <w:r w:rsidR="00CD2A85">
        <w:rPr>
          <w:rFonts w:cs="Arial"/>
        </w:rPr>
        <w:t xml:space="preserve">zpětného </w:t>
      </w:r>
      <w:r w:rsidRPr="00ED38E9">
        <w:rPr>
          <w:rFonts w:cs="Arial"/>
        </w:rPr>
        <w:t xml:space="preserve">odběru OEEZ podle požadavků Směrnice OEEZ. </w:t>
      </w:r>
    </w:p>
    <w:p w:rsidR="00261D77" w:rsidRPr="00ED38E9" w:rsidRDefault="00261D77" w:rsidP="00F97AF3">
      <w:pPr>
        <w:pStyle w:val="Nadpis3"/>
      </w:pPr>
      <w:r w:rsidRPr="00ED38E9">
        <w:lastRenderedPageBreak/>
        <w:t>Vyhodnocení nákladů a přínosů variant</w:t>
      </w:r>
    </w:p>
    <w:p w:rsidR="00261D77" w:rsidRPr="00ED38E9" w:rsidRDefault="00261D77" w:rsidP="00261D77">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18</w:t>
      </w:r>
      <w:r w:rsidR="00381FB7" w:rsidRPr="00ED38E9">
        <w:rPr>
          <w:rFonts w:cs="Arial"/>
        </w:rPr>
        <w:fldChar w:fldCharType="end"/>
      </w:r>
      <w:r w:rsidRPr="00ED38E9">
        <w:rPr>
          <w:rFonts w:cs="Arial"/>
        </w:rPr>
        <w:t>: Porovnání nákladů a přínosů</w:t>
      </w:r>
    </w:p>
    <w:p w:rsidR="002A3964" w:rsidRPr="00ED38E9" w:rsidRDefault="00C0576C" w:rsidP="002A3964">
      <w:pPr>
        <w:rPr>
          <w:rFonts w:cs="Arial"/>
        </w:rPr>
      </w:pPr>
      <w:r w:rsidRPr="00ED38E9">
        <w:rPr>
          <w:rFonts w:cs="Arial"/>
          <w:lang w:eastAsia="cs-CZ" w:bidi="ar-SA"/>
        </w:rPr>
        <w:drawing>
          <wp:inline distT="0" distB="0" distL="0" distR="0" wp14:anchorId="239D6D28" wp14:editId="697162E8">
            <wp:extent cx="5760720" cy="7843136"/>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7843136"/>
                    </a:xfrm>
                    <a:prstGeom prst="rect">
                      <a:avLst/>
                    </a:prstGeom>
                    <a:noFill/>
                    <a:ln>
                      <a:noFill/>
                    </a:ln>
                  </pic:spPr>
                </pic:pic>
              </a:graphicData>
            </a:graphic>
          </wp:inline>
        </w:drawing>
      </w:r>
    </w:p>
    <w:p w:rsidR="00261D77" w:rsidRPr="00ED38E9" w:rsidRDefault="00261D77" w:rsidP="00261D77">
      <w:pPr>
        <w:rPr>
          <w:rFonts w:cs="Arial"/>
        </w:rPr>
      </w:pPr>
    </w:p>
    <w:p w:rsidR="00261D77" w:rsidRPr="00ED38E9" w:rsidRDefault="00261D77" w:rsidP="00F97AF3">
      <w:pPr>
        <w:pStyle w:val="Nadpis2"/>
      </w:pPr>
      <w:bookmarkStart w:id="25" w:name="_Toc441759847"/>
      <w:r w:rsidRPr="00ED38E9">
        <w:lastRenderedPageBreak/>
        <w:t>Návrh řešení</w:t>
      </w:r>
      <w:bookmarkEnd w:id="25"/>
    </w:p>
    <w:p w:rsidR="00261D77" w:rsidRPr="00ED38E9" w:rsidRDefault="00261D77" w:rsidP="00F97AF3">
      <w:pPr>
        <w:pStyle w:val="Nadpis3"/>
      </w:pPr>
      <w:r w:rsidRPr="00ED38E9">
        <w:t>Stanovení pořadí variant a výběr nejvhodnějšího řešení</w:t>
      </w:r>
    </w:p>
    <w:p w:rsidR="00261D77" w:rsidRPr="00ED38E9" w:rsidRDefault="00261D77" w:rsidP="002D66F0">
      <w:pPr>
        <w:pStyle w:val="Odstavecseseznamem4"/>
        <w:numPr>
          <w:ilvl w:val="0"/>
          <w:numId w:val="21"/>
        </w:numPr>
        <w:spacing w:after="120"/>
        <w:ind w:left="714" w:hanging="357"/>
        <w:rPr>
          <w:rFonts w:cs="Arial"/>
          <w:b/>
          <w:bCs/>
        </w:rPr>
      </w:pPr>
      <w:r w:rsidRPr="00ED38E9">
        <w:rPr>
          <w:rFonts w:cs="Arial"/>
          <w:b/>
          <w:bCs/>
        </w:rPr>
        <w:t>Varianta 1</w:t>
      </w:r>
    </w:p>
    <w:p w:rsidR="00261D77" w:rsidRPr="00ED38E9" w:rsidRDefault="00261D77" w:rsidP="002D66F0">
      <w:pPr>
        <w:pStyle w:val="Odstavecseseznamem4"/>
        <w:numPr>
          <w:ilvl w:val="0"/>
          <w:numId w:val="21"/>
        </w:numPr>
        <w:spacing w:after="120"/>
        <w:ind w:left="714" w:hanging="357"/>
        <w:rPr>
          <w:rFonts w:cs="Arial"/>
        </w:rPr>
      </w:pPr>
      <w:r w:rsidRPr="00ED38E9">
        <w:rPr>
          <w:rFonts w:cs="Arial"/>
        </w:rPr>
        <w:t>Varianta 0</w:t>
      </w:r>
    </w:p>
    <w:p w:rsidR="00261D77" w:rsidRPr="00ED38E9" w:rsidRDefault="00261D77" w:rsidP="00261D77">
      <w:pPr>
        <w:rPr>
          <w:rFonts w:cs="Arial"/>
        </w:rPr>
      </w:pPr>
      <w:r w:rsidRPr="00ED38E9">
        <w:rPr>
          <w:rFonts w:cs="Arial"/>
        </w:rPr>
        <w:t>Na základě výše uvedených údajů doporučujeme přijmout Variantu 1.</w:t>
      </w:r>
    </w:p>
    <w:p w:rsidR="00261D77" w:rsidRPr="00ED38E9" w:rsidRDefault="005C5404" w:rsidP="00F97AF3">
      <w:pPr>
        <w:pStyle w:val="Nadpis1"/>
      </w:pPr>
      <w:bookmarkStart w:id="26" w:name="_Toc441759848"/>
      <w:bookmarkStart w:id="27" w:name="_Toc441760181"/>
      <w:r>
        <w:t>K</w:t>
      </w:r>
      <w:r w:rsidR="00261D77" w:rsidRPr="00ED38E9">
        <w:t>oordinační centrum</w:t>
      </w:r>
      <w:bookmarkEnd w:id="26"/>
      <w:bookmarkEnd w:id="27"/>
      <w:r w:rsidR="00261D77" w:rsidRPr="00ED38E9">
        <w:t xml:space="preserve"> </w:t>
      </w:r>
    </w:p>
    <w:p w:rsidR="00261D77" w:rsidRPr="00ED38E9" w:rsidRDefault="00261D77" w:rsidP="00F97AF3">
      <w:pPr>
        <w:pStyle w:val="Nadpis2"/>
      </w:pPr>
      <w:bookmarkStart w:id="28" w:name="_Toc441759849"/>
      <w:r w:rsidRPr="00ED38E9">
        <w:t>Důvod předložení a cíle</w:t>
      </w:r>
      <w:bookmarkEnd w:id="28"/>
    </w:p>
    <w:p w:rsidR="00261D77" w:rsidRPr="00ED38E9" w:rsidRDefault="00261D77" w:rsidP="00F97AF3">
      <w:pPr>
        <w:pStyle w:val="Nadpis3"/>
      </w:pPr>
      <w:r w:rsidRPr="00ED38E9">
        <w:t>Definice problému</w:t>
      </w:r>
    </w:p>
    <w:p w:rsidR="00261D77" w:rsidRPr="00ED38E9" w:rsidRDefault="00261D77" w:rsidP="00261D77">
      <w:pPr>
        <w:rPr>
          <w:rFonts w:cs="Arial"/>
        </w:rPr>
      </w:pPr>
      <w:r w:rsidRPr="00ED38E9">
        <w:rPr>
          <w:rFonts w:cs="Arial"/>
        </w:rPr>
        <w:t xml:space="preserve">Vzhledem ke konkurenčnímu prostředí panujícímu mezi kolektivními systémy je třeba vyřešit způsob vypořádání vztahů mezi jednotlivými kolektivními systémy a současně zajistit splnění minimální úrovně sběru a využití EEZ stanovených Směrnicí OEEZ. Nezbytnost vytvoření rovné a volné soutěže mezi KS je zmiňována také v některých stanoviscích Úřadu pro ochranu hospodářské soutěže. </w:t>
      </w:r>
    </w:p>
    <w:p w:rsidR="00261D77" w:rsidRPr="00ED38E9" w:rsidRDefault="00CD71C6" w:rsidP="00261D77">
      <w:pPr>
        <w:rPr>
          <w:rFonts w:cs="Arial"/>
        </w:rPr>
      </w:pPr>
      <w:r>
        <w:rPr>
          <w:rFonts w:cs="Arial"/>
        </w:rPr>
        <w:t xml:space="preserve">V současnosti je </w:t>
      </w:r>
      <w:r w:rsidR="00261D77" w:rsidRPr="00ED38E9">
        <w:rPr>
          <w:rFonts w:cs="Arial"/>
        </w:rPr>
        <w:t xml:space="preserve">KS vytvářen výrobci nebo výrobci pověřenou právnickou osobou a provazovaný právnickou osobou odlišnou od výrobce nebo výrobcem pověřené právnické osoby. V r. 2014 působilo v ČR 15 kolektivních systémů. </w:t>
      </w:r>
    </w:p>
    <w:p w:rsidR="00261D77" w:rsidRPr="00ED38E9" w:rsidRDefault="00261D77" w:rsidP="0028000B">
      <w:pPr>
        <w:spacing w:before="120"/>
        <w:rPr>
          <w:rFonts w:cs="Arial"/>
        </w:rPr>
      </w:pPr>
      <w:r w:rsidRPr="00ED38E9">
        <w:rPr>
          <w:rFonts w:cs="Arial"/>
        </w:rPr>
        <w:t>Předpokladem řádné soutěž</w:t>
      </w:r>
      <w:r w:rsidR="00A376F2">
        <w:rPr>
          <w:rFonts w:cs="Arial"/>
        </w:rPr>
        <w:t>e</w:t>
      </w:r>
      <w:r w:rsidRPr="00ED38E9">
        <w:rPr>
          <w:rFonts w:cs="Arial"/>
        </w:rPr>
        <w:t xml:space="preserve"> mezi jednotlivými KS je skutečnost, že jejich činnost bude vykazována na základě reálných dat a výsledků činnosti. To znamená, že nezbytným předpokladem zajištění spravedlivého konkurenčního prostředí mezi KS je vytvoření rovných podmínek pro sběr dat, jejich nezávislé ověřování a výpočet jednotlivých cílů sběru napříč všemi KS.</w:t>
      </w:r>
    </w:p>
    <w:p w:rsidR="00261D77" w:rsidRPr="00ED38E9" w:rsidRDefault="00261D77" w:rsidP="00261D77">
      <w:pPr>
        <w:rPr>
          <w:rFonts w:cs="Arial"/>
        </w:rPr>
      </w:pPr>
      <w:r w:rsidRPr="00ED38E9">
        <w:rPr>
          <w:rFonts w:cs="Arial"/>
        </w:rPr>
        <w:t xml:space="preserve">Efektivita činnosti každého KS je dána podílem vynaložených nákladů ze strany KS a dosažených výsledků. V tomto ohledu jsou nejsnáze měřitelné výsledky KS vykázané jako množství OEEZ, ke kterým KS </w:t>
      </w:r>
      <w:r w:rsidR="00A376F2" w:rsidRPr="00ED38E9">
        <w:rPr>
          <w:rFonts w:cs="Arial"/>
        </w:rPr>
        <w:t>zajist</w:t>
      </w:r>
      <w:r w:rsidR="00A376F2">
        <w:rPr>
          <w:rFonts w:cs="Arial"/>
        </w:rPr>
        <w:t>í</w:t>
      </w:r>
      <w:r w:rsidR="00A376F2" w:rsidRPr="00ED38E9">
        <w:rPr>
          <w:rFonts w:cs="Arial"/>
        </w:rPr>
        <w:t xml:space="preserve"> </w:t>
      </w:r>
      <w:r w:rsidRPr="00ED38E9">
        <w:rPr>
          <w:rFonts w:cs="Arial"/>
        </w:rPr>
        <w:t xml:space="preserve">zpětný odběr ve vztahu k množství EEZ, které výrobci zapojení do kolektivního sytému uvedli na trh. Konkurence mezi jednotlivými KS musí ale fungovat na základě jednotných metodických základů sběru veškerých relevantních dat, s čímž je spojena i nutnost realizace kontrolní činnosti. </w:t>
      </w:r>
    </w:p>
    <w:p w:rsidR="00261D77" w:rsidRPr="00ED38E9" w:rsidRDefault="00261D77" w:rsidP="0028000B">
      <w:pPr>
        <w:spacing w:before="120"/>
        <w:rPr>
          <w:rFonts w:cs="Arial"/>
        </w:rPr>
      </w:pPr>
      <w:r w:rsidRPr="00ED38E9">
        <w:rPr>
          <w:rFonts w:cs="Arial"/>
        </w:rPr>
        <w:t xml:space="preserve">V současnosti jsou výsledky KS velmi obtížně srovnatelné, neboť neexistují jednotné podmínky pro sběr dat a </w:t>
      </w:r>
      <w:r w:rsidR="00A376F2">
        <w:rPr>
          <w:rFonts w:cs="Arial"/>
        </w:rPr>
        <w:t>jejich</w:t>
      </w:r>
      <w:r w:rsidRPr="00ED38E9">
        <w:rPr>
          <w:rFonts w:cs="Arial"/>
        </w:rPr>
        <w:t xml:space="preserve"> kontrolu ze strany KS, resp. existuje zde značna variabilita praktických řešení. V tomto ohledu je nutné uvést, že některé KS řádně realizují kontrolní činnost svých smluvních partnerů (zejména </w:t>
      </w:r>
      <w:r w:rsidR="00CD71C6">
        <w:rPr>
          <w:rFonts w:cs="Arial"/>
        </w:rPr>
        <w:t xml:space="preserve">jde o </w:t>
      </w:r>
      <w:r w:rsidRPr="00ED38E9">
        <w:rPr>
          <w:rFonts w:cs="Arial"/>
        </w:rPr>
        <w:t>výrobc</w:t>
      </w:r>
      <w:r w:rsidR="00CD71C6">
        <w:rPr>
          <w:rFonts w:cs="Arial"/>
        </w:rPr>
        <w:t>e</w:t>
      </w:r>
      <w:r w:rsidRPr="00ED38E9">
        <w:rPr>
          <w:rFonts w:cs="Arial"/>
        </w:rPr>
        <w:t>, svozové společnosti</w:t>
      </w:r>
      <w:r w:rsidR="00CD71C6">
        <w:rPr>
          <w:rFonts w:cs="Arial"/>
        </w:rPr>
        <w:t xml:space="preserve"> a</w:t>
      </w:r>
      <w:r w:rsidR="00FF0A24">
        <w:rPr>
          <w:rFonts w:cs="Arial"/>
        </w:rPr>
        <w:t> </w:t>
      </w:r>
      <w:r w:rsidRPr="00ED38E9">
        <w:rPr>
          <w:rFonts w:cs="Arial"/>
        </w:rPr>
        <w:t>zpracovatel</w:t>
      </w:r>
      <w:r w:rsidR="00CD71C6">
        <w:rPr>
          <w:rFonts w:cs="Arial"/>
        </w:rPr>
        <w:t>e</w:t>
      </w:r>
      <w:r w:rsidRPr="00ED38E9">
        <w:rPr>
          <w:rFonts w:cs="Arial"/>
        </w:rPr>
        <w:t xml:space="preserve">), jiné se kontrolní činnosti věnují spíše okrajově či formalisticky, ale některé KS ji nerealizují vůbec. Pokud KS pouze vybírá příspěvek a nesbírá elektroodpad, tak většina jeho nákladů je pouze za „administraci“ a výrazně šetří tím, že </w:t>
      </w:r>
      <w:r w:rsidR="00A376F2">
        <w:rPr>
          <w:rFonts w:cs="Arial"/>
        </w:rPr>
        <w:t>nevynakládá nák</w:t>
      </w:r>
      <w:r w:rsidR="00F97AF3">
        <w:rPr>
          <w:rFonts w:cs="Arial"/>
        </w:rPr>
        <w:t>l</w:t>
      </w:r>
      <w:r w:rsidR="00A376F2">
        <w:rPr>
          <w:rFonts w:cs="Arial"/>
        </w:rPr>
        <w:t>ady n</w:t>
      </w:r>
      <w:r w:rsidR="00FF0A24">
        <w:rPr>
          <w:rFonts w:cs="Arial"/>
        </w:rPr>
        <w:t>a svoz a </w:t>
      </w:r>
      <w:r w:rsidRPr="00ED38E9">
        <w:rPr>
          <w:rFonts w:cs="Arial"/>
        </w:rPr>
        <w:t>recyklaci OEEZ.</w:t>
      </w:r>
    </w:p>
    <w:p w:rsidR="00261D77" w:rsidRPr="00ED38E9" w:rsidRDefault="00261D77" w:rsidP="00261D77">
      <w:pPr>
        <w:rPr>
          <w:rFonts w:cs="Arial"/>
        </w:rPr>
      </w:pPr>
      <w:r w:rsidRPr="00ED38E9">
        <w:rPr>
          <w:rFonts w:cs="Arial"/>
        </w:rPr>
        <w:t>Toto tvrzení lze doložit přehledem realizovaných auditů v letech 2013 a z dostupných dat za rok 2014 ze strany existuj</w:t>
      </w:r>
      <w:r w:rsidR="0028000B" w:rsidRPr="00ED38E9">
        <w:rPr>
          <w:rFonts w:cs="Arial"/>
        </w:rPr>
        <w:t>ících KS v níže uvedené tabulce</w:t>
      </w:r>
      <w:r w:rsidRPr="00ED38E9">
        <w:rPr>
          <w:rFonts w:cs="Arial"/>
        </w:rPr>
        <w:t>:</w:t>
      </w:r>
    </w:p>
    <w:p w:rsidR="00261D77" w:rsidRPr="00ED38E9" w:rsidRDefault="00261D77" w:rsidP="00261D77">
      <w:pPr>
        <w:rPr>
          <w:rFonts w:cs="Arial"/>
        </w:rPr>
        <w:sectPr w:rsidR="00261D77" w:rsidRPr="00ED38E9" w:rsidSect="00FD0108">
          <w:footerReference w:type="default" r:id="rId21"/>
          <w:headerReference w:type="first" r:id="rId22"/>
          <w:footerReference w:type="first" r:id="rId23"/>
          <w:pgSz w:w="11906" w:h="16838"/>
          <w:pgMar w:top="1417" w:right="1417" w:bottom="1417" w:left="1417" w:header="708" w:footer="708" w:gutter="0"/>
          <w:pgNumType w:fmt="numberInDash" w:start="1"/>
          <w:cols w:space="708"/>
          <w:titlePg/>
          <w:docGrid w:linePitch="360"/>
        </w:sectPr>
      </w:pPr>
    </w:p>
    <w:p w:rsidR="00261D77" w:rsidRPr="00ED38E9" w:rsidRDefault="00261D77" w:rsidP="00261D77">
      <w:pPr>
        <w:rPr>
          <w:rFonts w:cs="Arial"/>
        </w:rPr>
      </w:pPr>
    </w:p>
    <w:p w:rsidR="00261D77" w:rsidRPr="00ED38E9" w:rsidRDefault="00261D77" w:rsidP="00261D77">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19</w:t>
      </w:r>
      <w:r w:rsidR="00381FB7" w:rsidRPr="00ED38E9">
        <w:rPr>
          <w:rFonts w:cs="Arial"/>
        </w:rPr>
        <w:fldChar w:fldCharType="end"/>
      </w:r>
      <w:r w:rsidRPr="00ED38E9">
        <w:rPr>
          <w:rFonts w:cs="Arial"/>
        </w:rPr>
        <w:t>: Audity KS podle účetních závěrek a dostupných údajů za léta 2012–2014</w:t>
      </w:r>
    </w:p>
    <w:p w:rsidR="00261D77" w:rsidRPr="00ED38E9" w:rsidRDefault="0049621B" w:rsidP="00261D77">
      <w:pPr>
        <w:rPr>
          <w:rFonts w:cs="Arial"/>
        </w:rPr>
      </w:pPr>
      <w:r w:rsidRPr="00ED38E9" w:rsidDel="0049621B">
        <w:rPr>
          <w:rFonts w:cs="Arial"/>
          <w:lang w:eastAsia="cs-CZ" w:bidi="ar-SA"/>
        </w:rPr>
        <w:t xml:space="preserve"> </w:t>
      </w:r>
      <w:r w:rsidR="00647BF6">
        <w:rPr>
          <w:lang w:eastAsia="cs-CZ" w:bidi="ar-SA"/>
        </w:rPr>
        <w:drawing>
          <wp:inline distT="0" distB="0" distL="0" distR="0" wp14:anchorId="3DEC5425" wp14:editId="2E64DE91">
            <wp:extent cx="8609990" cy="2336945"/>
            <wp:effectExtent l="0" t="0" r="635" b="6350"/>
            <wp:docPr id="1246" name="Obrázek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8604648" cy="2335495"/>
                    </a:xfrm>
                    <a:prstGeom prst="rect">
                      <a:avLst/>
                    </a:prstGeom>
                  </pic:spPr>
                </pic:pic>
              </a:graphicData>
            </a:graphic>
          </wp:inline>
        </w:drawing>
      </w:r>
      <w:r w:rsidR="00647BF6" w:rsidRPr="00ED38E9" w:rsidDel="0049621B">
        <w:rPr>
          <w:rFonts w:cs="Arial"/>
          <w:lang w:eastAsia="cs-CZ" w:bidi="ar-SA"/>
        </w:rPr>
        <w:t xml:space="preserve"> </w:t>
      </w:r>
    </w:p>
    <w:p w:rsidR="00261D77" w:rsidRPr="00ED38E9" w:rsidRDefault="00261D77" w:rsidP="00261D77">
      <w:pPr>
        <w:rPr>
          <w:rFonts w:cs="Arial"/>
        </w:rPr>
      </w:pPr>
    </w:p>
    <w:p w:rsidR="00261D77" w:rsidRPr="00ED38E9" w:rsidRDefault="00261D77" w:rsidP="00261D77">
      <w:pPr>
        <w:rPr>
          <w:rFonts w:cs="Arial"/>
        </w:rPr>
        <w:sectPr w:rsidR="00261D77" w:rsidRPr="00ED38E9" w:rsidSect="00924300">
          <w:pgSz w:w="16838" w:h="11906" w:orient="landscape"/>
          <w:pgMar w:top="1417" w:right="1417" w:bottom="1417" w:left="1417" w:header="708" w:footer="708" w:gutter="0"/>
          <w:pgNumType w:fmt="numberInDash"/>
          <w:cols w:space="708"/>
          <w:docGrid w:linePitch="360"/>
        </w:sectPr>
      </w:pPr>
    </w:p>
    <w:p w:rsidR="00261D77" w:rsidRPr="00ED38E9" w:rsidRDefault="00261D77" w:rsidP="00261D77">
      <w:pPr>
        <w:rPr>
          <w:rFonts w:cs="Arial"/>
        </w:rPr>
      </w:pPr>
      <w:r w:rsidRPr="00ED38E9">
        <w:rPr>
          <w:rFonts w:cs="Arial"/>
        </w:rPr>
        <w:lastRenderedPageBreak/>
        <w:t>Na základě rozdílného přístupu ke kontrolní činnosti ze strany jednotlivých KS je pak značně problematické srovnávání efektivity jednotlivých KS, tak i vykazované míry zpětného odběru. To je dáno také tím, že pokud KS např. nekontroluje množství výrobků, které uvádějí na trh jednotliví výrobci, lze předpokládat, že řada výrobců bude, ať již cíleně nebo nevědomě, podhodnocovat tato vykazovaná množství. Tím dochází de facto ke snížení samotné základny pro výpočet úrovně zpětného odběru pro KS. Obdobně, pokud KS nekontroluje místa zpětného odběru, svozové společnosti a zpracovatele, můžeme čelit skutečnosti, že zde bude docházet k záměrnému navyšování hodnot za účelem získání vyšší finanční dotace od KS.</w:t>
      </w:r>
    </w:p>
    <w:p w:rsidR="00261D77" w:rsidRPr="00ED38E9" w:rsidRDefault="00261D77" w:rsidP="00F97AF3">
      <w:pPr>
        <w:pStyle w:val="Nadpis3"/>
      </w:pPr>
      <w:r w:rsidRPr="00ED38E9">
        <w:t>Popis existujícího právního stavu v dané oblasti</w:t>
      </w:r>
    </w:p>
    <w:p w:rsidR="00261D77" w:rsidRPr="00ED38E9" w:rsidRDefault="00261D77" w:rsidP="00261D77">
      <w:pPr>
        <w:rPr>
          <w:rFonts w:cs="Arial"/>
        </w:rPr>
      </w:pPr>
      <w:r w:rsidRPr="00ED38E9">
        <w:rPr>
          <w:rFonts w:cs="Arial"/>
        </w:rPr>
        <w:t xml:space="preserve">V současné době platná legislativa neupravuje spolupráci KS, ani přímo nenastavuje konkrétní jednotné požadavky pro provádění auditů osob, které jsou smluvními partnery provozovatelů KS. Výrobci EEZ zajišťují plnění svých povinností podle zákona o odpadech v rámci individuálního, solidárního nebo kolektivního systému. </w:t>
      </w:r>
    </w:p>
    <w:p w:rsidR="00261D77" w:rsidRPr="00ED38E9" w:rsidRDefault="00261D77" w:rsidP="00261D77">
      <w:pPr>
        <w:spacing w:before="120"/>
        <w:rPr>
          <w:rFonts w:cs="Arial"/>
        </w:rPr>
      </w:pPr>
      <w:r w:rsidRPr="00ED38E9">
        <w:rPr>
          <w:rFonts w:cs="Arial"/>
        </w:rPr>
        <w:t>Zákon o odpadech v § 37n odst. 3 stanovuje, že k zajištění nakládání s</w:t>
      </w:r>
      <w:r w:rsidR="00F03930">
        <w:rPr>
          <w:rFonts w:cs="Arial"/>
        </w:rPr>
        <w:t xml:space="preserve"> tzv. historickými </w:t>
      </w:r>
      <w:r w:rsidRPr="00ED38E9">
        <w:rPr>
          <w:rFonts w:cs="Arial"/>
        </w:rPr>
        <w:t>EEZ</w:t>
      </w:r>
      <w:r w:rsidR="00F03930">
        <w:rPr>
          <w:rFonts w:cs="Arial"/>
        </w:rPr>
        <w:t xml:space="preserve"> (uvedenými na trh do 13. srpna 2005)</w:t>
      </w:r>
      <w:r w:rsidRPr="00ED38E9">
        <w:rPr>
          <w:rFonts w:cs="Arial"/>
        </w:rPr>
        <w:t xml:space="preserve"> jsou výrobci povinni vytvořit systém, do kter</w:t>
      </w:r>
      <w:r w:rsidR="00F03930">
        <w:rPr>
          <w:rFonts w:cs="Arial"/>
        </w:rPr>
        <w:t>ého</w:t>
      </w:r>
      <w:r w:rsidRPr="00ED38E9">
        <w:rPr>
          <w:rFonts w:cs="Arial"/>
        </w:rPr>
        <w:t xml:space="preserve"> úměrně přispívají všichni výrobci, kteří působí na trhu a jsou podnikatelsky </w:t>
      </w:r>
      <w:r w:rsidR="00A376F2" w:rsidRPr="00ED38E9">
        <w:rPr>
          <w:rFonts w:cs="Arial"/>
        </w:rPr>
        <w:t>činn</w:t>
      </w:r>
      <w:r w:rsidR="00A376F2">
        <w:rPr>
          <w:rFonts w:cs="Arial"/>
        </w:rPr>
        <w:t>í</w:t>
      </w:r>
      <w:r w:rsidR="00A376F2" w:rsidRPr="00ED38E9">
        <w:rPr>
          <w:rFonts w:cs="Arial"/>
        </w:rPr>
        <w:t xml:space="preserve"> </w:t>
      </w:r>
      <w:r w:rsidRPr="00ED38E9">
        <w:rPr>
          <w:rFonts w:cs="Arial"/>
        </w:rPr>
        <w:t xml:space="preserve">v okamžiku vzniku příslušných nákladů. Poměr jejich příspěvku je odvozen od jejich podílu na trhu podle druhu EEZ. Jedná-li se o EEZ uvedené na trh po dni 13. srpna 2005, je výrobce EEZ povinen financovat zpětný odběr, zpracování, využití a odstranění </w:t>
      </w:r>
      <w:r w:rsidR="00FF0A24">
        <w:rPr>
          <w:rFonts w:cs="Arial"/>
        </w:rPr>
        <w:t>elektrozařízení pocházejícího z </w:t>
      </w:r>
      <w:r w:rsidRPr="00ED38E9">
        <w:rPr>
          <w:rFonts w:cs="Arial"/>
        </w:rPr>
        <w:t>domácností, jedná-li se o elektrozařízení, jehož je výrobcem podle tohoto zákona.</w:t>
      </w:r>
    </w:p>
    <w:p w:rsidR="00261D77" w:rsidRPr="00ED38E9" w:rsidRDefault="00261D77" w:rsidP="00261D77">
      <w:pPr>
        <w:spacing w:before="120"/>
        <w:rPr>
          <w:rFonts w:cs="Arial"/>
        </w:rPr>
      </w:pPr>
      <w:r w:rsidRPr="00ED38E9">
        <w:rPr>
          <w:rFonts w:cs="Arial"/>
        </w:rPr>
        <w:t>Výrobci, kteří plní v rámci individuálního systému povinnosti nakládání s elektrozařízeními pocházejícími z domácností, uvedenými na trh po dni 13. srpna 2005, přikládají k návrhu na zápis</w:t>
      </w:r>
      <w:r w:rsidR="00E57302">
        <w:rPr>
          <w:rFonts w:cs="Arial"/>
        </w:rPr>
        <w:t xml:space="preserve"> do Seznamu výrobců</w:t>
      </w:r>
      <w:r w:rsidRPr="00ED38E9">
        <w:rPr>
          <w:rFonts w:cs="Arial"/>
        </w:rPr>
        <w:t xml:space="preserve"> také plán zajištění vkladů peněžních prostředků na již založený účelově vázaný bankovní účet nebo kopii uzavřené platné pojistné smlouvy.</w:t>
      </w:r>
      <w:r w:rsidRPr="00ED38E9">
        <w:rPr>
          <w:rFonts w:cs="Arial"/>
        </w:rPr>
        <w:tab/>
      </w:r>
    </w:p>
    <w:p w:rsidR="00261D77" w:rsidRPr="00ED38E9" w:rsidRDefault="00261D77" w:rsidP="00F97AF3">
      <w:pPr>
        <w:pStyle w:val="Nadpis3"/>
      </w:pPr>
      <w:r w:rsidRPr="00ED38E9">
        <w:t>Identifikace dotčených subjektů</w:t>
      </w:r>
    </w:p>
    <w:p w:rsidR="00261D77" w:rsidRPr="00ED38E9" w:rsidRDefault="00261D77" w:rsidP="002D66F0">
      <w:pPr>
        <w:pStyle w:val="Odstavecseseznamem4"/>
        <w:numPr>
          <w:ilvl w:val="0"/>
          <w:numId w:val="80"/>
        </w:numPr>
        <w:spacing w:after="120"/>
        <w:rPr>
          <w:rFonts w:cs="Arial"/>
        </w:rPr>
      </w:pPr>
      <w:r w:rsidRPr="00ED38E9">
        <w:rPr>
          <w:rFonts w:cs="Arial"/>
        </w:rPr>
        <w:t>výrobci,</w:t>
      </w:r>
    </w:p>
    <w:p w:rsidR="00261D77" w:rsidRPr="00ED38E9" w:rsidRDefault="00261D77" w:rsidP="002D66F0">
      <w:pPr>
        <w:pStyle w:val="Odstavecseseznamem4"/>
        <w:numPr>
          <w:ilvl w:val="0"/>
          <w:numId w:val="80"/>
        </w:numPr>
        <w:spacing w:after="120"/>
        <w:ind w:left="714" w:hanging="357"/>
        <w:rPr>
          <w:rFonts w:cs="Arial"/>
        </w:rPr>
      </w:pPr>
      <w:r w:rsidRPr="00ED38E9">
        <w:rPr>
          <w:rFonts w:cs="Arial"/>
        </w:rPr>
        <w:t>kolektivní systémy (KS),</w:t>
      </w:r>
    </w:p>
    <w:p w:rsidR="00261D77" w:rsidRPr="00ED38E9" w:rsidRDefault="00261D77" w:rsidP="002D66F0">
      <w:pPr>
        <w:pStyle w:val="Odstavecseseznamem4"/>
        <w:numPr>
          <w:ilvl w:val="0"/>
          <w:numId w:val="80"/>
        </w:numPr>
        <w:spacing w:after="120"/>
        <w:ind w:left="714" w:hanging="357"/>
        <w:rPr>
          <w:rFonts w:cs="Arial"/>
        </w:rPr>
      </w:pPr>
      <w:r w:rsidRPr="00ED38E9">
        <w:rPr>
          <w:rFonts w:cs="Arial"/>
        </w:rPr>
        <w:t>Ministerstvo životního prostředí (MŽP, ministerstvo),</w:t>
      </w:r>
    </w:p>
    <w:p w:rsidR="00261D77" w:rsidRPr="00ED38E9" w:rsidRDefault="00261D77" w:rsidP="002D66F0">
      <w:pPr>
        <w:pStyle w:val="Odstavecseseznamem4"/>
        <w:numPr>
          <w:ilvl w:val="0"/>
          <w:numId w:val="80"/>
        </w:numPr>
        <w:spacing w:after="120"/>
        <w:ind w:left="714" w:hanging="357"/>
        <w:rPr>
          <w:rFonts w:cs="Arial"/>
        </w:rPr>
      </w:pPr>
      <w:r w:rsidRPr="00ED38E9">
        <w:rPr>
          <w:rFonts w:cs="Arial"/>
        </w:rPr>
        <w:t>zpracovatelé elektroodpadů,</w:t>
      </w:r>
    </w:p>
    <w:p w:rsidR="00261D77" w:rsidRPr="00ED38E9" w:rsidRDefault="00261D77" w:rsidP="002D66F0">
      <w:pPr>
        <w:pStyle w:val="Odstavecseseznamem4"/>
        <w:numPr>
          <w:ilvl w:val="0"/>
          <w:numId w:val="80"/>
        </w:numPr>
        <w:spacing w:after="120"/>
        <w:ind w:left="714" w:hanging="357"/>
        <w:rPr>
          <w:rFonts w:cs="Arial"/>
        </w:rPr>
      </w:pPr>
      <w:r w:rsidRPr="00ED38E9">
        <w:rPr>
          <w:rFonts w:cs="Arial"/>
        </w:rPr>
        <w:t>společnosti zajišťující svoz zpětně odebraných výrobků,</w:t>
      </w:r>
    </w:p>
    <w:p w:rsidR="00261D77" w:rsidRPr="00ED38E9" w:rsidRDefault="00261D77" w:rsidP="002D66F0">
      <w:pPr>
        <w:pStyle w:val="Odstavecseseznamem4"/>
        <w:numPr>
          <w:ilvl w:val="0"/>
          <w:numId w:val="80"/>
        </w:numPr>
        <w:spacing w:after="120"/>
        <w:ind w:left="714" w:hanging="357"/>
        <w:rPr>
          <w:rFonts w:cs="Arial"/>
        </w:rPr>
      </w:pPr>
      <w:r w:rsidRPr="00ED38E9">
        <w:rPr>
          <w:rFonts w:cs="Arial"/>
        </w:rPr>
        <w:t>subjekty provozujcí místa zpětného odběru.</w:t>
      </w:r>
    </w:p>
    <w:p w:rsidR="00261D77" w:rsidRPr="00ED38E9" w:rsidRDefault="00261D77" w:rsidP="00F97AF3">
      <w:pPr>
        <w:pStyle w:val="Nadpis3"/>
      </w:pPr>
      <w:r w:rsidRPr="00ED38E9">
        <w:t>Popis cílového stavu</w:t>
      </w:r>
    </w:p>
    <w:p w:rsidR="00261D77" w:rsidRPr="00ED38E9" w:rsidRDefault="00261D77" w:rsidP="00261D77">
      <w:pPr>
        <w:rPr>
          <w:rFonts w:cs="Arial"/>
        </w:rPr>
      </w:pPr>
      <w:r w:rsidRPr="00ED38E9">
        <w:rPr>
          <w:rFonts w:cs="Arial"/>
        </w:rPr>
        <w:t>Cílem je nastavení spravedlivého konkurenčního prostředí mezi jednotlivými KS</w:t>
      </w:r>
      <w:r w:rsidR="00A376F2">
        <w:rPr>
          <w:rFonts w:cs="Arial"/>
        </w:rPr>
        <w:t xml:space="preserve">, </w:t>
      </w:r>
      <w:r w:rsidRPr="00ED38E9">
        <w:rPr>
          <w:rFonts w:cs="Arial"/>
        </w:rPr>
        <w:t xml:space="preserve"> vytvoření rovných podmínek pro sběr dat a pro výpočet jednotlivých cílů stanovených evropskými směrnicemi (cíle sběru a materiálového využití odpadů) napříč všemi KS a efektivního výkonu kontroly. </w:t>
      </w:r>
      <w:r w:rsidR="00A376F2">
        <w:rPr>
          <w:rFonts w:cs="Arial"/>
        </w:rPr>
        <w:t xml:space="preserve">Toto opatření </w:t>
      </w:r>
      <w:r w:rsidRPr="00ED38E9">
        <w:rPr>
          <w:rFonts w:cs="Arial"/>
        </w:rPr>
        <w:t xml:space="preserve"> má zamezit zvýhodňování těch KS, které kontrolní činnost provádí podle svých interně nastavených pravidel, nebo tyto kontroly neprovádí vůbec. </w:t>
      </w:r>
    </w:p>
    <w:p w:rsidR="00261D77" w:rsidRPr="00ED38E9" w:rsidRDefault="00261D77" w:rsidP="00261D77">
      <w:pPr>
        <w:spacing w:before="120"/>
        <w:rPr>
          <w:rFonts w:cs="Arial"/>
        </w:rPr>
      </w:pPr>
      <w:r w:rsidRPr="00ED38E9">
        <w:rPr>
          <w:rFonts w:cs="Arial"/>
        </w:rPr>
        <w:t xml:space="preserve">Za tímto účelem se navrhuje vytvoření samostatné autority v podobě koordinačního centra k zajištění jednotné kontrolní činnosti napříč všemi existujícími KS. Jeho činnost by pokrývala zejména kontrolu množství EEZ uváděných na trh ze strany jednotlivých výrobců </w:t>
      </w:r>
      <w:r w:rsidRPr="00ED38E9">
        <w:rPr>
          <w:rFonts w:cs="Arial"/>
        </w:rPr>
        <w:lastRenderedPageBreak/>
        <w:t>zapojených do KS, ale také individuálních výrobců, a zároveň nezbytnou kontrolu množství OEEZ sebraných v rámci míst zpětného odběru a předaných zpracovatelům.</w:t>
      </w:r>
    </w:p>
    <w:p w:rsidR="00261D77" w:rsidRPr="00ED38E9" w:rsidRDefault="00261D77" w:rsidP="00261D77">
      <w:pPr>
        <w:rPr>
          <w:rFonts w:cs="Arial"/>
        </w:rPr>
      </w:pPr>
      <w:r w:rsidRPr="00ED38E9">
        <w:rPr>
          <w:rFonts w:cs="Arial"/>
        </w:rPr>
        <w:t xml:space="preserve">Základní cíle existence a působnosti navrhovaného modelu koordinačního centra představují: </w:t>
      </w:r>
    </w:p>
    <w:p w:rsidR="00261D77" w:rsidRPr="00ED38E9" w:rsidRDefault="00261D77" w:rsidP="002D66F0">
      <w:pPr>
        <w:pStyle w:val="Odstavecseseznamem4"/>
        <w:numPr>
          <w:ilvl w:val="0"/>
          <w:numId w:val="111"/>
        </w:numPr>
        <w:rPr>
          <w:rFonts w:cs="Arial"/>
        </w:rPr>
      </w:pPr>
      <w:r w:rsidRPr="00ED38E9">
        <w:rPr>
          <w:rFonts w:cs="Arial"/>
        </w:rPr>
        <w:t>Zachovat v maximální míře volnou soutěž mezi KS za rovnocenných a  nediskriminačních podmínek.</w:t>
      </w:r>
    </w:p>
    <w:p w:rsidR="00261D77" w:rsidRPr="00ED38E9" w:rsidRDefault="00261D77" w:rsidP="002D66F0">
      <w:pPr>
        <w:pStyle w:val="Odstavecseseznamem4"/>
        <w:numPr>
          <w:ilvl w:val="0"/>
          <w:numId w:val="111"/>
        </w:numPr>
        <w:rPr>
          <w:rFonts w:cs="Arial"/>
        </w:rPr>
      </w:pPr>
      <w:r w:rsidRPr="00ED38E9">
        <w:rPr>
          <w:rFonts w:cs="Arial"/>
        </w:rPr>
        <w:t xml:space="preserve">Zajistit plnění cílů sběru a využití OEEZ v míře stanovené </w:t>
      </w:r>
      <w:r w:rsidR="002318F0" w:rsidRPr="00ED38E9">
        <w:rPr>
          <w:rFonts w:cs="Arial"/>
        </w:rPr>
        <w:t>Směrnic</w:t>
      </w:r>
      <w:r w:rsidR="002318F0">
        <w:rPr>
          <w:rFonts w:cs="Arial"/>
        </w:rPr>
        <w:t>í</w:t>
      </w:r>
      <w:r w:rsidR="002318F0" w:rsidRPr="00ED38E9">
        <w:rPr>
          <w:rFonts w:cs="Arial"/>
        </w:rPr>
        <w:t xml:space="preserve"> </w:t>
      </w:r>
      <w:r w:rsidRPr="00ED38E9">
        <w:rPr>
          <w:rFonts w:cs="Arial"/>
        </w:rPr>
        <w:t>OEEZ, a to na základě reálných dat.</w:t>
      </w:r>
    </w:p>
    <w:p w:rsidR="00261D77" w:rsidRPr="00ED38E9" w:rsidRDefault="00261D77" w:rsidP="002D66F0">
      <w:pPr>
        <w:pStyle w:val="Odstavecseseznamem4"/>
        <w:numPr>
          <w:ilvl w:val="0"/>
          <w:numId w:val="111"/>
        </w:numPr>
        <w:rPr>
          <w:rFonts w:cs="Arial"/>
        </w:rPr>
      </w:pPr>
      <w:r w:rsidRPr="00ED38E9">
        <w:rPr>
          <w:rFonts w:cs="Arial"/>
        </w:rPr>
        <w:t xml:space="preserve">Zajistit samosprávnou kontrolu dat systémů zpětného odběru (jednotný audit) bez nároku na personální a finanční zdroje ze státního rozpočtu. </w:t>
      </w:r>
    </w:p>
    <w:p w:rsidR="00261D77" w:rsidRPr="00ED38E9" w:rsidRDefault="00261D77" w:rsidP="002D66F0">
      <w:pPr>
        <w:pStyle w:val="Odstavecseseznamem4"/>
        <w:numPr>
          <w:ilvl w:val="0"/>
          <w:numId w:val="111"/>
        </w:numPr>
        <w:rPr>
          <w:rFonts w:cs="Arial"/>
        </w:rPr>
      </w:pPr>
      <w:r w:rsidRPr="00ED38E9">
        <w:rPr>
          <w:rFonts w:cs="Arial"/>
        </w:rPr>
        <w:t>Zvýšit transparentnost toku finančních příspěvků v</w:t>
      </w:r>
      <w:r w:rsidR="002318F0">
        <w:rPr>
          <w:rFonts w:cs="Arial"/>
        </w:rPr>
        <w:t> </w:t>
      </w:r>
      <w:r w:rsidRPr="00ED38E9">
        <w:rPr>
          <w:rFonts w:cs="Arial"/>
        </w:rPr>
        <w:t>systému</w:t>
      </w:r>
      <w:r w:rsidR="002318F0">
        <w:rPr>
          <w:rFonts w:cs="Arial"/>
        </w:rPr>
        <w:t>,</w:t>
      </w:r>
      <w:r w:rsidRPr="00ED38E9">
        <w:rPr>
          <w:rFonts w:cs="Arial"/>
        </w:rPr>
        <w:t xml:space="preserve"> včetně pravidelného vyhodnocování ekonomické efektivnosti a plnění povinností jednotlivých aktérů.</w:t>
      </w:r>
    </w:p>
    <w:p w:rsidR="00261D77" w:rsidRPr="00ED38E9" w:rsidRDefault="00261D77" w:rsidP="00261D77">
      <w:pPr>
        <w:spacing w:before="120"/>
        <w:rPr>
          <w:rFonts w:cs="Arial"/>
        </w:rPr>
      </w:pPr>
      <w:r w:rsidRPr="00ED38E9">
        <w:rPr>
          <w:rFonts w:cs="Arial"/>
        </w:rPr>
        <w:t>Základní funkce, které by koordinační centrum mělo vykonávat, jsou:</w:t>
      </w:r>
    </w:p>
    <w:p w:rsidR="00261D77" w:rsidRPr="00ED38E9" w:rsidRDefault="00261D77" w:rsidP="002D66F0">
      <w:pPr>
        <w:pStyle w:val="Odstavecseseznamem4"/>
        <w:numPr>
          <w:ilvl w:val="0"/>
          <w:numId w:val="112"/>
        </w:numPr>
        <w:rPr>
          <w:rFonts w:cs="Arial"/>
        </w:rPr>
      </w:pPr>
      <w:r w:rsidRPr="00ED38E9">
        <w:rPr>
          <w:rFonts w:cs="Arial"/>
        </w:rPr>
        <w:t>Kontrolní činnost (audity) výrobců a kolektivních systémů.</w:t>
      </w:r>
    </w:p>
    <w:p w:rsidR="00261D77" w:rsidRPr="00ED38E9" w:rsidRDefault="00261D77" w:rsidP="002D66F0">
      <w:pPr>
        <w:pStyle w:val="Odstavecseseznamem4"/>
        <w:numPr>
          <w:ilvl w:val="0"/>
          <w:numId w:val="113"/>
        </w:numPr>
        <w:rPr>
          <w:rFonts w:cs="Arial"/>
        </w:rPr>
      </w:pPr>
      <w:r w:rsidRPr="00ED38E9">
        <w:rPr>
          <w:rFonts w:cs="Arial"/>
        </w:rPr>
        <w:t>Audity množství elektrozařízení, které výrobci uvádějí na trh</w:t>
      </w:r>
    </w:p>
    <w:p w:rsidR="00261D77" w:rsidRPr="00ED38E9" w:rsidRDefault="00261D77" w:rsidP="002D66F0">
      <w:pPr>
        <w:pStyle w:val="Odstavecseseznamem4"/>
        <w:numPr>
          <w:ilvl w:val="0"/>
          <w:numId w:val="113"/>
        </w:numPr>
        <w:rPr>
          <w:rFonts w:cs="Arial"/>
        </w:rPr>
      </w:pPr>
      <w:r w:rsidRPr="00ED38E9">
        <w:rPr>
          <w:rFonts w:cs="Arial"/>
        </w:rPr>
        <w:t xml:space="preserve">Audity </w:t>
      </w:r>
      <w:r w:rsidR="00A20C3D">
        <w:rPr>
          <w:rFonts w:cs="Arial"/>
        </w:rPr>
        <w:t xml:space="preserve">množství </w:t>
      </w:r>
      <w:r w:rsidRPr="00ED38E9">
        <w:rPr>
          <w:rFonts w:cs="Arial"/>
        </w:rPr>
        <w:t xml:space="preserve"> zpětně odebrané</w:t>
      </w:r>
      <w:r w:rsidR="00A20C3D">
        <w:rPr>
          <w:rFonts w:cs="Arial"/>
        </w:rPr>
        <w:t>ho</w:t>
      </w:r>
      <w:r w:rsidRPr="00ED38E9">
        <w:rPr>
          <w:rFonts w:cs="Arial"/>
        </w:rPr>
        <w:t xml:space="preserve"> elektrozařízení</w:t>
      </w:r>
    </w:p>
    <w:p w:rsidR="00261D77" w:rsidRPr="00ED38E9" w:rsidRDefault="00261D77" w:rsidP="002D66F0">
      <w:pPr>
        <w:pStyle w:val="Odstavecseseznamem4"/>
        <w:numPr>
          <w:ilvl w:val="0"/>
          <w:numId w:val="112"/>
        </w:numPr>
        <w:rPr>
          <w:rFonts w:cs="Arial"/>
        </w:rPr>
      </w:pPr>
      <w:r w:rsidRPr="00ED38E9">
        <w:rPr>
          <w:rFonts w:cs="Arial"/>
        </w:rPr>
        <w:t>Sledování plnění limitů a možnost zprostředkování uzavírání dohod o převodu určitého množství zpětně odebraných výrobků mezi KS.</w:t>
      </w:r>
    </w:p>
    <w:p w:rsidR="00440F76" w:rsidRDefault="00261D77" w:rsidP="002D66F0">
      <w:pPr>
        <w:pStyle w:val="Odstavecseseznamem4"/>
        <w:numPr>
          <w:ilvl w:val="0"/>
          <w:numId w:val="112"/>
        </w:numPr>
        <w:rPr>
          <w:rFonts w:cs="Arial"/>
        </w:rPr>
      </w:pPr>
      <w:r w:rsidRPr="00ED38E9">
        <w:rPr>
          <w:rFonts w:cs="Arial"/>
        </w:rPr>
        <w:t xml:space="preserve">Společná komunikace </w:t>
      </w:r>
      <w:r w:rsidR="00440F76">
        <w:rPr>
          <w:rFonts w:cs="Arial"/>
        </w:rPr>
        <w:t>mezi jednotlivými kolektivními systémy - zajištění jednotného metodického přístupu, např. v návaznosti na nejednoznačný přístup, zda určité výrobky splňují příslušné definice nebo při jejich zařazování do skupin (zejména EEZ).</w:t>
      </w:r>
    </w:p>
    <w:p w:rsidR="00261D77" w:rsidRPr="00ED38E9" w:rsidRDefault="00261D77" w:rsidP="002D66F0">
      <w:pPr>
        <w:pStyle w:val="Odstavecseseznamem4"/>
        <w:numPr>
          <w:ilvl w:val="0"/>
          <w:numId w:val="112"/>
        </w:numPr>
        <w:rPr>
          <w:rFonts w:cs="Arial"/>
        </w:rPr>
      </w:pPr>
      <w:r w:rsidRPr="00ED38E9">
        <w:rPr>
          <w:rFonts w:cs="Arial"/>
        </w:rPr>
        <w:t xml:space="preserve"> </w:t>
      </w:r>
      <w:r w:rsidR="00440F76">
        <w:rPr>
          <w:rFonts w:cs="Arial"/>
        </w:rPr>
        <w:t xml:space="preserve">Koordinace </w:t>
      </w:r>
      <w:r w:rsidRPr="00ED38E9">
        <w:rPr>
          <w:rFonts w:cs="Arial"/>
        </w:rPr>
        <w:t xml:space="preserve"> </w:t>
      </w:r>
      <w:r w:rsidR="00440F76">
        <w:rPr>
          <w:rFonts w:cs="Arial"/>
        </w:rPr>
        <w:t xml:space="preserve">osvětové činnosti týkající se </w:t>
      </w:r>
      <w:r w:rsidRPr="00ED38E9">
        <w:rPr>
          <w:rFonts w:cs="Arial"/>
        </w:rPr>
        <w:t>zpětného odběru směrem ke spotřebitelům.</w:t>
      </w:r>
    </w:p>
    <w:p w:rsidR="00261D77" w:rsidRPr="00ED38E9" w:rsidRDefault="00261D77" w:rsidP="00F97AF3">
      <w:pPr>
        <w:pStyle w:val="Nadpis3"/>
      </w:pPr>
      <w:r w:rsidRPr="00ED38E9">
        <w:t>Zhodnocení rizika</w:t>
      </w:r>
    </w:p>
    <w:p w:rsidR="00261D77" w:rsidRPr="00ED38E9" w:rsidRDefault="00261D77" w:rsidP="00261D77">
      <w:pPr>
        <w:rPr>
          <w:rFonts w:cs="Arial"/>
        </w:rPr>
      </w:pPr>
      <w:r w:rsidRPr="00ED38E9">
        <w:rPr>
          <w:rFonts w:cs="Arial"/>
        </w:rPr>
        <w:t xml:space="preserve">Bez nezávislých auditů není sběr deklarovaného množství </w:t>
      </w:r>
      <w:r w:rsidR="00116AA8">
        <w:rPr>
          <w:rFonts w:cs="Arial"/>
        </w:rPr>
        <w:t xml:space="preserve">OEEZ </w:t>
      </w:r>
      <w:r w:rsidR="002318F0" w:rsidRPr="0068229E">
        <w:rPr>
          <w:rFonts w:cs="Arial"/>
        </w:rPr>
        <w:t xml:space="preserve">prokazatelný </w:t>
      </w:r>
      <w:r w:rsidRPr="00ED38E9">
        <w:rPr>
          <w:rFonts w:cs="Arial"/>
        </w:rPr>
        <w:t xml:space="preserve">a nelze tudíž vyloučit stav, kdy dochází k parazitování některých KS, které pouze vybírají příspěvky od výrobců, ale neprovádějí samotný zpětný odběr, resp. </w:t>
      </w:r>
      <w:r w:rsidR="002318F0" w:rsidRPr="00ED38E9">
        <w:rPr>
          <w:rFonts w:cs="Arial"/>
        </w:rPr>
        <w:t>vykazuj</w:t>
      </w:r>
      <w:r w:rsidR="002318F0">
        <w:rPr>
          <w:rFonts w:cs="Arial"/>
        </w:rPr>
        <w:t>í</w:t>
      </w:r>
      <w:r w:rsidR="002318F0" w:rsidRPr="00ED38E9">
        <w:rPr>
          <w:rFonts w:cs="Arial"/>
        </w:rPr>
        <w:t xml:space="preserve"> </w:t>
      </w:r>
      <w:r w:rsidRPr="00ED38E9">
        <w:rPr>
          <w:rFonts w:cs="Arial"/>
        </w:rPr>
        <w:t xml:space="preserve">tato množství </w:t>
      </w:r>
      <w:r w:rsidR="002318F0">
        <w:rPr>
          <w:rFonts w:cs="Arial"/>
        </w:rPr>
        <w:t>„</w:t>
      </w:r>
      <w:r w:rsidRPr="00ED38E9">
        <w:rPr>
          <w:rFonts w:cs="Arial"/>
        </w:rPr>
        <w:t>jen na papíře</w:t>
      </w:r>
      <w:r w:rsidR="002318F0">
        <w:rPr>
          <w:rFonts w:cs="Arial"/>
        </w:rPr>
        <w:t>“</w:t>
      </w:r>
      <w:r w:rsidRPr="00ED38E9">
        <w:rPr>
          <w:rFonts w:cs="Arial"/>
        </w:rPr>
        <w:t xml:space="preserve">. Samotný zpětný odběr pak buďto neprobíhá vůbec, nebo v relativně omezeném měřítku. V současnosti je porovnatelnost výsledků mezi jednotlivými KS velmi obtížná, neboť neexistují jednotné podmínky pro sběr dat a jejich kontrolu ze strany KS, resp. existuje zde velká variabilita různých řešení. </w:t>
      </w:r>
    </w:p>
    <w:p w:rsidR="00261D77" w:rsidRPr="00ED38E9" w:rsidRDefault="00261D77" w:rsidP="00261D77">
      <w:pPr>
        <w:rPr>
          <w:rFonts w:cs="Arial"/>
          <w:shd w:val="clear" w:color="auto" w:fill="FFFF00"/>
        </w:rPr>
      </w:pPr>
      <w:r w:rsidRPr="00ED38E9">
        <w:rPr>
          <w:rFonts w:cs="Arial"/>
        </w:rPr>
        <w:t xml:space="preserve">Na druhou stranu je nutné pracovat i s rizikem, že některé KS nebudou schopny dosáhnout požadovaných hodnot minimální úrovně sběru v příslušných skupinách evidence EEZ s postupným nárůstem, především pak v těch skupinách, pro které jsou stanoveny samostatné cíle. Za tímto účelem je nutno nastavit nejen mechanismus nestranného ověřování skutečné výše zpětného odběru </w:t>
      </w:r>
      <w:r w:rsidR="00116AA8">
        <w:rPr>
          <w:rFonts w:cs="Arial"/>
        </w:rPr>
        <w:t>O</w:t>
      </w:r>
      <w:r w:rsidRPr="00ED38E9">
        <w:rPr>
          <w:rFonts w:cs="Arial"/>
        </w:rPr>
        <w:t xml:space="preserve">EEZ, ale rovněž nastavit mechanismus směřující k možnostem distribuce na obchodním základě nadlimitního objemu sběru v příslušných skupinách zpětného odběru, pokud ji daný KS ve sledovaném období přesáhl, na základě bilaterální dohody, jinému KS k možnosti doplnění příslušné minimální úrovně sběru. </w:t>
      </w:r>
    </w:p>
    <w:p w:rsidR="00261D77" w:rsidRPr="00ED38E9" w:rsidRDefault="00261D77" w:rsidP="00261D77">
      <w:pPr>
        <w:rPr>
          <w:rFonts w:cs="Arial"/>
        </w:rPr>
      </w:pPr>
      <w:r w:rsidRPr="00ED38E9">
        <w:rPr>
          <w:rFonts w:cs="Arial"/>
        </w:rPr>
        <w:t xml:space="preserve">Dále je potřeba se zaměřit na riziko, aby KS byly schopny dodržet své závazky v budoucnu (viz sběr EEZ, jejichž prodej bude ukončen v budoucnu, ale bude potřeba zajistit jejich následný tříděný a recyklovatelný sběr). V tomto smyslu je potřeba se zaměřit na otázky finančních záruk ukládaných na provozovatele KS. </w:t>
      </w:r>
      <w:r w:rsidR="002318F0">
        <w:rPr>
          <w:rFonts w:cs="Arial"/>
        </w:rPr>
        <w:t>V</w:t>
      </w:r>
      <w:r w:rsidRPr="00ED38E9">
        <w:rPr>
          <w:rFonts w:cs="Arial"/>
        </w:rPr>
        <w:t xml:space="preserve">ýše </w:t>
      </w:r>
      <w:r w:rsidR="002318F0">
        <w:rPr>
          <w:rFonts w:cs="Arial"/>
        </w:rPr>
        <w:t xml:space="preserve">těchto záruk </w:t>
      </w:r>
      <w:r w:rsidRPr="00ED38E9">
        <w:rPr>
          <w:rFonts w:cs="Arial"/>
        </w:rPr>
        <w:t>by neměla fungovat jako bariéra vstupu na trh.</w:t>
      </w:r>
      <w:r w:rsidRPr="00ED38E9">
        <w:rPr>
          <w:rFonts w:cs="Arial"/>
          <w:shd w:val="clear" w:color="auto" w:fill="FFFF00"/>
        </w:rPr>
        <w:t xml:space="preserve">  </w:t>
      </w:r>
    </w:p>
    <w:p w:rsidR="00261D77" w:rsidRPr="00ED38E9" w:rsidRDefault="00261D77" w:rsidP="00F97AF3">
      <w:pPr>
        <w:pStyle w:val="Nadpis2"/>
      </w:pPr>
      <w:bookmarkStart w:id="29" w:name="_Toc441759850"/>
      <w:r w:rsidRPr="00ED38E9">
        <w:lastRenderedPageBreak/>
        <w:t>Návrh variant řešení</w:t>
      </w:r>
      <w:bookmarkEnd w:id="29"/>
    </w:p>
    <w:p w:rsidR="00261D77" w:rsidRPr="00ED38E9" w:rsidRDefault="00261D77" w:rsidP="00F97AF3">
      <w:pPr>
        <w:pStyle w:val="Nadpis3"/>
      </w:pPr>
      <w:r w:rsidRPr="00ED38E9">
        <w:t>Varianta 0</w:t>
      </w:r>
    </w:p>
    <w:p w:rsidR="00261D77" w:rsidRPr="00ED38E9" w:rsidRDefault="00261D77" w:rsidP="00261D77">
      <w:pPr>
        <w:rPr>
          <w:rFonts w:cs="Arial"/>
        </w:rPr>
      </w:pPr>
      <w:r w:rsidRPr="00ED38E9">
        <w:rPr>
          <w:rFonts w:cs="Arial"/>
        </w:rPr>
        <w:t>Ponechání současného stavu bez jasného nastavení pravidel pro provádění auditů osob, které jsou smluvními partnery provozovatelů kolektivních systémů a umožnění tak fiktivního plnění cílů stanovených legislativou vč. poskytování konkurenční výhody těm KS, které kontroly těchto partnerů řádně neprovádí.</w:t>
      </w:r>
    </w:p>
    <w:p w:rsidR="00261D77" w:rsidRPr="00ED38E9" w:rsidRDefault="00261D77" w:rsidP="00F97AF3">
      <w:pPr>
        <w:pStyle w:val="Nadpis3"/>
      </w:pPr>
      <w:r w:rsidRPr="00ED38E9">
        <w:t>Varianta 1</w:t>
      </w:r>
    </w:p>
    <w:p w:rsidR="00261D77" w:rsidRPr="00ED38E9" w:rsidRDefault="00261D77" w:rsidP="00261D77">
      <w:pPr>
        <w:rPr>
          <w:rFonts w:cs="Arial"/>
          <w:color w:val="FF0000"/>
        </w:rPr>
      </w:pPr>
      <w:r w:rsidRPr="00ED38E9">
        <w:rPr>
          <w:rFonts w:cs="Arial"/>
        </w:rPr>
        <w:t xml:space="preserve">V této variantě se navrhuje </w:t>
      </w:r>
      <w:r w:rsidR="002318F0" w:rsidRPr="00426E69">
        <w:rPr>
          <w:rFonts w:cs="Arial"/>
        </w:rPr>
        <w:t xml:space="preserve">promítnout </w:t>
      </w:r>
      <w:r w:rsidRPr="00ED38E9">
        <w:rPr>
          <w:rFonts w:cs="Arial"/>
        </w:rPr>
        <w:t xml:space="preserve">do návrhu zákona možnost ustavení koordinačního centra, které může vzniknout za podmínky existence alespoň dvou kolektivních systémů s platným oprávněním uděleným Ministerstvem životního prostředí k provozování KS pro tentýž druh vybraných </w:t>
      </w:r>
      <w:r w:rsidR="00BD1098">
        <w:rPr>
          <w:rFonts w:cs="Arial"/>
        </w:rPr>
        <w:t>výrobků</w:t>
      </w:r>
      <w:r w:rsidRPr="00ED38E9">
        <w:rPr>
          <w:rFonts w:cs="Arial"/>
        </w:rPr>
        <w:t>. Pro každý druh vybraných výrobků bude možné ustavit pouze 1 koordinační centrum. Koordinační centrum je ustavováno jako právnická osoba se sídlem v Praze, nad n</w:t>
      </w:r>
      <w:r w:rsidR="002318F0">
        <w:rPr>
          <w:rFonts w:cs="Arial"/>
        </w:rPr>
        <w:t>í</w:t>
      </w:r>
      <w:r w:rsidRPr="00ED38E9">
        <w:rPr>
          <w:rFonts w:cs="Arial"/>
        </w:rPr>
        <w:t>mž vykonává dohled Ministerstvo životního prostředí, které je zapisuje do Rejstříku koordinačních center umožňujícíh</w:t>
      </w:r>
      <w:r w:rsidR="00BD1098">
        <w:rPr>
          <w:rFonts w:cs="Arial"/>
        </w:rPr>
        <w:t>o</w:t>
      </w:r>
      <w:r w:rsidRPr="00ED38E9">
        <w:rPr>
          <w:rFonts w:cs="Arial"/>
        </w:rPr>
        <w:t xml:space="preserve"> dálkový přístup</w:t>
      </w:r>
      <w:r w:rsidRPr="00ED38E9">
        <w:rPr>
          <w:rFonts w:cs="Arial"/>
          <w:color w:val="FF0000"/>
        </w:rPr>
        <w:t xml:space="preserve">. </w:t>
      </w:r>
    </w:p>
    <w:p w:rsidR="00261D77" w:rsidRPr="00ED38E9" w:rsidRDefault="00261D77" w:rsidP="00261D77">
      <w:pPr>
        <w:rPr>
          <w:rFonts w:cs="Arial"/>
        </w:rPr>
      </w:pPr>
      <w:r w:rsidRPr="00ED38E9">
        <w:rPr>
          <w:rFonts w:cs="Arial"/>
        </w:rPr>
        <w:t xml:space="preserve">Návrh zcela respektuje princip </w:t>
      </w:r>
      <w:r w:rsidR="00A17F43">
        <w:rPr>
          <w:rFonts w:cs="Arial"/>
        </w:rPr>
        <w:t>rozšířené</w:t>
      </w:r>
      <w:r w:rsidRPr="00ED38E9">
        <w:rPr>
          <w:rFonts w:cs="Arial"/>
        </w:rPr>
        <w:t xml:space="preserve"> odpovědnosti výrobce, kdy povinnosti vztahující se ke zpětnému odběru jsou ukládány právě výrobcům, jejichž zájmem je, aby byly splněny zákonné požadavky, ale nedocházelo přitom k nehospodárnému vynakládání prostředků. Z tohoto důvodu je navrhován model, který v různých variantách funguje v mnoha zemích EU. Tím je samosprávné koordinační centrum, založené, řízené a spravované výrobci, resp. jimi </w:t>
      </w:r>
      <w:r w:rsidR="00BD1098">
        <w:rPr>
          <w:rFonts w:cs="Arial"/>
        </w:rPr>
        <w:t>z</w:t>
      </w:r>
      <w:r w:rsidR="005779A7">
        <w:rPr>
          <w:rFonts w:cs="Arial"/>
        </w:rPr>
        <w:t>řízenými</w:t>
      </w:r>
      <w:r w:rsidR="00BD1098">
        <w:rPr>
          <w:rFonts w:cs="Arial"/>
        </w:rPr>
        <w:t xml:space="preserve"> KS</w:t>
      </w:r>
      <w:r w:rsidRPr="00ED38E9">
        <w:rPr>
          <w:rFonts w:cs="Arial"/>
        </w:rPr>
        <w:t>. Obdobné centrum funguje například v Itálii nebo Rakousku.</w:t>
      </w:r>
    </w:p>
    <w:p w:rsidR="00261D77" w:rsidRPr="00ED38E9" w:rsidRDefault="00261D77" w:rsidP="00261D77">
      <w:pPr>
        <w:spacing w:before="120"/>
        <w:rPr>
          <w:rFonts w:cs="Arial"/>
        </w:rPr>
      </w:pPr>
      <w:r w:rsidRPr="00ED38E9">
        <w:rPr>
          <w:rFonts w:cs="Arial"/>
        </w:rPr>
        <w:t>Mezi navrhované funkce koordinačního centra patří:</w:t>
      </w:r>
    </w:p>
    <w:p w:rsidR="00261D77" w:rsidRPr="00ED38E9" w:rsidRDefault="00261D77" w:rsidP="002D66F0">
      <w:pPr>
        <w:numPr>
          <w:ilvl w:val="0"/>
          <w:numId w:val="114"/>
        </w:numPr>
        <w:spacing w:after="120"/>
        <w:rPr>
          <w:rFonts w:cs="Arial"/>
        </w:rPr>
      </w:pPr>
      <w:r w:rsidRPr="00ED38E9">
        <w:rPr>
          <w:rFonts w:cs="Arial"/>
        </w:rPr>
        <w:t xml:space="preserve">Výběr auditorů na základě veřejného výběrového řízení a provádění ověření údajů pro provozovatele KS. </w:t>
      </w:r>
    </w:p>
    <w:p w:rsidR="00261D77" w:rsidRPr="00ED38E9" w:rsidRDefault="00261D77" w:rsidP="002D66F0">
      <w:pPr>
        <w:numPr>
          <w:ilvl w:val="0"/>
          <w:numId w:val="114"/>
        </w:numPr>
        <w:spacing w:after="120"/>
        <w:rPr>
          <w:rFonts w:cs="Arial"/>
        </w:rPr>
      </w:pPr>
      <w:r w:rsidRPr="00ED38E9">
        <w:rPr>
          <w:rFonts w:cs="Arial"/>
        </w:rPr>
        <w:t xml:space="preserve">Shromažďování a zpracování </w:t>
      </w:r>
      <w:r w:rsidR="002318F0" w:rsidRPr="00ED38E9">
        <w:rPr>
          <w:rFonts w:cs="Arial"/>
        </w:rPr>
        <w:t>údaj</w:t>
      </w:r>
      <w:r w:rsidR="002318F0">
        <w:rPr>
          <w:rFonts w:cs="Arial"/>
        </w:rPr>
        <w:t>ů</w:t>
      </w:r>
      <w:r w:rsidR="002318F0" w:rsidRPr="00ED38E9">
        <w:rPr>
          <w:rFonts w:cs="Arial"/>
        </w:rPr>
        <w:t xml:space="preserve"> </w:t>
      </w:r>
      <w:r w:rsidRPr="00ED38E9">
        <w:rPr>
          <w:rFonts w:cs="Arial"/>
        </w:rPr>
        <w:t>z evidencí členů o množství výrobků uváděných výrobci na trh, s nimiž mají kolektivní systémy uzavřeny smlouvu o kolektivním plnění.</w:t>
      </w:r>
    </w:p>
    <w:p w:rsidR="00261D77" w:rsidRPr="00ED38E9" w:rsidRDefault="00261D77" w:rsidP="002D66F0">
      <w:pPr>
        <w:numPr>
          <w:ilvl w:val="0"/>
          <w:numId w:val="114"/>
        </w:numPr>
        <w:spacing w:after="120"/>
        <w:rPr>
          <w:rFonts w:cs="Arial"/>
        </w:rPr>
      </w:pPr>
      <w:r w:rsidRPr="00ED38E9">
        <w:rPr>
          <w:rFonts w:cs="Arial"/>
        </w:rPr>
        <w:t>Zprostředkování uzavírání dohod mezi členy o převodu určitého množství zpětně odebraných výrobků s ukončenou životností.</w:t>
      </w:r>
    </w:p>
    <w:p w:rsidR="00261D77" w:rsidRPr="00ED38E9" w:rsidRDefault="00261D77" w:rsidP="00261D77">
      <w:pPr>
        <w:rPr>
          <w:rFonts w:cs="Arial"/>
        </w:rPr>
      </w:pPr>
      <w:r w:rsidRPr="00ED38E9">
        <w:rPr>
          <w:rFonts w:cs="Arial"/>
        </w:rPr>
        <w:t xml:space="preserve">Tento poslední bod v principu umožňuje, aby kolektivní systémy, které dosáhly požadované míry sběru ve svých skupinách, měly možnost na základě volné dohody „odprodat“ nadlimitní množství jinému kolektivnímu systému. </w:t>
      </w:r>
      <w:r w:rsidR="002318F0" w:rsidRPr="00ED38E9">
        <w:rPr>
          <w:rFonts w:cs="Arial"/>
        </w:rPr>
        <w:t>T</w:t>
      </w:r>
      <w:r w:rsidR="002318F0">
        <w:rPr>
          <w:rFonts w:cs="Arial"/>
        </w:rPr>
        <w:t>a</w:t>
      </w:r>
      <w:r w:rsidR="002318F0" w:rsidRPr="00ED38E9">
        <w:rPr>
          <w:rFonts w:cs="Arial"/>
        </w:rPr>
        <w:t xml:space="preserve">to </w:t>
      </w:r>
      <w:r w:rsidRPr="00ED38E9">
        <w:rPr>
          <w:rFonts w:cs="Arial"/>
        </w:rPr>
        <w:t>zúčtování by probíhala bilaterálně na základě smluvní dohody těchto dvou kolektivních systémů za zprostředkování</w:t>
      </w:r>
      <w:r w:rsidR="00F32A08">
        <w:rPr>
          <w:rFonts w:cs="Arial"/>
        </w:rPr>
        <w:t xml:space="preserve"> koordinačního</w:t>
      </w:r>
      <w:r w:rsidR="005779A7">
        <w:rPr>
          <w:rFonts w:cs="Arial"/>
        </w:rPr>
        <w:t xml:space="preserve"> c</w:t>
      </w:r>
      <w:r w:rsidRPr="00ED38E9">
        <w:rPr>
          <w:rFonts w:cs="Arial"/>
        </w:rPr>
        <w:t xml:space="preserve">entra. </w:t>
      </w:r>
    </w:p>
    <w:p w:rsidR="00261D77" w:rsidRPr="00ED38E9" w:rsidRDefault="00261D77" w:rsidP="00261D77">
      <w:pPr>
        <w:rPr>
          <w:rFonts w:cs="Arial"/>
        </w:rPr>
      </w:pPr>
      <w:r w:rsidRPr="00ED38E9">
        <w:rPr>
          <w:rFonts w:cs="Arial"/>
        </w:rPr>
        <w:t xml:space="preserve">Pro potřeby průběžného sledování </w:t>
      </w:r>
      <w:r w:rsidR="00440F76">
        <w:rPr>
          <w:rFonts w:cs="Arial"/>
        </w:rPr>
        <w:t>plnění</w:t>
      </w:r>
      <w:r w:rsidR="00440F76" w:rsidRPr="00ED38E9">
        <w:rPr>
          <w:rFonts w:cs="Arial"/>
        </w:rPr>
        <w:t xml:space="preserve"> </w:t>
      </w:r>
      <w:r w:rsidR="00440F76">
        <w:rPr>
          <w:rFonts w:cs="Arial"/>
        </w:rPr>
        <w:t>cílů a též pro stanovení plánu auditů</w:t>
      </w:r>
      <w:r w:rsidR="00440F76" w:rsidRPr="00ED38E9">
        <w:rPr>
          <w:rFonts w:cs="Arial"/>
        </w:rPr>
        <w:t xml:space="preserve"> </w:t>
      </w:r>
      <w:r w:rsidRPr="00ED38E9">
        <w:rPr>
          <w:rFonts w:cs="Arial"/>
        </w:rPr>
        <w:t>je potřebné zasílání evidencí koordinačnímu centru každé kalendářní čtvrtletí nejpozději do konce následujícího kalendářního měsíce.</w:t>
      </w:r>
    </w:p>
    <w:p w:rsidR="00261D77" w:rsidRPr="00ED38E9" w:rsidRDefault="00261D77" w:rsidP="00261D77">
      <w:pPr>
        <w:spacing w:before="120"/>
        <w:rPr>
          <w:rFonts w:cs="Arial"/>
        </w:rPr>
      </w:pPr>
      <w:r w:rsidRPr="00ED38E9">
        <w:rPr>
          <w:rFonts w:cs="Arial"/>
        </w:rPr>
        <w:t>V neposlední řadě koordinační centru</w:t>
      </w:r>
      <w:r w:rsidR="002318F0">
        <w:rPr>
          <w:rFonts w:cs="Arial"/>
        </w:rPr>
        <w:t>m</w:t>
      </w:r>
      <w:r w:rsidRPr="00ED38E9">
        <w:rPr>
          <w:rFonts w:cs="Arial"/>
        </w:rPr>
        <w:t xml:space="preserve"> vyvíjí a koordinuje také osvětovou činnost členů při plnění jejich povinností týkajících se vedení informačních kampaní pro konečné uživatele o způsobu zajištění zpětného odběru a požadavcích, aby výrobky s ukončenou životností nebyly odstraňovány jako netříděný odpad. </w:t>
      </w:r>
    </w:p>
    <w:p w:rsidR="00261D77" w:rsidRPr="00ED38E9" w:rsidRDefault="00261D77" w:rsidP="00F97AF3">
      <w:pPr>
        <w:pStyle w:val="Nadpis2"/>
      </w:pPr>
      <w:bookmarkStart w:id="30" w:name="_Toc441759851"/>
      <w:r w:rsidRPr="00ED38E9">
        <w:lastRenderedPageBreak/>
        <w:t>Vyhodnocení nákladů a přínosů</w:t>
      </w:r>
      <w:bookmarkEnd w:id="30"/>
    </w:p>
    <w:p w:rsidR="00261D77" w:rsidRPr="00ED38E9" w:rsidRDefault="00261D77" w:rsidP="00F97AF3">
      <w:pPr>
        <w:pStyle w:val="Nadpis3"/>
      </w:pPr>
      <w:r w:rsidRPr="00ED38E9">
        <w:t>Identifikace nákladů a přínosů</w:t>
      </w:r>
    </w:p>
    <w:p w:rsidR="00261D77" w:rsidRPr="00ED38E9" w:rsidRDefault="00261D77" w:rsidP="002D66F0">
      <w:pPr>
        <w:pStyle w:val="Odstavecseseznamem4"/>
        <w:keepNext/>
        <w:numPr>
          <w:ilvl w:val="0"/>
          <w:numId w:val="79"/>
        </w:numPr>
        <w:spacing w:before="240" w:after="120"/>
        <w:contextualSpacing w:val="0"/>
        <w:rPr>
          <w:rFonts w:cs="Arial"/>
        </w:rPr>
      </w:pPr>
      <w:r w:rsidRPr="00ED38E9">
        <w:rPr>
          <w:rFonts w:cs="Arial"/>
        </w:rPr>
        <w:t>Varianta 0</w:t>
      </w:r>
    </w:p>
    <w:p w:rsidR="00261D77" w:rsidRPr="00ED38E9" w:rsidRDefault="00261D77" w:rsidP="00261D77">
      <w:pPr>
        <w:pStyle w:val="Normlntun"/>
        <w:rPr>
          <w:rFonts w:cs="Arial"/>
        </w:rPr>
      </w:pPr>
      <w:r w:rsidRPr="00ED38E9">
        <w:rPr>
          <w:rFonts w:cs="Arial"/>
        </w:rPr>
        <w:t>Dopady na státní rozpočet a ostatní veřejné rozpočty</w:t>
      </w:r>
    </w:p>
    <w:p w:rsidR="00261D77" w:rsidRPr="00ED38E9" w:rsidRDefault="00261D77" w:rsidP="00261D77">
      <w:pPr>
        <w:rPr>
          <w:rFonts w:cs="Arial"/>
        </w:rPr>
      </w:pPr>
      <w:r w:rsidRPr="00ED38E9">
        <w:rPr>
          <w:rFonts w:cs="Arial"/>
        </w:rPr>
        <w:t>Stávající objem administrativní zátěže MŽP je spojen s registrací KS</w:t>
      </w:r>
      <w:r w:rsidR="00BC3528">
        <w:rPr>
          <w:rFonts w:cs="Arial"/>
        </w:rPr>
        <w:t>,</w:t>
      </w:r>
      <w:r w:rsidRPr="00ED38E9">
        <w:rPr>
          <w:rFonts w:cs="Arial"/>
        </w:rPr>
        <w:t xml:space="preserve"> vedením správního řízení o vydání oprávnění k provozování </w:t>
      </w:r>
      <w:r w:rsidR="00BC3528">
        <w:rPr>
          <w:rFonts w:cs="Arial"/>
        </w:rPr>
        <w:t>KS a s</w:t>
      </w:r>
      <w:r w:rsidRPr="00ED38E9">
        <w:rPr>
          <w:rFonts w:cs="Arial"/>
        </w:rPr>
        <w:t xml:space="preserve"> výkon</w:t>
      </w:r>
      <w:r w:rsidR="00BC3528">
        <w:rPr>
          <w:rFonts w:cs="Arial"/>
        </w:rPr>
        <w:t>em</w:t>
      </w:r>
      <w:r w:rsidRPr="00ED38E9">
        <w:rPr>
          <w:rFonts w:cs="Arial"/>
        </w:rPr>
        <w:t xml:space="preserve"> dohledových činností. </w:t>
      </w:r>
    </w:p>
    <w:p w:rsidR="00261D77" w:rsidRPr="00ED38E9" w:rsidRDefault="00261D77" w:rsidP="00261D77">
      <w:pPr>
        <w:pStyle w:val="Normlntun"/>
        <w:rPr>
          <w:rFonts w:cs="Arial"/>
        </w:rPr>
      </w:pPr>
      <w:r w:rsidRPr="00ED38E9">
        <w:rPr>
          <w:rFonts w:cs="Arial"/>
        </w:rPr>
        <w:t>Dopady na podnikatelské subjekty - kolektivní systémy</w:t>
      </w:r>
    </w:p>
    <w:p w:rsidR="00261D77" w:rsidRPr="00ED38E9" w:rsidRDefault="00261D77" w:rsidP="00261D77">
      <w:pPr>
        <w:rPr>
          <w:rFonts w:cs="Arial"/>
        </w:rPr>
      </w:pPr>
      <w:r w:rsidRPr="00ED38E9">
        <w:rPr>
          <w:rFonts w:cs="Arial"/>
        </w:rPr>
        <w:t xml:space="preserve">Provozovatelé KS mají za povinnost vést evidenci výrobců, s nimiž </w:t>
      </w:r>
      <w:r w:rsidR="002318F0">
        <w:rPr>
          <w:rFonts w:cs="Arial"/>
        </w:rPr>
        <w:t>mají</w:t>
      </w:r>
      <w:r w:rsidR="002318F0" w:rsidRPr="00ED38E9">
        <w:rPr>
          <w:rFonts w:cs="Arial"/>
        </w:rPr>
        <w:t xml:space="preserve"> </w:t>
      </w:r>
      <w:r w:rsidRPr="00ED38E9">
        <w:rPr>
          <w:rFonts w:cs="Arial"/>
        </w:rPr>
        <w:t xml:space="preserve">uzavřenou smlouvu o kolektivním plnění, množství vybraných výrobků uvedených na trh </w:t>
      </w:r>
      <w:r w:rsidR="002318F0">
        <w:rPr>
          <w:rFonts w:cs="Arial"/>
        </w:rPr>
        <w:t xml:space="preserve">těmito </w:t>
      </w:r>
      <w:r w:rsidRPr="00ED38E9">
        <w:rPr>
          <w:rFonts w:cs="Arial"/>
        </w:rPr>
        <w:t xml:space="preserve">výrobci, osob, které pro provozovatele kolektivního systému zajišťují zpětný odběr, svoz, zpracování či jiné nakládání se zpětně odebranými výrobky s ukončenou životností, </w:t>
      </w:r>
      <w:r w:rsidR="00BC3528">
        <w:rPr>
          <w:rFonts w:cs="Arial"/>
        </w:rPr>
        <w:t xml:space="preserve">a </w:t>
      </w:r>
      <w:r w:rsidRPr="00ED38E9">
        <w:rPr>
          <w:rFonts w:cs="Arial"/>
          <w:bCs/>
        </w:rPr>
        <w:t xml:space="preserve">toku zpětně odebraných výrobků </w:t>
      </w:r>
      <w:r w:rsidRPr="00ED38E9">
        <w:rPr>
          <w:rFonts w:cs="Arial"/>
        </w:rPr>
        <w:t>s ukončenou životností</w:t>
      </w:r>
      <w:r w:rsidRPr="00ED38E9">
        <w:rPr>
          <w:rFonts w:cs="Arial"/>
          <w:bCs/>
        </w:rPr>
        <w:t xml:space="preserve"> od místa zpětného odběru až po jejich konečné využití, včetně přípravy k opětovnému použití, nebo odstranění</w:t>
      </w:r>
      <w:r w:rsidRPr="00ED38E9">
        <w:rPr>
          <w:rFonts w:cs="Arial"/>
        </w:rPr>
        <w:t xml:space="preserve">. </w:t>
      </w:r>
    </w:p>
    <w:p w:rsidR="00261D77" w:rsidRPr="00ED38E9" w:rsidRDefault="00261D77" w:rsidP="00261D77">
      <w:pPr>
        <w:pStyle w:val="Normlntun"/>
        <w:rPr>
          <w:rFonts w:cs="Arial"/>
        </w:rPr>
      </w:pPr>
      <w:r w:rsidRPr="00ED38E9">
        <w:rPr>
          <w:rFonts w:cs="Arial"/>
        </w:rPr>
        <w:t>Dopady na podnikatelské subjekty - výrobci</w:t>
      </w:r>
    </w:p>
    <w:p w:rsidR="00261D77" w:rsidRPr="00ED38E9" w:rsidRDefault="00261D77" w:rsidP="00261D77">
      <w:pPr>
        <w:rPr>
          <w:rFonts w:cs="Arial"/>
        </w:rPr>
      </w:pPr>
      <w:r w:rsidRPr="00ED38E9">
        <w:rPr>
          <w:rFonts w:cs="Arial"/>
        </w:rPr>
        <w:t>Povinnosti financování při nakládání s elektrozařízeními pocházejícími z domácností se liší podle data uvedení elektrozařízení na trh. Je-li elektrozařízení uvedeno na trh po dni 13.</w:t>
      </w:r>
      <w:r w:rsidR="00A95A95" w:rsidRPr="00ED38E9">
        <w:rPr>
          <w:rFonts w:cs="Arial"/>
        </w:rPr>
        <w:t> </w:t>
      </w:r>
      <w:r w:rsidRPr="00ED38E9">
        <w:rPr>
          <w:rFonts w:cs="Arial"/>
        </w:rPr>
        <w:t>srpna 2005, je výrobce elektrozařízení povinen financovat zpětný odběr, zpracování, využití a odstranění elektrozařízení pocházejícího z domácností. Bylo-li elektrozařízení uvedeno na trh do dne 13. srpna 2005, jsou k zajištění zpětného odběru, zpracování, využití a odstranění elektrozařízení pocházejícího z domácností, výrobci povinni vytvořit systém, do kterého v</w:t>
      </w:r>
      <w:r w:rsidR="00FF0A24">
        <w:rPr>
          <w:rFonts w:cs="Arial"/>
        </w:rPr>
        <w:t> </w:t>
      </w:r>
      <w:r w:rsidRPr="00ED38E9">
        <w:rPr>
          <w:rFonts w:cs="Arial"/>
        </w:rPr>
        <w:t>odpovídajícím rozsahu, zejména podle podílu na trhu, přispívají všechny osoby, které jsou podnikatelsky činné v okamžiku vzniku příslušných nákladů.</w:t>
      </w:r>
    </w:p>
    <w:p w:rsidR="00261D77" w:rsidRPr="00ED38E9" w:rsidRDefault="00261D77" w:rsidP="00261D77">
      <w:pPr>
        <w:rPr>
          <w:rFonts w:cs="Arial"/>
        </w:rPr>
      </w:pPr>
    </w:p>
    <w:p w:rsidR="00261D77" w:rsidRPr="00ED38E9" w:rsidRDefault="00261D77" w:rsidP="00261D77">
      <w:pPr>
        <w:pStyle w:val="Normlntun"/>
        <w:rPr>
          <w:rFonts w:cs="Arial"/>
        </w:rPr>
      </w:pPr>
      <w:r w:rsidRPr="00ED38E9">
        <w:rPr>
          <w:rFonts w:cs="Arial"/>
        </w:rPr>
        <w:t>Dopady na územní samosprávné celky (obce, kraje)</w:t>
      </w:r>
    </w:p>
    <w:p w:rsidR="00261D77" w:rsidRPr="00ED38E9" w:rsidRDefault="00261D77" w:rsidP="00261D77">
      <w:pPr>
        <w:rPr>
          <w:rFonts w:cs="Arial"/>
        </w:rPr>
      </w:pPr>
      <w:r w:rsidRPr="00ED38E9">
        <w:rPr>
          <w:rFonts w:cs="Arial"/>
        </w:rPr>
        <w:t>Již novelizace zákona o odpadech z r</w:t>
      </w:r>
      <w:r w:rsidR="00A95A95" w:rsidRPr="00ED38E9">
        <w:rPr>
          <w:rFonts w:cs="Arial"/>
        </w:rPr>
        <w:t>oku</w:t>
      </w:r>
      <w:r w:rsidRPr="00ED38E9">
        <w:rPr>
          <w:rFonts w:cs="Arial"/>
        </w:rPr>
        <w:t xml:space="preserve"> 2014 zpřesnila povinnosti pro výrobce EEZ určených k použití v domácnostech. Tyto povinnosti se vztahují především na KS, které zajištují plnění povinností příslušných výrobců. </w:t>
      </w:r>
      <w:r w:rsidR="00AA1DD8">
        <w:rPr>
          <w:rFonts w:cs="Arial"/>
        </w:rPr>
        <w:t xml:space="preserve">KS </w:t>
      </w:r>
      <w:r w:rsidRPr="00ED38E9">
        <w:rPr>
          <w:rFonts w:cs="Arial"/>
        </w:rPr>
        <w:t>jsou podle zákona o odpadech povinny uzavřít smlouvu o využití systému sběru a třídění komunálních odpadů s každou obcí, která o její uzavření projeví zájem, a ve které jsou EEZ určená k použití v domácnostech, která uvádí na trh výrobce (popř. výrobce zapojený v KS), prodáván</w:t>
      </w:r>
      <w:r w:rsidR="00FF0A24">
        <w:rPr>
          <w:rFonts w:cs="Arial"/>
        </w:rPr>
        <w:t>a, za podmínek obdobných jako s </w:t>
      </w:r>
      <w:r w:rsidRPr="00ED38E9">
        <w:rPr>
          <w:rFonts w:cs="Arial"/>
        </w:rPr>
        <w:t>ostatními obcemi. Vzhledem k existenci relativně vysokého počtu internetových prodejců, kteří nemají vlastní prodejní místo, resp. zprostředk</w:t>
      </w:r>
      <w:r w:rsidR="00AA1DD8">
        <w:rPr>
          <w:rFonts w:cs="Arial"/>
        </w:rPr>
        <w:t>ovávají</w:t>
      </w:r>
      <w:r w:rsidRPr="00ED38E9">
        <w:rPr>
          <w:rFonts w:cs="Arial"/>
        </w:rPr>
        <w:t xml:space="preserve"> prodej a dodání výrobku zákazníkovi v místě jeho bydliště (nebo jiném jím určeném místě) lze konstatovat, že to vytváří podmínky pro to, aby KS byl povinen uzavřít smlouvu s každou obcí, která o zřízení místa zpětného odběru projeví zájem. Uzavření smluv s KS, respektive výrobci, tak zůstává pro obce ale dobrovolným prvke</w:t>
      </w:r>
      <w:r w:rsidR="00A95A95" w:rsidRPr="00ED38E9">
        <w:rPr>
          <w:rFonts w:cs="Arial"/>
        </w:rPr>
        <w:t>m</w:t>
      </w:r>
      <w:r w:rsidRPr="00ED38E9">
        <w:rPr>
          <w:rFonts w:cs="Arial"/>
        </w:rPr>
        <w:t xml:space="preserve"> a nesmí být zakotveno výhradní právo na využití systému nakládání s komunálním odpadem pouze pro určité výrobce či výrobky s ukončenou živostností.</w:t>
      </w:r>
    </w:p>
    <w:p w:rsidR="00261D77" w:rsidRPr="00ED38E9" w:rsidRDefault="00261D77" w:rsidP="00261D77">
      <w:pPr>
        <w:pStyle w:val="Normlntun"/>
        <w:rPr>
          <w:rFonts w:cs="Arial"/>
        </w:rPr>
      </w:pPr>
      <w:r w:rsidRPr="00ED38E9">
        <w:rPr>
          <w:rFonts w:cs="Arial"/>
        </w:rPr>
        <w:lastRenderedPageBreak/>
        <w:t>Sociální dopady</w:t>
      </w:r>
    </w:p>
    <w:p w:rsidR="00261D77" w:rsidRPr="00ED38E9" w:rsidRDefault="00261D77" w:rsidP="00261D77">
      <w:pPr>
        <w:rPr>
          <w:rFonts w:cs="Arial"/>
        </w:rPr>
      </w:pPr>
      <w:r w:rsidRPr="00ED38E9">
        <w:rPr>
          <w:rFonts w:cs="Arial"/>
        </w:rPr>
        <w:t>Sociální dopady, především s ohledem na spotřebitele a jejich možnosti odevzdávání OEEZ</w:t>
      </w:r>
      <w:r w:rsidR="00AA1DD8">
        <w:rPr>
          <w:rFonts w:cs="Arial"/>
        </w:rPr>
        <w:t>,</w:t>
      </w:r>
      <w:r w:rsidRPr="00ED38E9">
        <w:rPr>
          <w:rFonts w:cs="Arial"/>
        </w:rPr>
        <w:t xml:space="preserve"> odpovídá</w:t>
      </w:r>
      <w:r w:rsidR="00647BF6">
        <w:rPr>
          <w:rFonts w:cs="Arial"/>
        </w:rPr>
        <w:t>jí</w:t>
      </w:r>
      <w:r w:rsidRPr="00ED38E9">
        <w:rPr>
          <w:rFonts w:cs="Arial"/>
        </w:rPr>
        <w:t xml:space="preserve"> popisu v bodě </w:t>
      </w:r>
      <w:r w:rsidRPr="00ED38E9">
        <w:rPr>
          <w:rFonts w:cs="Arial"/>
          <w:b/>
          <w:bCs/>
        </w:rPr>
        <w:t>Nastavení cílů sběru pro specifické skupiny EEZ</w:t>
      </w:r>
      <w:r w:rsidRPr="00ED38E9">
        <w:rPr>
          <w:rFonts w:cs="Arial"/>
        </w:rPr>
        <w:t>.</w:t>
      </w:r>
    </w:p>
    <w:p w:rsidR="00261D77" w:rsidRPr="00ED38E9" w:rsidRDefault="00261D77" w:rsidP="00261D77">
      <w:pPr>
        <w:pStyle w:val="Normlntun"/>
        <w:rPr>
          <w:rFonts w:cs="Arial"/>
        </w:rPr>
      </w:pPr>
      <w:r w:rsidRPr="00ED38E9">
        <w:rPr>
          <w:rFonts w:cs="Arial"/>
        </w:rPr>
        <w:t>Dopady na životní prostředí</w:t>
      </w:r>
    </w:p>
    <w:p w:rsidR="00261D77" w:rsidRPr="00ED38E9" w:rsidRDefault="00261D77" w:rsidP="00261D77">
      <w:pPr>
        <w:rPr>
          <w:rFonts w:cs="Arial"/>
        </w:rPr>
      </w:pPr>
      <w:r w:rsidRPr="00ED38E9">
        <w:rPr>
          <w:rFonts w:cs="Arial"/>
        </w:rPr>
        <w:t>Bez postupného zvyšování požadavků na minimální úroveň zpětného oběru OEEZ, který je podchycen evidencí skrze hlášení podávaná MŽP výrobci, resp. provozovateli KS</w:t>
      </w:r>
      <w:r w:rsidR="00AA1DD8">
        <w:rPr>
          <w:rFonts w:cs="Arial"/>
        </w:rPr>
        <w:t>,</w:t>
      </w:r>
      <w:r w:rsidRPr="00ED38E9">
        <w:rPr>
          <w:rFonts w:cs="Arial"/>
        </w:rPr>
        <w:t xml:space="preserve"> přetrvává riziko, že velká část OEEZ bude nadále končit v rámci neevidovaného sběru </w:t>
      </w:r>
      <w:r w:rsidR="00AA1DD8">
        <w:rPr>
          <w:rFonts w:cs="Arial"/>
        </w:rPr>
        <w:t>v</w:t>
      </w:r>
      <w:r w:rsidR="00AA1DD8" w:rsidRPr="00ED38E9">
        <w:rPr>
          <w:rFonts w:cs="Arial"/>
        </w:rPr>
        <w:t> </w:t>
      </w:r>
      <w:r w:rsidRPr="00ED38E9">
        <w:rPr>
          <w:rFonts w:cs="Arial"/>
        </w:rPr>
        <w:t>netříděném komunálním odpadu. Především s ohledem na množství nově uváděných EEZ na trh, kdy prodeje v jednotlivých skupinách sice vykazují v některých ohledech nárůsty i</w:t>
      </w:r>
      <w:r w:rsidR="00A95A95" w:rsidRPr="00ED38E9">
        <w:rPr>
          <w:rFonts w:cs="Arial"/>
        </w:rPr>
        <w:t> </w:t>
      </w:r>
      <w:r w:rsidRPr="00ED38E9">
        <w:rPr>
          <w:rFonts w:cs="Arial"/>
        </w:rPr>
        <w:t xml:space="preserve">propady, ale v množství výrobků přepočítaných na jejich váhu lze sledovat tendenci k meziročním nárůstům celkového objemu EEZ, a dále při </w:t>
      </w:r>
      <w:r w:rsidR="00AA1DD8">
        <w:rPr>
          <w:rFonts w:cs="Arial"/>
        </w:rPr>
        <w:t>zohlednění</w:t>
      </w:r>
      <w:r w:rsidRPr="00ED38E9">
        <w:rPr>
          <w:rFonts w:cs="Arial"/>
        </w:rPr>
        <w:t xml:space="preserve"> zkracování cyklů životnosti některých EEZ, je podíl zpětně odebíraných OEEZ nutné podstatně zvýšit. </w:t>
      </w:r>
    </w:p>
    <w:p w:rsidR="00261D77" w:rsidRPr="00ED38E9" w:rsidRDefault="00261D77" w:rsidP="002D66F0">
      <w:pPr>
        <w:pStyle w:val="Odstavecseseznamem4"/>
        <w:keepNext/>
        <w:numPr>
          <w:ilvl w:val="0"/>
          <w:numId w:val="79"/>
        </w:numPr>
        <w:spacing w:before="240" w:after="120"/>
        <w:ind w:left="714" w:hanging="357"/>
        <w:contextualSpacing w:val="0"/>
        <w:rPr>
          <w:rFonts w:cs="Arial"/>
        </w:rPr>
      </w:pPr>
      <w:r w:rsidRPr="00ED38E9">
        <w:rPr>
          <w:rFonts w:cs="Arial"/>
        </w:rPr>
        <w:t>Varianta 1</w:t>
      </w:r>
    </w:p>
    <w:p w:rsidR="00261D77" w:rsidRPr="00ED38E9" w:rsidRDefault="00261D77" w:rsidP="00261D77">
      <w:pPr>
        <w:pStyle w:val="Normlntun"/>
        <w:rPr>
          <w:rFonts w:cs="Arial"/>
        </w:rPr>
      </w:pPr>
      <w:r w:rsidRPr="00ED38E9">
        <w:rPr>
          <w:rFonts w:cs="Arial"/>
        </w:rPr>
        <w:t>Dopady na státní rozpočet a ostatní veřejné rozpočty</w:t>
      </w:r>
    </w:p>
    <w:p w:rsidR="00261D77" w:rsidRPr="00ED38E9" w:rsidRDefault="00261D77" w:rsidP="00261D77">
      <w:pPr>
        <w:rPr>
          <w:rFonts w:cs="Arial"/>
        </w:rPr>
      </w:pPr>
      <w:r w:rsidRPr="00ED38E9">
        <w:rPr>
          <w:rFonts w:cs="Arial"/>
        </w:rPr>
        <w:t>Nedosažení požadovaných minimální úrovní sběru znamená nesplnění podmínek Směrnice OEEZ, které mohou vést až k uvalení finančních sankcí na ČR podle článku 260 Smlouvy o fungování EU.</w:t>
      </w:r>
    </w:p>
    <w:p w:rsidR="00261D77" w:rsidRPr="00ED38E9" w:rsidRDefault="00261D77" w:rsidP="00261D77">
      <w:pPr>
        <w:rPr>
          <w:rFonts w:cs="Arial"/>
        </w:rPr>
      </w:pPr>
      <w:r w:rsidRPr="00ED38E9">
        <w:rPr>
          <w:rFonts w:cs="Arial"/>
        </w:rPr>
        <w:t>Přímé náklady vzniknou MŽP v souvislosti s evidencí a správou Rejstříku koordinačních center.</w:t>
      </w:r>
      <w:r w:rsidR="004D5D59">
        <w:rPr>
          <w:rFonts w:cs="Arial"/>
        </w:rPr>
        <w:t xml:space="preserve"> </w:t>
      </w:r>
      <w:r w:rsidR="00E956FE">
        <w:t xml:space="preserve">Předpokládáme minimální náklady – zveřejnění souboru v pdf na webu se seznamem koordinačních centrem a vedení </w:t>
      </w:r>
      <w:r w:rsidR="00EE1213">
        <w:t xml:space="preserve">sbírky </w:t>
      </w:r>
      <w:r w:rsidR="00E956FE">
        <w:t>listin týkající</w:t>
      </w:r>
      <w:r w:rsidR="00EE1213">
        <w:t>ch</w:t>
      </w:r>
      <w:r w:rsidR="00E956FE">
        <w:t xml:space="preserve"> se koordinační</w:t>
      </w:r>
      <w:r w:rsidR="00EE1213">
        <w:t>c</w:t>
      </w:r>
      <w:r w:rsidR="00E956FE">
        <w:t>h cent</w:t>
      </w:r>
      <w:r w:rsidR="00EE1213">
        <w:t>e</w:t>
      </w:r>
      <w:r w:rsidR="00E956FE">
        <w:t>r.</w:t>
      </w:r>
    </w:p>
    <w:p w:rsidR="00261D77" w:rsidRPr="00ED38E9" w:rsidRDefault="00261D77" w:rsidP="00261D77">
      <w:pPr>
        <w:pStyle w:val="Normlntun"/>
        <w:rPr>
          <w:rFonts w:cs="Arial"/>
        </w:rPr>
      </w:pPr>
      <w:r w:rsidRPr="00ED38E9">
        <w:rPr>
          <w:rFonts w:cs="Arial"/>
        </w:rPr>
        <w:t>Dopady na podnikatelské subjekty</w:t>
      </w:r>
    </w:p>
    <w:p w:rsidR="00261D77" w:rsidRPr="00ED38E9" w:rsidRDefault="00261D77" w:rsidP="00261D77">
      <w:pPr>
        <w:rPr>
          <w:rFonts w:cs="Arial"/>
        </w:rPr>
      </w:pPr>
      <w:r w:rsidRPr="00ED38E9">
        <w:rPr>
          <w:rFonts w:cs="Arial"/>
        </w:rPr>
        <w:t xml:space="preserve">Možnost ustavení koordinačního centra je novým prvkem v činnosti provozovatelů KS: Provozovatel KS, který </w:t>
      </w:r>
      <w:r w:rsidR="00EE1213">
        <w:rPr>
          <w:rFonts w:cs="Arial"/>
        </w:rPr>
        <w:t>je</w:t>
      </w:r>
      <w:r w:rsidRPr="00ED38E9">
        <w:rPr>
          <w:rFonts w:cs="Arial"/>
        </w:rPr>
        <w:t xml:space="preserve"> členem koordinačního centra, je povinen poskytovat koordinačnímu centru nezbytnou součinnost při plnění jeho úkolů, zejména umožnit provedení ověření evidencí auditorem určeným koordinačním centrem. Za tímto účelem je povinen zasílat koordinačnímu centru údaje z evidencí od výrobců, s nimiž má uzařenou kolektivní smlouvu o plnění, a to za každé kalendářní čtvrtletí nejpozději do konce následujícího kalendářního měsíce. S členstvím se pojí dále povinnost platit pravidelné příspěvky na činnost koordinačního centra</w:t>
      </w:r>
      <w:r w:rsidR="004D5D59">
        <w:rPr>
          <w:rFonts w:cs="Arial"/>
        </w:rPr>
        <w:t xml:space="preserve">, které stanoví jeho členská rada v závislosti na </w:t>
      </w:r>
      <w:r w:rsidR="0060353A" w:rsidRPr="00090C26">
        <w:t xml:space="preserve">množství vybraných výrobků </w:t>
      </w:r>
      <w:r w:rsidR="0060353A">
        <w:t xml:space="preserve">uvedených na trh výrobci, s </w:t>
      </w:r>
      <w:r w:rsidR="0060353A" w:rsidRPr="00BB4BD9">
        <w:t xml:space="preserve">nimiž má </w:t>
      </w:r>
      <w:r w:rsidR="0060353A">
        <w:t xml:space="preserve">člen koordinačního centra </w:t>
      </w:r>
      <w:r w:rsidR="0060353A" w:rsidRPr="00BB4BD9">
        <w:t>uzavřenou smlouv</w:t>
      </w:r>
      <w:r w:rsidR="0060353A">
        <w:t>u</w:t>
      </w:r>
      <w:r w:rsidR="0060353A" w:rsidRPr="00BB4BD9">
        <w:t xml:space="preserve"> o kolektivním plnění</w:t>
      </w:r>
      <w:r w:rsidR="00E639E8">
        <w:rPr>
          <w:rFonts w:cs="Arial"/>
        </w:rPr>
        <w:t>.</w:t>
      </w:r>
      <w:r w:rsidR="00511FF4">
        <w:rPr>
          <w:rFonts w:cs="Arial"/>
        </w:rPr>
        <w:t xml:space="preserve"> Vzhledem ke skutečnosti, že určité aktivity, které dnes vykonávají kolektivní systémy samostatně (zejména kontrolní činnost), budou vykonávány jednotně v rámci koordinačního centra, lze očekávat úsporu nákladů oproti současnému stavu.</w:t>
      </w:r>
      <w:r w:rsidR="0060353A" w:rsidRPr="00ED38E9">
        <w:rPr>
          <w:rFonts w:cs="Arial"/>
        </w:rPr>
        <w:t xml:space="preserve"> </w:t>
      </w:r>
      <w:r w:rsidRPr="00ED38E9">
        <w:rPr>
          <w:rFonts w:cs="Arial"/>
        </w:rPr>
        <w:t>Za dluhy koordinačního centra ručí jeho člen v</w:t>
      </w:r>
      <w:r w:rsidR="00AC3573" w:rsidRPr="00ED38E9">
        <w:rPr>
          <w:rFonts w:cs="Arial"/>
        </w:rPr>
        <w:t> </w:t>
      </w:r>
      <w:r w:rsidRPr="00ED38E9">
        <w:rPr>
          <w:rFonts w:cs="Arial"/>
        </w:rPr>
        <w:t>poměru podle svého podílu na celkovém počtu hlasů v členské radě v okamžiku splatnosti pohledávky.</w:t>
      </w:r>
    </w:p>
    <w:p w:rsidR="00261D77" w:rsidRPr="00ED38E9" w:rsidRDefault="00261D77" w:rsidP="00261D77">
      <w:pPr>
        <w:pStyle w:val="Normlntun"/>
        <w:rPr>
          <w:rFonts w:cs="Arial"/>
        </w:rPr>
      </w:pPr>
      <w:r w:rsidRPr="00ED38E9">
        <w:rPr>
          <w:rFonts w:cs="Arial"/>
        </w:rPr>
        <w:t>Dopady na územní samosprávné celky (obce, kraje)</w:t>
      </w:r>
    </w:p>
    <w:p w:rsidR="00261D77" w:rsidRPr="00ED38E9" w:rsidRDefault="00261D77" w:rsidP="00261D77">
      <w:pPr>
        <w:rPr>
          <w:rFonts w:cs="Arial"/>
        </w:rPr>
      </w:pPr>
      <w:r w:rsidRPr="00ED38E9">
        <w:rPr>
          <w:rFonts w:cs="Arial"/>
        </w:rPr>
        <w:t xml:space="preserve">Výrobce  může za účelem zřízení místa zpětného odběru uzavřít smlouvu s obcí o využití systému nakládání s komunálním odpadem stanoveného touto obcí. Touto smlouvou nesmí být zakotveno výhradní právo na využití systému nakládání s komunálním odpadem pouze pro určité výrobce či výrobky s ukončenou životností. Místa zpětného odběru zřízená </w:t>
      </w:r>
      <w:r w:rsidRPr="00ED38E9">
        <w:rPr>
          <w:rFonts w:cs="Arial"/>
        </w:rPr>
        <w:lastRenderedPageBreak/>
        <w:t>ve</w:t>
      </w:r>
      <w:r w:rsidR="00AC3573" w:rsidRPr="00ED38E9">
        <w:rPr>
          <w:rFonts w:cs="Arial"/>
        </w:rPr>
        <w:t> </w:t>
      </w:r>
      <w:r w:rsidRPr="00ED38E9">
        <w:rPr>
          <w:rFonts w:cs="Arial"/>
        </w:rPr>
        <w:t>spolupráci s obcí a další místa zpětného odběru zřízená výrobcem v katastrálním území obce může obec za účelem informování občanů o zpětném odběru výrobků s ukončenou životností zahrnout do své obecně závazné vyhlášky, kterou stanoví systém nakládání s</w:t>
      </w:r>
      <w:r w:rsidR="00AC3573" w:rsidRPr="00ED38E9">
        <w:rPr>
          <w:rFonts w:cs="Arial"/>
        </w:rPr>
        <w:t> </w:t>
      </w:r>
      <w:r w:rsidRPr="00ED38E9">
        <w:rPr>
          <w:rFonts w:cs="Arial"/>
        </w:rPr>
        <w:t>komunálním odpadem.</w:t>
      </w:r>
    </w:p>
    <w:p w:rsidR="00261D77" w:rsidRPr="00ED38E9" w:rsidRDefault="00261D77" w:rsidP="00261D77">
      <w:pPr>
        <w:pStyle w:val="Normlntun"/>
        <w:rPr>
          <w:rFonts w:cs="Arial"/>
        </w:rPr>
      </w:pPr>
      <w:r w:rsidRPr="00ED38E9">
        <w:rPr>
          <w:rFonts w:cs="Arial"/>
        </w:rPr>
        <w:t>Sociální dopady</w:t>
      </w:r>
    </w:p>
    <w:p w:rsidR="00261D77" w:rsidRPr="00ED38E9" w:rsidRDefault="00261D77" w:rsidP="00261D77">
      <w:pPr>
        <w:rPr>
          <w:rFonts w:cs="Arial"/>
        </w:rPr>
      </w:pPr>
      <w:r w:rsidRPr="00ED38E9">
        <w:rPr>
          <w:rFonts w:cs="Arial"/>
        </w:rPr>
        <w:t>Pro lepší informovanost spotřebitelů návrh zákona stanovuje výrobcům, distributorům a posledním prodejc</w:t>
      </w:r>
      <w:r w:rsidR="00511FF4">
        <w:rPr>
          <w:rFonts w:cs="Arial"/>
        </w:rPr>
        <w:t>ům</w:t>
      </w:r>
      <w:r w:rsidRPr="00ED38E9">
        <w:rPr>
          <w:rFonts w:cs="Arial"/>
        </w:rPr>
        <w:t xml:space="preserve"> povinnost při prodeji nového elektrozařízení uvádět odděleně náklady na zpětný odběr, zpracování, využití a odstranění OEEZ, které připadají na 1 kus nového EEZ. Tyto náklady nemají převýšit náklady známé výrobci EEZ v okamžiku uvedení nového elektrozařízení na trh, nebo prokazatelný odhad předpokládaných nákladů v případě, že náklady výrobci elektrozařízení vzniknou až po tomto okamžiku. Plní-li výrobce elektrozařízení povinnosti stanovené tímto zákonem v KS, určí se náklady známé výrobci elektrozařízení v okamžiku uvedení nového elektrozařízení na trh podle výše příspěvku hrazeného provozovateli KS.</w:t>
      </w:r>
    </w:p>
    <w:p w:rsidR="00261D77" w:rsidRPr="00ED38E9" w:rsidRDefault="00261D77" w:rsidP="00261D77">
      <w:pPr>
        <w:spacing w:before="120"/>
        <w:rPr>
          <w:rFonts w:cs="Arial"/>
        </w:rPr>
      </w:pPr>
      <w:r w:rsidRPr="00ED38E9">
        <w:rPr>
          <w:rFonts w:cs="Arial"/>
        </w:rPr>
        <w:t xml:space="preserve">Provozovatelům KS je nově uloženo informovat konečné uživatele zejména prostřednictvím informačních kampaní o požadavcích, aby výrobky s ukončenou životností nebyly odstraňovány jako netříděný komunální odpad, ale byly odevzdány na místech k tomu určených </w:t>
      </w:r>
      <w:r w:rsidR="00AA1DD8">
        <w:rPr>
          <w:rFonts w:cs="Arial"/>
        </w:rPr>
        <w:t xml:space="preserve">a </w:t>
      </w:r>
      <w:r w:rsidRPr="00ED38E9">
        <w:rPr>
          <w:rFonts w:cs="Arial"/>
        </w:rPr>
        <w:t>dále o způsobu zajištění zpětného odběru a dalších skutečnostech, např. o možných ško</w:t>
      </w:r>
      <w:r w:rsidR="00A95A95" w:rsidRPr="00ED38E9">
        <w:rPr>
          <w:rFonts w:cs="Arial"/>
        </w:rPr>
        <w:t>d</w:t>
      </w:r>
      <w:r w:rsidRPr="00ED38E9">
        <w:rPr>
          <w:rFonts w:cs="Arial"/>
        </w:rPr>
        <w:t xml:space="preserve">livých vlivech nebezpečných látek obsažených v elektrozařízení na životní prostředí a lidské zdraví. KS je dále kladeno omezení, že zahrnují-li </w:t>
      </w:r>
      <w:r w:rsidR="00954441">
        <w:rPr>
          <w:rFonts w:cs="Arial"/>
        </w:rPr>
        <w:t xml:space="preserve">do </w:t>
      </w:r>
      <w:r w:rsidRPr="00ED38E9">
        <w:rPr>
          <w:rFonts w:cs="Arial"/>
        </w:rPr>
        <w:t xml:space="preserve">informační kampaně či jiné aktivity provozovatele kolektivního systému jakoukoliv formu propagace vlastního systému, musí být taková činnost prováděna tak, aby současně </w:t>
      </w:r>
      <w:r w:rsidR="00562EBA">
        <w:rPr>
          <w:rFonts w:cs="Arial"/>
        </w:rPr>
        <w:t>cílila na</w:t>
      </w:r>
      <w:r w:rsidRPr="00ED38E9">
        <w:rPr>
          <w:rFonts w:cs="Arial"/>
        </w:rPr>
        <w:t xml:space="preserve"> lepší informovanost a změnu spotřebitelského chování za účelem většího zapojení konečných uživatelů do systému zpětného odběru výrobků s ukončenou životností a cílů narůstajících minimálních úrovní zpětného odběru. </w:t>
      </w:r>
      <w:r w:rsidR="00954441">
        <w:rPr>
          <w:rFonts w:cs="Arial"/>
        </w:rPr>
        <w:t>R</w:t>
      </w:r>
      <w:r w:rsidRPr="00ED38E9">
        <w:rPr>
          <w:rFonts w:cs="Arial"/>
        </w:rPr>
        <w:t>ozsah a způsob vedení informačních kampaní a jejich zaměření na konkrétní cílové skupiny konečných uživatelů</w:t>
      </w:r>
      <w:r w:rsidR="00954441" w:rsidRPr="00954441">
        <w:rPr>
          <w:rFonts w:cs="Arial"/>
        </w:rPr>
        <w:t xml:space="preserve"> </w:t>
      </w:r>
      <w:r w:rsidR="00954441">
        <w:rPr>
          <w:rFonts w:cs="Arial"/>
        </w:rPr>
        <w:t>upraví</w:t>
      </w:r>
      <w:r w:rsidR="00954441" w:rsidRPr="008F3664">
        <w:rPr>
          <w:rFonts w:cs="Arial"/>
        </w:rPr>
        <w:t xml:space="preserve"> </w:t>
      </w:r>
      <w:r w:rsidR="00954441">
        <w:rPr>
          <w:rFonts w:cs="Arial"/>
        </w:rPr>
        <w:t>p</w:t>
      </w:r>
      <w:r w:rsidR="00954441" w:rsidRPr="008F3664">
        <w:rPr>
          <w:rFonts w:cs="Arial"/>
        </w:rPr>
        <w:t>rováděcí právní předpis</w:t>
      </w:r>
      <w:r w:rsidR="00954441" w:rsidRPr="00A647F1">
        <w:rPr>
          <w:rFonts w:cs="Arial"/>
        </w:rPr>
        <w:t>.</w:t>
      </w:r>
    </w:p>
    <w:p w:rsidR="00261D77" w:rsidRPr="00ED38E9" w:rsidRDefault="00261D77" w:rsidP="00261D77">
      <w:pPr>
        <w:pStyle w:val="Normlntun"/>
        <w:rPr>
          <w:rFonts w:cs="Arial"/>
        </w:rPr>
      </w:pPr>
      <w:r w:rsidRPr="00ED38E9">
        <w:rPr>
          <w:rFonts w:cs="Arial"/>
        </w:rPr>
        <w:t>Dopady na životní prostředí</w:t>
      </w:r>
    </w:p>
    <w:p w:rsidR="00261D77" w:rsidRPr="00ED38E9" w:rsidRDefault="00261D77" w:rsidP="00261D77">
      <w:pPr>
        <w:rPr>
          <w:rFonts w:cs="Arial"/>
        </w:rPr>
      </w:pPr>
      <w:r w:rsidRPr="00ED38E9">
        <w:rPr>
          <w:rFonts w:cs="Arial"/>
        </w:rPr>
        <w:t>Odložením použit</w:t>
      </w:r>
      <w:r w:rsidR="00954441">
        <w:rPr>
          <w:rFonts w:cs="Arial"/>
        </w:rPr>
        <w:t>ých</w:t>
      </w:r>
      <w:r w:rsidRPr="00ED38E9">
        <w:rPr>
          <w:rFonts w:cs="Arial"/>
        </w:rPr>
        <w:t xml:space="preserve"> EEZ </w:t>
      </w:r>
      <w:r w:rsidR="00954441">
        <w:rPr>
          <w:rFonts w:cs="Arial"/>
        </w:rPr>
        <w:t>na</w:t>
      </w:r>
      <w:r w:rsidR="00954441" w:rsidRPr="00ED38E9">
        <w:rPr>
          <w:rFonts w:cs="Arial"/>
        </w:rPr>
        <w:t xml:space="preserve"> </w:t>
      </w:r>
      <w:r w:rsidRPr="00ED38E9">
        <w:rPr>
          <w:rFonts w:cs="Arial"/>
        </w:rPr>
        <w:t xml:space="preserve">místa zpětného odběru bude umožněno jejich zapojení do procesu ekologického nakládání, jehož výsledkem je řádné zpracování a recyklace. </w:t>
      </w:r>
      <w:r w:rsidR="00954441">
        <w:rPr>
          <w:rFonts w:cs="Arial"/>
        </w:rPr>
        <w:t xml:space="preserve">Zavedením nezávisle hodnoceného evidenčího systému </w:t>
      </w:r>
      <w:r w:rsidRPr="00ED38E9">
        <w:rPr>
          <w:rFonts w:cs="Arial"/>
        </w:rPr>
        <w:t xml:space="preserve">pak dojde k lepší kontrolovatelnosti množství uváděných nových EEZ a míry zpětného odběru OEEZ ze strany KS. </w:t>
      </w:r>
    </w:p>
    <w:p w:rsidR="00261D77" w:rsidRPr="00ED38E9" w:rsidRDefault="00261D77" w:rsidP="00261D77">
      <w:pPr>
        <w:rPr>
          <w:rFonts w:cs="Arial"/>
        </w:rPr>
      </w:pPr>
    </w:p>
    <w:p w:rsidR="00261D77" w:rsidRPr="00ED38E9" w:rsidRDefault="00261D77" w:rsidP="00261D77">
      <w:pPr>
        <w:ind w:firstLine="708"/>
        <w:rPr>
          <w:rFonts w:cs="Arial"/>
          <w:bCs/>
        </w:rPr>
      </w:pPr>
    </w:p>
    <w:p w:rsidR="00261D77" w:rsidRPr="00ED38E9" w:rsidRDefault="00261D77" w:rsidP="00261D77">
      <w:pPr>
        <w:rPr>
          <w:rFonts w:cs="Arial"/>
        </w:rPr>
      </w:pPr>
    </w:p>
    <w:p w:rsidR="00261D77" w:rsidRPr="00ED38E9" w:rsidRDefault="00261D77" w:rsidP="00F97AF3">
      <w:pPr>
        <w:pStyle w:val="Nadpis3"/>
      </w:pPr>
      <w:r w:rsidRPr="00ED38E9">
        <w:lastRenderedPageBreak/>
        <w:t>Vyhodnocení nákladů a přínosů variant</w:t>
      </w:r>
    </w:p>
    <w:p w:rsidR="00261D77" w:rsidRPr="00ED38E9" w:rsidRDefault="00261D77" w:rsidP="00261D77">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20</w:t>
      </w:r>
      <w:r w:rsidR="00381FB7" w:rsidRPr="00ED38E9">
        <w:rPr>
          <w:rFonts w:cs="Arial"/>
        </w:rPr>
        <w:fldChar w:fldCharType="end"/>
      </w:r>
      <w:r w:rsidRPr="00ED38E9">
        <w:rPr>
          <w:rFonts w:cs="Arial"/>
        </w:rPr>
        <w:t>: Porovnání nákladů a přínosů</w:t>
      </w:r>
    </w:p>
    <w:p w:rsidR="00261D77" w:rsidRPr="00ED38E9" w:rsidRDefault="003718AC" w:rsidP="00261D77">
      <w:pPr>
        <w:rPr>
          <w:rFonts w:cs="Arial"/>
        </w:rPr>
      </w:pPr>
      <w:r w:rsidRPr="003718AC">
        <w:rPr>
          <w:lang w:eastAsia="cs-CZ" w:bidi="ar-SA"/>
        </w:rPr>
        <w:drawing>
          <wp:inline distT="0" distB="0" distL="0" distR="0" wp14:anchorId="6EBB3352" wp14:editId="1EACB80B">
            <wp:extent cx="5760720" cy="7482674"/>
            <wp:effectExtent l="0" t="0" r="0" b="4445"/>
            <wp:docPr id="1247" name="Obrázek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482674"/>
                    </a:xfrm>
                    <a:prstGeom prst="rect">
                      <a:avLst/>
                    </a:prstGeom>
                    <a:noFill/>
                    <a:ln>
                      <a:noFill/>
                    </a:ln>
                  </pic:spPr>
                </pic:pic>
              </a:graphicData>
            </a:graphic>
          </wp:inline>
        </w:drawing>
      </w:r>
    </w:p>
    <w:p w:rsidR="00261D77" w:rsidRPr="00ED38E9" w:rsidRDefault="00261D77" w:rsidP="0011664A">
      <w:pPr>
        <w:pStyle w:val="Nadpis2"/>
      </w:pPr>
      <w:bookmarkStart w:id="31" w:name="_Toc441759852"/>
      <w:r w:rsidRPr="00ED38E9">
        <w:t>Návrh řešení</w:t>
      </w:r>
      <w:bookmarkEnd w:id="31"/>
    </w:p>
    <w:p w:rsidR="00261D77" w:rsidRPr="00ED38E9" w:rsidRDefault="00261D77" w:rsidP="0011664A">
      <w:pPr>
        <w:pStyle w:val="Nadpis3"/>
      </w:pPr>
      <w:r w:rsidRPr="00ED38E9">
        <w:t>Stanovení pořadí variant a výběr nejvhodnějšího řešení</w:t>
      </w:r>
    </w:p>
    <w:p w:rsidR="00261D77" w:rsidRPr="00ED38E9" w:rsidRDefault="00261D77" w:rsidP="002D66F0">
      <w:pPr>
        <w:pStyle w:val="Odstavecseseznamem4"/>
        <w:numPr>
          <w:ilvl w:val="0"/>
          <w:numId w:val="78"/>
        </w:numPr>
        <w:spacing w:after="120"/>
        <w:rPr>
          <w:rFonts w:cs="Arial"/>
          <w:b/>
          <w:bCs/>
        </w:rPr>
      </w:pPr>
      <w:r w:rsidRPr="00ED38E9">
        <w:rPr>
          <w:rFonts w:cs="Arial"/>
          <w:b/>
          <w:bCs/>
        </w:rPr>
        <w:t>Varianta 1</w:t>
      </w:r>
    </w:p>
    <w:p w:rsidR="00261D77" w:rsidRPr="00ED38E9" w:rsidRDefault="00261D77" w:rsidP="002D66F0">
      <w:pPr>
        <w:pStyle w:val="Odstavecseseznamem4"/>
        <w:numPr>
          <w:ilvl w:val="0"/>
          <w:numId w:val="78"/>
        </w:numPr>
        <w:spacing w:after="120"/>
        <w:ind w:left="714" w:hanging="357"/>
        <w:rPr>
          <w:rFonts w:cs="Arial"/>
        </w:rPr>
      </w:pPr>
      <w:r w:rsidRPr="00ED38E9">
        <w:rPr>
          <w:rFonts w:cs="Arial"/>
        </w:rPr>
        <w:lastRenderedPageBreak/>
        <w:t>Varianta 0</w:t>
      </w:r>
    </w:p>
    <w:p w:rsidR="00261D77" w:rsidRPr="00ED38E9" w:rsidRDefault="00261D77" w:rsidP="00261D77">
      <w:pPr>
        <w:rPr>
          <w:rFonts w:cs="Arial"/>
        </w:rPr>
      </w:pPr>
      <w:r w:rsidRPr="00ED38E9">
        <w:rPr>
          <w:rFonts w:cs="Arial"/>
        </w:rPr>
        <w:t>Na základě výše uvedených údajů doporučujeme přijmout Variantu 1.</w:t>
      </w:r>
    </w:p>
    <w:p w:rsidR="00261D77" w:rsidRPr="00ED38E9" w:rsidRDefault="00261D77" w:rsidP="00261D77">
      <w:pPr>
        <w:rPr>
          <w:rFonts w:cs="Arial"/>
        </w:rPr>
      </w:pPr>
    </w:p>
    <w:p w:rsidR="00257E70" w:rsidRPr="00C22856" w:rsidRDefault="00257E70" w:rsidP="0011664A">
      <w:pPr>
        <w:pStyle w:val="Nadpis1"/>
      </w:pPr>
      <w:bookmarkStart w:id="32" w:name="_Toc441759853"/>
      <w:bookmarkStart w:id="33" w:name="_Toc441760182"/>
      <w:r w:rsidRPr="00C22856">
        <w:t xml:space="preserve">Kolektivní systémy - </w:t>
      </w:r>
      <w:r w:rsidR="00E07FC1" w:rsidRPr="00C22856">
        <w:t xml:space="preserve"> způsob výběru zpracovatele výrobků s ukončenou životností</w:t>
      </w:r>
      <w:bookmarkEnd w:id="32"/>
      <w:bookmarkEnd w:id="33"/>
    </w:p>
    <w:p w:rsidR="00257E70" w:rsidRPr="00ED38E9" w:rsidRDefault="00257E70" w:rsidP="0011664A">
      <w:pPr>
        <w:pStyle w:val="Nadpis2"/>
      </w:pPr>
      <w:bookmarkStart w:id="34" w:name="_Toc441759854"/>
      <w:r w:rsidRPr="00ED38E9">
        <w:t>Důvod předložení a cíle</w:t>
      </w:r>
      <w:bookmarkEnd w:id="34"/>
    </w:p>
    <w:p w:rsidR="00257E70" w:rsidRPr="00ED38E9" w:rsidRDefault="00257E70" w:rsidP="0011664A">
      <w:pPr>
        <w:pStyle w:val="Nadpis3"/>
      </w:pPr>
      <w:r w:rsidRPr="00ED38E9">
        <w:t>Definice problému</w:t>
      </w:r>
    </w:p>
    <w:p w:rsidR="00E956FE" w:rsidRDefault="00E956FE" w:rsidP="00E956FE">
      <w:r w:rsidRPr="00B43AE5">
        <w:rPr>
          <w:rFonts w:eastAsia="Calibri"/>
          <w:szCs w:val="22"/>
        </w:rPr>
        <w:t xml:space="preserve">V současnosti může ze strany kolektivních systémů docházet k diskriminaci určitého zpracovatele, čímž může </w:t>
      </w:r>
      <w:r w:rsidR="00B51B33">
        <w:rPr>
          <w:rFonts w:eastAsia="Calibri"/>
          <w:szCs w:val="22"/>
        </w:rPr>
        <w:t>být</w:t>
      </w:r>
      <w:r w:rsidRPr="00B43AE5">
        <w:rPr>
          <w:rFonts w:eastAsia="Calibri"/>
          <w:szCs w:val="22"/>
        </w:rPr>
        <w:t> naruš</w:t>
      </w:r>
      <w:r w:rsidR="00B51B33">
        <w:rPr>
          <w:rFonts w:eastAsia="Calibri"/>
          <w:szCs w:val="22"/>
        </w:rPr>
        <w:t>ována</w:t>
      </w:r>
      <w:r w:rsidRPr="00B43AE5">
        <w:rPr>
          <w:rFonts w:eastAsia="Calibri"/>
          <w:szCs w:val="22"/>
        </w:rPr>
        <w:t xml:space="preserve"> hospodářsk</w:t>
      </w:r>
      <w:r w:rsidR="00B51B33">
        <w:rPr>
          <w:rFonts w:eastAsia="Calibri"/>
          <w:szCs w:val="22"/>
        </w:rPr>
        <w:t>á</w:t>
      </w:r>
      <w:r w:rsidRPr="00B43AE5">
        <w:rPr>
          <w:rFonts w:eastAsia="Calibri"/>
          <w:szCs w:val="22"/>
        </w:rPr>
        <w:t xml:space="preserve"> soutěž</w:t>
      </w:r>
      <w:r>
        <w:rPr>
          <w:rFonts w:eastAsia="Calibri"/>
          <w:szCs w:val="22"/>
        </w:rPr>
        <w:t xml:space="preserve">. </w:t>
      </w:r>
      <w:r>
        <w:t xml:space="preserve">Důvodem návrhu je vytvoření transparentního a kultivovaného tržního prostředí. Jsou navrženy dva základní způsoby výběru zpracovatele výrobků s ukončenou životností. Jedním je trh pro kolektivní systémy a zpracovatele organizovaný komoditní burzou. Další možností je výběr zpracovatele vyhlašováním veřejné soutěže o nejvhodnější nabídku. </w:t>
      </w:r>
    </w:p>
    <w:p w:rsidR="00E956FE" w:rsidRDefault="00E956FE" w:rsidP="00E956FE">
      <w:r>
        <w:t xml:space="preserve">Návrh vychází z vládou schváleného </w:t>
      </w:r>
      <w:r w:rsidR="00B51B33">
        <w:t>v</w:t>
      </w:r>
      <w:r>
        <w:t>ěcného záměru zákona o vybraných výrobcích s ukončenou životností a Politiky druhotných surovin ČR, ve které je stanoven cíl v</w:t>
      </w:r>
      <w:r w:rsidRPr="00C807C7">
        <w:t>ytvořit podmínky pro vyšší využívání druhotných surovin např. formou podpory komoditních trhů</w:t>
      </w:r>
      <w:r>
        <w:t>. Navržené způsoby vedou k podpoře oběhového hospodářství a jsou v souladu s návrhem Evropské komise k balíčku oběhového hospodářství, např. ohledně zveřejňování informací kolektivních systémů o postupu výběru provozovatelů pro nakládání s odpady.</w:t>
      </w:r>
    </w:p>
    <w:p w:rsidR="00E956FE" w:rsidRDefault="00E956FE" w:rsidP="00E956FE">
      <w:r>
        <w:t>Tím by mělo dojít i k optimálnímu a spravedlivějšímu přístupu zpracovatelů k materiálům z vybraných výrobků s ukončenou životností, které jsou/budou předmětem zpětného odběru.</w:t>
      </w:r>
    </w:p>
    <w:p w:rsidR="00E956FE" w:rsidRPr="002B7204" w:rsidRDefault="00E956FE" w:rsidP="00E956FE">
      <w:r>
        <w:t>Předkladatelé evidují řadu negativních reakcí na aktuální stav řešení problematiky kolektivních systémů, zejména v oblasti elektrických a elektronických zařízení. Některými podněty se v minulosti zabýval také Úřad pro ochranu hospodářské soutěže.</w:t>
      </w:r>
    </w:p>
    <w:p w:rsidR="00257E70" w:rsidRPr="00ED38E9" w:rsidRDefault="00257E70" w:rsidP="0011664A">
      <w:pPr>
        <w:pStyle w:val="Nadpis3"/>
      </w:pPr>
      <w:r w:rsidRPr="00ED38E9">
        <w:t>Popis existujícího právního stavu</w:t>
      </w:r>
    </w:p>
    <w:p w:rsidR="00512FD3" w:rsidRPr="00B43AE5" w:rsidRDefault="00512FD3" w:rsidP="00512FD3">
      <w:pPr>
        <w:spacing w:before="120"/>
        <w:rPr>
          <w:rFonts w:eastAsia="Calibri"/>
          <w:szCs w:val="22"/>
        </w:rPr>
      </w:pPr>
      <w:r w:rsidRPr="00B43AE5">
        <w:rPr>
          <w:rFonts w:eastAsia="Calibri"/>
          <w:szCs w:val="22"/>
        </w:rPr>
        <w:t>Současná právní úprava nedefinuje způsob ani povinnosti kolektivních syst</w:t>
      </w:r>
      <w:r>
        <w:rPr>
          <w:rFonts w:eastAsia="Calibri"/>
          <w:szCs w:val="22"/>
        </w:rPr>
        <w:t>émů při výběru zpracovatele vybraných výrobků s ukončenou životností</w:t>
      </w:r>
      <w:r w:rsidRPr="00B43AE5">
        <w:rPr>
          <w:rFonts w:eastAsia="Calibri"/>
          <w:szCs w:val="22"/>
        </w:rPr>
        <w:t>.</w:t>
      </w:r>
    </w:p>
    <w:p w:rsidR="00257E70" w:rsidRPr="00ED38E9" w:rsidRDefault="00257E70" w:rsidP="0011664A">
      <w:pPr>
        <w:pStyle w:val="Nadpis3"/>
      </w:pPr>
      <w:r w:rsidRPr="00ED38E9">
        <w:t>Identifikace dotčených subjektů</w:t>
      </w:r>
    </w:p>
    <w:p w:rsidR="00512FD3" w:rsidRPr="00ED38E9" w:rsidRDefault="00512FD3" w:rsidP="002D66F0">
      <w:pPr>
        <w:pStyle w:val="Odstavecseseznamem"/>
        <w:numPr>
          <w:ilvl w:val="0"/>
          <w:numId w:val="88"/>
        </w:numPr>
        <w:contextualSpacing w:val="0"/>
        <w:rPr>
          <w:rFonts w:cs="Arial"/>
        </w:rPr>
      </w:pPr>
      <w:r w:rsidRPr="00ED38E9">
        <w:rPr>
          <w:rFonts w:cs="Arial"/>
        </w:rPr>
        <w:t>výrobci,</w:t>
      </w:r>
    </w:p>
    <w:p w:rsidR="00512FD3" w:rsidRPr="00ED38E9" w:rsidRDefault="00512FD3" w:rsidP="002D66F0">
      <w:pPr>
        <w:pStyle w:val="Odstavecseseznamem"/>
        <w:numPr>
          <w:ilvl w:val="0"/>
          <w:numId w:val="88"/>
        </w:numPr>
        <w:contextualSpacing w:val="0"/>
        <w:rPr>
          <w:rFonts w:cs="Arial"/>
        </w:rPr>
      </w:pPr>
      <w:r w:rsidRPr="00ED38E9">
        <w:rPr>
          <w:rFonts w:cs="Arial"/>
        </w:rPr>
        <w:t>kolektivní systémy (KS),</w:t>
      </w:r>
    </w:p>
    <w:p w:rsidR="00512FD3" w:rsidRPr="00ED38E9" w:rsidRDefault="00512FD3" w:rsidP="002D66F0">
      <w:pPr>
        <w:pStyle w:val="Odstavecseseznamem"/>
        <w:numPr>
          <w:ilvl w:val="0"/>
          <w:numId w:val="88"/>
        </w:numPr>
        <w:contextualSpacing w:val="0"/>
        <w:rPr>
          <w:rFonts w:cs="Arial"/>
        </w:rPr>
      </w:pPr>
      <w:r w:rsidRPr="00ED38E9">
        <w:rPr>
          <w:rFonts w:cs="Arial"/>
        </w:rPr>
        <w:t xml:space="preserve">zpracovatelé </w:t>
      </w:r>
      <w:r>
        <w:rPr>
          <w:rFonts w:cs="Arial"/>
        </w:rPr>
        <w:t>včetně tzv. chráněných dílen</w:t>
      </w:r>
      <w:r w:rsidRPr="00ED38E9">
        <w:rPr>
          <w:rFonts w:cs="Arial"/>
        </w:rPr>
        <w:t>,</w:t>
      </w:r>
    </w:p>
    <w:p w:rsidR="00512FD3" w:rsidRDefault="00512FD3" w:rsidP="002D66F0">
      <w:pPr>
        <w:pStyle w:val="Odstavecseseznamem"/>
        <w:numPr>
          <w:ilvl w:val="0"/>
          <w:numId w:val="88"/>
        </w:numPr>
        <w:contextualSpacing w:val="0"/>
        <w:rPr>
          <w:rFonts w:cs="Arial"/>
        </w:rPr>
      </w:pPr>
      <w:r>
        <w:rPr>
          <w:rFonts w:cs="Arial"/>
        </w:rPr>
        <w:t>komoditní burzy,</w:t>
      </w:r>
    </w:p>
    <w:p w:rsidR="00512FD3" w:rsidRPr="00ED38E9" w:rsidRDefault="00512FD3" w:rsidP="002D66F0">
      <w:pPr>
        <w:pStyle w:val="Odstavecseseznamem"/>
        <w:numPr>
          <w:ilvl w:val="0"/>
          <w:numId w:val="88"/>
        </w:numPr>
        <w:contextualSpacing w:val="0"/>
        <w:rPr>
          <w:rFonts w:cs="Arial"/>
        </w:rPr>
      </w:pPr>
      <w:r>
        <w:rPr>
          <w:rFonts w:cs="Arial"/>
        </w:rPr>
        <w:t>Ministerstvo průmyslu a obchodu</w:t>
      </w:r>
      <w:r w:rsidRPr="00ED38E9">
        <w:rPr>
          <w:rFonts w:cs="Arial"/>
        </w:rPr>
        <w:t xml:space="preserve"> </w:t>
      </w:r>
    </w:p>
    <w:p w:rsidR="002D4A90" w:rsidRPr="00ED38E9" w:rsidRDefault="002D4A90" w:rsidP="0011664A">
      <w:pPr>
        <w:pStyle w:val="Nadpis3"/>
      </w:pPr>
      <w:r w:rsidRPr="00ED38E9">
        <w:t>Popis cílového stavu</w:t>
      </w:r>
    </w:p>
    <w:p w:rsidR="00512FD3" w:rsidRDefault="00512FD3" w:rsidP="00512FD3">
      <w:pPr>
        <w:spacing w:before="120"/>
        <w:rPr>
          <w:rFonts w:eastAsia="Calibri"/>
          <w:szCs w:val="22"/>
        </w:rPr>
      </w:pPr>
      <w:r>
        <w:rPr>
          <w:rFonts w:eastAsia="Calibri"/>
          <w:szCs w:val="22"/>
        </w:rPr>
        <w:t xml:space="preserve">Hlavním cílem je zajištění </w:t>
      </w:r>
      <w:r>
        <w:t>oslovení celého trhu zpracovatelů, kteří současně splňují podmínky pro zpracování výrobků s ukončenou životností, a dokáží zajistit plnění příslušných recyklačních kvót.</w:t>
      </w:r>
      <w:r w:rsidRPr="00F42468">
        <w:rPr>
          <w:rFonts w:eastAsia="Calibri"/>
          <w:szCs w:val="22"/>
        </w:rPr>
        <w:t xml:space="preserve"> </w:t>
      </w:r>
    </w:p>
    <w:p w:rsidR="00512FD3" w:rsidRPr="00B43AE5" w:rsidRDefault="00512FD3" w:rsidP="00512FD3">
      <w:pPr>
        <w:spacing w:before="120"/>
        <w:rPr>
          <w:rFonts w:eastAsia="Calibri"/>
          <w:szCs w:val="22"/>
        </w:rPr>
      </w:pPr>
      <w:r w:rsidRPr="00B43AE5">
        <w:rPr>
          <w:rFonts w:eastAsia="Calibri"/>
          <w:szCs w:val="22"/>
        </w:rPr>
        <w:lastRenderedPageBreak/>
        <w:t>Vedlejším cílem je zajištění transparentního způsobu výběru zpracovatele s minimalizací negativních efektů na hospodářskou soutěž.</w:t>
      </w:r>
      <w:r>
        <w:rPr>
          <w:rFonts w:eastAsia="Calibri"/>
          <w:szCs w:val="22"/>
        </w:rPr>
        <w:t xml:space="preserve"> Zároveň bude umožněno nabízet část zpětně odebraných výrobků s ukončenou životností tzv. chráněným dílnám ke zpracování.</w:t>
      </w:r>
    </w:p>
    <w:p w:rsidR="002D4A90" w:rsidRPr="00ED38E9" w:rsidRDefault="002D4A90" w:rsidP="0011664A">
      <w:pPr>
        <w:pStyle w:val="Nadpis3"/>
      </w:pPr>
      <w:r w:rsidRPr="00ED38E9">
        <w:t>Zhodnocení rizika</w:t>
      </w:r>
    </w:p>
    <w:p w:rsidR="00A46C3E" w:rsidRDefault="00A46C3E" w:rsidP="00A46C3E">
      <w:pPr>
        <w:widowControl w:val="0"/>
        <w:rPr>
          <w:rFonts w:ascii="Garamond" w:eastAsia="Calibri" w:hAnsi="Garamond"/>
          <w:b/>
          <w:bCs/>
          <w:szCs w:val="22"/>
        </w:rPr>
      </w:pPr>
      <w:r w:rsidRPr="00B43AE5">
        <w:rPr>
          <w:rFonts w:eastAsia="Calibri"/>
          <w:szCs w:val="22"/>
        </w:rPr>
        <w:t>V</w:t>
      </w:r>
      <w:r>
        <w:rPr>
          <w:rFonts w:eastAsia="Calibri"/>
          <w:szCs w:val="22"/>
        </w:rPr>
        <w:t> </w:t>
      </w:r>
      <w:r w:rsidRPr="00B43AE5">
        <w:rPr>
          <w:rFonts w:eastAsia="Calibri"/>
          <w:szCs w:val="22"/>
        </w:rPr>
        <w:t>případě</w:t>
      </w:r>
      <w:r>
        <w:rPr>
          <w:rFonts w:eastAsia="Calibri"/>
          <w:szCs w:val="22"/>
        </w:rPr>
        <w:t xml:space="preserve"> Varianty 0 by hrozilo riziko, že bude docházet ke </w:t>
      </w:r>
      <w:r w:rsidRPr="00012BA9">
        <w:t>znevýhodňování zpracovatelů</w:t>
      </w:r>
      <w:r>
        <w:t xml:space="preserve"> a</w:t>
      </w:r>
      <w:r w:rsidR="00EB1018">
        <w:t> </w:t>
      </w:r>
      <w:r w:rsidRPr="00012BA9">
        <w:t>může docházet ke vzniku bariér na trhu a omezování hospodářské soutěže.</w:t>
      </w:r>
      <w:r>
        <w:rPr>
          <w:rFonts w:eastAsia="Calibri"/>
          <w:szCs w:val="22"/>
        </w:rPr>
        <w:t xml:space="preserve"> </w:t>
      </w:r>
      <w:r w:rsidRPr="00012BA9">
        <w:t>Kolektivní systémy mají v současnosti silné postavení na trhu a již nyní je patrná snaha pronikat i do navazujících úrovní ve vertikálním řetězci nakládání s</w:t>
      </w:r>
      <w:r w:rsidR="00C22856">
        <w:t xml:space="preserve"> VUŽ, zejména </w:t>
      </w:r>
      <w:r w:rsidRPr="00012BA9">
        <w:t xml:space="preserve">OEEZ (svoz a zpracování). </w:t>
      </w:r>
    </w:p>
    <w:p w:rsidR="002D4A90" w:rsidRPr="00ED38E9" w:rsidRDefault="002D4A90" w:rsidP="0011664A">
      <w:pPr>
        <w:pStyle w:val="Nadpis2"/>
      </w:pPr>
      <w:bookmarkStart w:id="35" w:name="_Toc441759855"/>
      <w:r w:rsidRPr="00ED38E9">
        <w:t>Návrh variant řešení</w:t>
      </w:r>
      <w:bookmarkEnd w:id="35"/>
    </w:p>
    <w:p w:rsidR="002D4A90" w:rsidRPr="00ED38E9" w:rsidRDefault="002D4A90" w:rsidP="0011664A">
      <w:pPr>
        <w:pStyle w:val="Nadpis3"/>
      </w:pPr>
      <w:r w:rsidRPr="00ED38E9">
        <w:t>Varianta 0</w:t>
      </w:r>
    </w:p>
    <w:p w:rsidR="00A46C3E" w:rsidRPr="00B43AE5" w:rsidRDefault="00A46C3E" w:rsidP="00A46C3E">
      <w:pPr>
        <w:spacing w:before="120"/>
        <w:rPr>
          <w:rFonts w:eastAsia="Calibri"/>
          <w:szCs w:val="22"/>
        </w:rPr>
      </w:pPr>
      <w:r>
        <w:rPr>
          <w:rFonts w:eastAsia="Calibri"/>
          <w:szCs w:val="22"/>
        </w:rPr>
        <w:t>P</w:t>
      </w:r>
      <w:r w:rsidRPr="00B43AE5">
        <w:rPr>
          <w:rFonts w:eastAsia="Calibri"/>
          <w:szCs w:val="22"/>
        </w:rPr>
        <w:t>onechání stávajícího stavu bez úpravy způsobu výběru zpracovatele ze strany kolektivních systémů</w:t>
      </w:r>
      <w:r>
        <w:rPr>
          <w:rFonts w:eastAsia="Calibri"/>
          <w:szCs w:val="22"/>
        </w:rPr>
        <w:t>.</w:t>
      </w:r>
    </w:p>
    <w:p w:rsidR="002D4A90" w:rsidRPr="00ED38E9" w:rsidRDefault="002D4A90" w:rsidP="0011664A">
      <w:pPr>
        <w:pStyle w:val="Nadpis3"/>
      </w:pPr>
      <w:r w:rsidRPr="00ED38E9">
        <w:t>Varianta 1</w:t>
      </w:r>
    </w:p>
    <w:p w:rsidR="00707746" w:rsidRDefault="00A46C3E" w:rsidP="006F5445">
      <w:pPr>
        <w:spacing w:before="120"/>
        <w:rPr>
          <w:rFonts w:eastAsia="Calibri"/>
          <w:szCs w:val="22"/>
        </w:rPr>
      </w:pPr>
      <w:r w:rsidRPr="00B43AE5">
        <w:rPr>
          <w:rFonts w:eastAsia="Calibri"/>
          <w:szCs w:val="22"/>
        </w:rPr>
        <w:t xml:space="preserve">Povinnost provozovatele kolektivního systému nabídnout zpětně odebrané </w:t>
      </w:r>
      <w:r>
        <w:rPr>
          <w:rFonts w:eastAsia="Calibri"/>
          <w:szCs w:val="22"/>
        </w:rPr>
        <w:t xml:space="preserve">vybrané </w:t>
      </w:r>
      <w:r w:rsidRPr="00B43AE5">
        <w:rPr>
          <w:rFonts w:eastAsia="Calibri"/>
          <w:szCs w:val="22"/>
        </w:rPr>
        <w:t xml:space="preserve">výrobky </w:t>
      </w:r>
      <w:r>
        <w:rPr>
          <w:rFonts w:eastAsia="Calibri"/>
          <w:szCs w:val="22"/>
        </w:rPr>
        <w:t xml:space="preserve">s ukončenou životností </w:t>
      </w:r>
      <w:r w:rsidRPr="00B43AE5">
        <w:rPr>
          <w:rFonts w:eastAsia="Calibri"/>
          <w:szCs w:val="22"/>
        </w:rPr>
        <w:t xml:space="preserve">k obchodování na komoditní burze, pokud se taková komodita na burze obchoduje. Není-li na burze obchodována, je povinen </w:t>
      </w:r>
      <w:r>
        <w:rPr>
          <w:rFonts w:eastAsia="Calibri"/>
          <w:szCs w:val="22"/>
        </w:rPr>
        <w:t xml:space="preserve">vyhlašovat veřejnou soutěž o nejvhodnější nabídku za stanovených podmínek. Zároveň je umožněno nabízet část zpětně odebraných výrobků s ukončenou životností tzv. chráněným dílnám ke zpracování. </w:t>
      </w:r>
    </w:p>
    <w:p w:rsidR="00707746" w:rsidRDefault="00707746" w:rsidP="00707746">
      <w:pPr>
        <w:pStyle w:val="Nadpis3"/>
        <w:rPr>
          <w:rFonts w:eastAsia="Calibri"/>
        </w:rPr>
      </w:pPr>
      <w:r>
        <w:rPr>
          <w:rFonts w:eastAsia="Calibri"/>
        </w:rPr>
        <w:t>Varianta 2</w:t>
      </w:r>
    </w:p>
    <w:p w:rsidR="002D4A90" w:rsidRPr="000970CF" w:rsidRDefault="00707746" w:rsidP="006F5445">
      <w:pPr>
        <w:spacing w:before="120"/>
      </w:pPr>
      <w:r w:rsidRPr="00B43AE5">
        <w:rPr>
          <w:rFonts w:eastAsia="Calibri"/>
          <w:szCs w:val="22"/>
        </w:rPr>
        <w:t xml:space="preserve">Povinnost provozovatele kolektivního systému nabídnout zpětně odebrané </w:t>
      </w:r>
      <w:r>
        <w:rPr>
          <w:rFonts w:eastAsia="Calibri"/>
          <w:szCs w:val="22"/>
        </w:rPr>
        <w:t xml:space="preserve">vybrané </w:t>
      </w:r>
      <w:r w:rsidRPr="00B43AE5">
        <w:rPr>
          <w:rFonts w:eastAsia="Calibri"/>
          <w:szCs w:val="22"/>
        </w:rPr>
        <w:t xml:space="preserve">výrobky </w:t>
      </w:r>
      <w:r>
        <w:rPr>
          <w:rFonts w:eastAsia="Calibri"/>
          <w:szCs w:val="22"/>
        </w:rPr>
        <w:t xml:space="preserve">s ukončenou životností </w:t>
      </w:r>
      <w:r w:rsidRPr="00B43AE5">
        <w:rPr>
          <w:rFonts w:eastAsia="Calibri"/>
          <w:szCs w:val="22"/>
        </w:rPr>
        <w:t xml:space="preserve">k obchodování na komoditní burze </w:t>
      </w:r>
      <w:r>
        <w:rPr>
          <w:rFonts w:eastAsia="Calibri"/>
          <w:szCs w:val="22"/>
        </w:rPr>
        <w:t>anebo vyhlašovat veřejnou soutěž o nejvhodnější nabídku za stanovených podmínek. Zároveň je umožněno nabízet část zpětně odebraných výrobků s ukončenou životností tzv. chráněným dílnám ke zpracování.</w:t>
      </w:r>
    </w:p>
    <w:p w:rsidR="002D4A90" w:rsidRPr="00ED38E9" w:rsidRDefault="002B1154" w:rsidP="0011664A">
      <w:pPr>
        <w:pStyle w:val="Nadpis2"/>
      </w:pPr>
      <w:bookmarkStart w:id="36" w:name="_Toc441759856"/>
      <w:r w:rsidRPr="00ED38E9">
        <w:t>Vyhodnocení nákladů a přínosů</w:t>
      </w:r>
      <w:bookmarkEnd w:id="36"/>
    </w:p>
    <w:p w:rsidR="002B1154" w:rsidRPr="00ED38E9" w:rsidRDefault="002B1154" w:rsidP="0011664A">
      <w:pPr>
        <w:pStyle w:val="Nadpis3"/>
      </w:pPr>
      <w:r w:rsidRPr="00ED38E9">
        <w:t>Identifikace nákladů a přínosů</w:t>
      </w:r>
    </w:p>
    <w:p w:rsidR="00CC6028" w:rsidRPr="00ED38E9" w:rsidRDefault="00CC6028" w:rsidP="002D66F0">
      <w:pPr>
        <w:pStyle w:val="Odstavecseseznamem"/>
        <w:numPr>
          <w:ilvl w:val="0"/>
          <w:numId w:val="89"/>
        </w:numPr>
        <w:spacing w:before="240" w:after="120"/>
        <w:contextualSpacing w:val="0"/>
        <w:rPr>
          <w:rFonts w:cs="Arial"/>
        </w:rPr>
      </w:pPr>
      <w:r w:rsidRPr="00ED38E9">
        <w:rPr>
          <w:rFonts w:cs="Arial"/>
        </w:rPr>
        <w:t>Varianta 0</w:t>
      </w:r>
    </w:p>
    <w:p w:rsidR="00CC6028" w:rsidRPr="00ED38E9" w:rsidRDefault="00CC6028" w:rsidP="00CC6028">
      <w:pPr>
        <w:pStyle w:val="Normlntun"/>
        <w:rPr>
          <w:rFonts w:cs="Arial"/>
        </w:rPr>
      </w:pPr>
      <w:r w:rsidRPr="00ED38E9">
        <w:rPr>
          <w:rFonts w:cs="Arial"/>
        </w:rPr>
        <w:t>Dopady na státní rozpočet a ostatní veřejné rozpočty</w:t>
      </w:r>
    </w:p>
    <w:p w:rsidR="00DB25E5" w:rsidRPr="00ED38E9" w:rsidRDefault="00424824" w:rsidP="00783869">
      <w:pPr>
        <w:rPr>
          <w:rFonts w:cs="Arial"/>
        </w:rPr>
      </w:pPr>
      <w:r w:rsidRPr="00ED38E9">
        <w:rPr>
          <w:rFonts w:cs="Arial"/>
        </w:rPr>
        <w:t>Současný stav nepředstavuje dopady na státní rozpočet a ostatní veřejné rozpočty.</w:t>
      </w:r>
    </w:p>
    <w:p w:rsidR="00CC6028" w:rsidRPr="00ED38E9" w:rsidRDefault="00CC6028" w:rsidP="00CC6028">
      <w:pPr>
        <w:pStyle w:val="Normlntun"/>
        <w:rPr>
          <w:rFonts w:cs="Arial"/>
        </w:rPr>
      </w:pPr>
      <w:r w:rsidRPr="00ED38E9">
        <w:rPr>
          <w:rFonts w:cs="Arial"/>
        </w:rPr>
        <w:t>Dopady na podnikatelské subjekty</w:t>
      </w:r>
    </w:p>
    <w:p w:rsidR="00424824" w:rsidRPr="00ED38E9" w:rsidRDefault="00E26770" w:rsidP="00783869">
      <w:pPr>
        <w:rPr>
          <w:rFonts w:cs="Arial"/>
        </w:rPr>
      </w:pPr>
      <w:r w:rsidRPr="00ED38E9">
        <w:rPr>
          <w:rFonts w:cs="Arial"/>
        </w:rPr>
        <w:t xml:space="preserve">Současný stav má pozitivní dopad na podnikatelské subjekty, protože </w:t>
      </w:r>
      <w:r w:rsidR="00954441">
        <w:rPr>
          <w:rFonts w:cs="Arial"/>
        </w:rPr>
        <w:t>umožňuje</w:t>
      </w:r>
      <w:r w:rsidR="00954441" w:rsidRPr="00ED38E9">
        <w:rPr>
          <w:rFonts w:cs="Arial"/>
        </w:rPr>
        <w:t xml:space="preserve"> </w:t>
      </w:r>
      <w:r w:rsidRPr="00ED38E9">
        <w:rPr>
          <w:rFonts w:cs="Arial"/>
        </w:rPr>
        <w:t>kolektivním systémům bez omezení uzavírat smlouvy s různými zpracovateli na základě kritérií zvolených kolektivním systémem.</w:t>
      </w:r>
    </w:p>
    <w:p w:rsidR="00CC6028" w:rsidRPr="00ED38E9" w:rsidRDefault="00CC6028" w:rsidP="00CC6028">
      <w:pPr>
        <w:pStyle w:val="Normlntun"/>
        <w:rPr>
          <w:rFonts w:cs="Arial"/>
        </w:rPr>
      </w:pPr>
      <w:r w:rsidRPr="00ED38E9">
        <w:rPr>
          <w:rFonts w:cs="Arial"/>
        </w:rPr>
        <w:lastRenderedPageBreak/>
        <w:t>Dopady na územní samosprávné celky (obce, kraje)</w:t>
      </w:r>
    </w:p>
    <w:p w:rsidR="00E26770" w:rsidRPr="00ED38E9" w:rsidRDefault="00FB6C31" w:rsidP="00783869">
      <w:pPr>
        <w:rPr>
          <w:rFonts w:cs="Arial"/>
        </w:rPr>
      </w:pPr>
      <w:r w:rsidRPr="00ED38E9">
        <w:rPr>
          <w:rFonts w:cs="Arial"/>
        </w:rPr>
        <w:t>Současný stav nepředstavuje negativní dopady na územní samosprávné celky, mezi pozitivní dopady můžeme zařadit možnost rozdělení zpracování zpětně odebraných výrobků v rámci celé České republiky a tím i rovnoměrnější rozdělení pracovních příležitostí.</w:t>
      </w:r>
    </w:p>
    <w:p w:rsidR="00CC6028" w:rsidRPr="00ED38E9" w:rsidRDefault="00CC6028" w:rsidP="00CC6028">
      <w:pPr>
        <w:pStyle w:val="Normlntun"/>
        <w:rPr>
          <w:rFonts w:cs="Arial"/>
        </w:rPr>
      </w:pPr>
      <w:r w:rsidRPr="00ED38E9">
        <w:rPr>
          <w:rFonts w:cs="Arial"/>
        </w:rPr>
        <w:t>Dopady na životní prostředí a sociální oblast</w:t>
      </w:r>
    </w:p>
    <w:p w:rsidR="00FB6C31" w:rsidRPr="00ED38E9" w:rsidRDefault="00EE1915" w:rsidP="00783869">
      <w:pPr>
        <w:rPr>
          <w:rFonts w:cs="Arial"/>
        </w:rPr>
      </w:pPr>
      <w:r w:rsidRPr="00ED38E9">
        <w:rPr>
          <w:rFonts w:cs="Arial"/>
        </w:rPr>
        <w:t xml:space="preserve">V případě, že volba zpracovatele je plně v kompetenci kolektivních systémů, tak předpokládáme, že tyto subjekty mohou uzavřít smlouvy s více zpracovateli z více oblastí České republiky a to představuje pozitivní dopady v oblasti nezaměstnanosti </w:t>
      </w:r>
      <w:r w:rsidR="00E904C6" w:rsidRPr="00ED38E9">
        <w:rPr>
          <w:rFonts w:cs="Arial"/>
        </w:rPr>
        <w:t>(někteří tak i</w:t>
      </w:r>
      <w:r w:rsidR="00814874" w:rsidRPr="00ED38E9">
        <w:rPr>
          <w:rFonts w:cs="Arial"/>
        </w:rPr>
        <w:t> </w:t>
      </w:r>
      <w:r w:rsidR="00E904C6" w:rsidRPr="00ED38E9">
        <w:rPr>
          <w:rFonts w:cs="Arial"/>
        </w:rPr>
        <w:t xml:space="preserve">spolupracují s chráněnými dílnami) </w:t>
      </w:r>
      <w:r w:rsidRPr="00ED38E9">
        <w:rPr>
          <w:rFonts w:cs="Arial"/>
        </w:rPr>
        <w:t xml:space="preserve">a dále pak v oblasti ochrany životního prostředí, protože zpětně odebrané výrobky není pak nutné převážet kamionovou či železniční dopravou přes celou republiku v případě, že budou dané výrobky sebrány například v Aši a zpracovatel bude </w:t>
      </w:r>
      <w:r w:rsidR="00B5523B" w:rsidRPr="00ED38E9">
        <w:rPr>
          <w:rFonts w:cs="Arial"/>
        </w:rPr>
        <w:t>ve Valašském Meziříčí.</w:t>
      </w:r>
    </w:p>
    <w:p w:rsidR="00DB25E5" w:rsidRDefault="00DB25E5" w:rsidP="002D66F0">
      <w:pPr>
        <w:pStyle w:val="Odstavecseseznamem"/>
        <w:numPr>
          <w:ilvl w:val="0"/>
          <w:numId w:val="89"/>
        </w:numPr>
        <w:spacing w:before="240" w:after="120"/>
        <w:contextualSpacing w:val="0"/>
        <w:rPr>
          <w:rFonts w:cs="Arial"/>
        </w:rPr>
      </w:pPr>
      <w:r w:rsidRPr="00ED38E9">
        <w:rPr>
          <w:rFonts w:cs="Arial"/>
        </w:rPr>
        <w:t>Varianta 1</w:t>
      </w:r>
    </w:p>
    <w:p w:rsidR="000060B7" w:rsidRPr="00EC1D3E" w:rsidRDefault="000060B7" w:rsidP="006F5445">
      <w:pPr>
        <w:rPr>
          <w:rFonts w:eastAsia="Calibri"/>
          <w:szCs w:val="22"/>
        </w:rPr>
      </w:pPr>
      <w:r w:rsidRPr="00EC1D3E">
        <w:rPr>
          <w:rFonts w:eastAsia="Calibri"/>
          <w:szCs w:val="22"/>
        </w:rPr>
        <w:t xml:space="preserve">U Varianty 1 lze očekávat, že v případě obchodování na komoditní burze dojde k navýšení zejména administrativních nákladů nabízejícího (kolektivní systém) a kupujícího (zpracovatele). </w:t>
      </w:r>
    </w:p>
    <w:p w:rsidR="000060B7" w:rsidRPr="00B752EC" w:rsidRDefault="000060B7" w:rsidP="006F5445">
      <w:pPr>
        <w:rPr>
          <w:rFonts w:eastAsia="Calibri"/>
          <w:szCs w:val="22"/>
        </w:rPr>
      </w:pPr>
      <w:r w:rsidRPr="00EC1D3E">
        <w:rPr>
          <w:rFonts w:eastAsia="Calibri"/>
          <w:szCs w:val="22"/>
        </w:rPr>
        <w:t>Kolektivní systém a zpr</w:t>
      </w:r>
      <w:r w:rsidRPr="00B752EC">
        <w:rPr>
          <w:rFonts w:eastAsia="Calibri"/>
          <w:szCs w:val="22"/>
        </w:rPr>
        <w:t>acovatel hradí jednorázové náklady - registrační poplatek a poplatek za udělení vstupenky s neomezenou dobou platnosti.</w:t>
      </w:r>
    </w:p>
    <w:p w:rsidR="000060B7" w:rsidRPr="00B752EC" w:rsidRDefault="000060B7" w:rsidP="006F5445">
      <w:pPr>
        <w:rPr>
          <w:rFonts w:eastAsia="Calibri"/>
          <w:szCs w:val="22"/>
        </w:rPr>
      </w:pPr>
      <w:r w:rsidRPr="00B752EC">
        <w:rPr>
          <w:rFonts w:eastAsia="Calibri"/>
          <w:szCs w:val="22"/>
        </w:rPr>
        <w:t>Zpracovatel hradí opakující se náklady – odměnu dohodci a transakční poplatky. Transakční poplatky se platí jen za uskutečnění obchodu, nikoliv za úkony; poplatky jsou odvislé od objemu a jsou v řádu promile z objemu uskutečněných obchodů.</w:t>
      </w:r>
    </w:p>
    <w:p w:rsidR="00786EED" w:rsidRDefault="000060B7" w:rsidP="006F5445">
      <w:pPr>
        <w:rPr>
          <w:rFonts w:eastAsia="Calibri"/>
          <w:szCs w:val="22"/>
        </w:rPr>
      </w:pPr>
      <w:r w:rsidRPr="00B752EC">
        <w:rPr>
          <w:rFonts w:eastAsia="Calibri"/>
          <w:szCs w:val="22"/>
        </w:rPr>
        <w:t xml:space="preserve">Nebude-li daný vybraný výrobek s ukončenou životností na komoditní burze obchodován, tzn. způsob výběru zpracovatele vyhlašováním veřejné soutěže o nejvhodnější nabídku, ponesou kolektivní systémy náklady zvýšené o informační povinnosti a náklady vyvolané minimální četností nabízení vybraných výrobků zpracovatelům. Již nyní kolektivní systémy často vybírají zpracovatele prostřednictvím výběrových řízení. </w:t>
      </w:r>
      <w:r w:rsidRPr="00647BF6">
        <w:rPr>
          <w:rFonts w:eastAsia="Calibri"/>
          <w:szCs w:val="22"/>
        </w:rPr>
        <w:t>Náklady spojené se zajištěním výběrových řízení tak kolektivní systémy nesou již dnes a v tomto případě nebude pro dotčené subjekty znamenat zásadní navýšení nákladů. Obdobná situace je u zpracovatelů elektrozařízení, kteří se již dnes výběrových řízení úč</w:t>
      </w:r>
      <w:r w:rsidRPr="00160164">
        <w:rPr>
          <w:rFonts w:eastAsia="Calibri"/>
          <w:szCs w:val="22"/>
        </w:rPr>
        <w:t>astní, a i v jejich případě nepředpokládáme zásadní navýšení.</w:t>
      </w:r>
    </w:p>
    <w:p w:rsidR="004E195F" w:rsidRDefault="004E195F" w:rsidP="006F5445">
      <w:pPr>
        <w:pStyle w:val="Titulek"/>
      </w:pPr>
      <w:r>
        <w:t xml:space="preserve">Tabulka </w:t>
      </w:r>
      <w:r w:rsidR="00381FB7">
        <w:fldChar w:fldCharType="begin"/>
      </w:r>
      <w:r>
        <w:instrText xml:space="preserve"> SEQ Tabulka \* ARABIC </w:instrText>
      </w:r>
      <w:r w:rsidR="00381FB7">
        <w:fldChar w:fldCharType="separate"/>
      </w:r>
      <w:r w:rsidR="00FD5E92">
        <w:t>21</w:t>
      </w:r>
      <w:r w:rsidR="00381FB7">
        <w:fldChar w:fldCharType="end"/>
      </w:r>
      <w:r>
        <w:t xml:space="preserve">: </w:t>
      </w:r>
      <w:r w:rsidRPr="009C44EB">
        <w:t>Přínosy a náklady Varianty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786EED" w:rsidRPr="007A0D35" w:rsidTr="00786EED">
        <w:trPr>
          <w:trHeight w:val="397"/>
        </w:trPr>
        <w:tc>
          <w:tcPr>
            <w:tcW w:w="8954" w:type="dxa"/>
            <w:tcBorders>
              <w:bottom w:val="single" w:sz="4" w:space="0" w:color="auto"/>
            </w:tcBorders>
            <w:shd w:val="clear" w:color="auto" w:fill="B6B002"/>
            <w:vAlign w:val="center"/>
          </w:tcPr>
          <w:p w:rsidR="00786EED" w:rsidRPr="007A0D35" w:rsidRDefault="00786EED" w:rsidP="00786EED">
            <w:pPr>
              <w:keepNext/>
              <w:spacing w:before="20" w:after="20"/>
              <w:jc w:val="left"/>
              <w:rPr>
                <w:rFonts w:eastAsia="MS Mincho"/>
                <w:b/>
                <w:sz w:val="20"/>
                <w:szCs w:val="20"/>
              </w:rPr>
            </w:pPr>
            <w:r w:rsidRPr="007A0D35">
              <w:rPr>
                <w:rFonts w:eastAsia="MS Mincho"/>
                <w:b/>
                <w:sz w:val="20"/>
                <w:szCs w:val="20"/>
                <w:lang w:eastAsia="cs-CZ"/>
              </w:rPr>
              <w:t>Státní správa</w:t>
            </w:r>
          </w:p>
        </w:tc>
      </w:tr>
      <w:tr w:rsidR="00786EED" w:rsidRPr="007A0D35" w:rsidTr="00786EED">
        <w:trPr>
          <w:trHeight w:val="397"/>
        </w:trPr>
        <w:tc>
          <w:tcPr>
            <w:tcW w:w="8954" w:type="dxa"/>
            <w:shd w:val="clear" w:color="auto" w:fill="auto"/>
            <w:vAlign w:val="center"/>
          </w:tcPr>
          <w:p w:rsidR="00786EED" w:rsidRPr="007A0D35" w:rsidRDefault="00786EED" w:rsidP="00786EED">
            <w:pPr>
              <w:spacing w:before="20" w:after="20"/>
              <w:jc w:val="left"/>
              <w:rPr>
                <w:rFonts w:eastAsia="MS Mincho"/>
                <w:sz w:val="20"/>
                <w:szCs w:val="20"/>
              </w:rPr>
            </w:pPr>
            <w:r w:rsidRPr="007A0D35">
              <w:rPr>
                <w:rFonts w:eastAsia="MS Mincho"/>
                <w:b/>
                <w:i/>
                <w:sz w:val="20"/>
                <w:szCs w:val="20"/>
              </w:rPr>
              <w:t>Přínosy</w:t>
            </w:r>
            <w:r w:rsidRPr="007A0D35">
              <w:rPr>
                <w:rFonts w:eastAsia="MS Mincho"/>
                <w:i/>
                <w:sz w:val="20"/>
                <w:szCs w:val="20"/>
              </w:rPr>
              <w:t xml:space="preserve"> </w:t>
            </w:r>
            <w:r w:rsidRPr="007A0D35">
              <w:rPr>
                <w:rFonts w:eastAsia="MS Mincho"/>
                <w:sz w:val="20"/>
                <w:szCs w:val="20"/>
              </w:rPr>
              <w:t xml:space="preserve">– </w:t>
            </w:r>
            <w:r>
              <w:rPr>
                <w:rFonts w:eastAsia="MS Mincho"/>
                <w:sz w:val="20"/>
                <w:szCs w:val="20"/>
              </w:rPr>
              <w:t>Zajištění transparentnosti obchodování, v</w:t>
            </w:r>
            <w:r w:rsidRPr="007A0D35">
              <w:rPr>
                <w:rFonts w:eastAsia="MS Mincho"/>
                <w:sz w:val="20"/>
                <w:szCs w:val="20"/>
              </w:rPr>
              <w:t xml:space="preserve">yužití stávajících komoditních burz, státní </w:t>
            </w:r>
            <w:r>
              <w:rPr>
                <w:rFonts w:eastAsia="MS Mincho"/>
                <w:sz w:val="20"/>
                <w:szCs w:val="20"/>
              </w:rPr>
              <w:t xml:space="preserve">dozor </w:t>
            </w:r>
            <w:r w:rsidRPr="007A0D35">
              <w:rPr>
                <w:rFonts w:eastAsia="MS Mincho"/>
                <w:sz w:val="20"/>
                <w:szCs w:val="20"/>
              </w:rPr>
              <w:t xml:space="preserve">nad </w:t>
            </w:r>
            <w:r>
              <w:rPr>
                <w:rFonts w:eastAsia="MS Mincho"/>
                <w:sz w:val="20"/>
                <w:szCs w:val="20"/>
              </w:rPr>
              <w:t xml:space="preserve">fungováním </w:t>
            </w:r>
            <w:r w:rsidRPr="007A0D35">
              <w:rPr>
                <w:rFonts w:eastAsia="MS Mincho"/>
                <w:sz w:val="20"/>
                <w:szCs w:val="20"/>
              </w:rPr>
              <w:t>komoditní burz</w:t>
            </w:r>
            <w:r>
              <w:rPr>
                <w:rFonts w:eastAsia="MS Mincho"/>
                <w:sz w:val="20"/>
                <w:szCs w:val="20"/>
              </w:rPr>
              <w:t xml:space="preserve">y na základě zákona o komoditních burzách, příležitost zaměstnání </w:t>
            </w:r>
            <w:r w:rsidRPr="00A8488E">
              <w:rPr>
                <w:rFonts w:eastAsia="MS Mincho"/>
                <w:sz w:val="20"/>
                <w:szCs w:val="20"/>
              </w:rPr>
              <w:t>osob se zdravotním postižením</w:t>
            </w:r>
          </w:p>
          <w:p w:rsidR="00786EED" w:rsidRPr="007A0D35" w:rsidRDefault="00786EED" w:rsidP="00786EED">
            <w:pPr>
              <w:keepNext/>
              <w:spacing w:before="20" w:after="20"/>
              <w:jc w:val="left"/>
              <w:rPr>
                <w:rFonts w:eastAsia="MS Mincho"/>
                <w:b/>
                <w:sz w:val="20"/>
                <w:szCs w:val="20"/>
                <w:lang w:eastAsia="cs-CZ"/>
              </w:rPr>
            </w:pPr>
            <w:r w:rsidRPr="007A0D35">
              <w:rPr>
                <w:rFonts w:eastAsia="MS Mincho"/>
                <w:b/>
                <w:i/>
                <w:sz w:val="20"/>
                <w:szCs w:val="20"/>
              </w:rPr>
              <w:t>Náklady</w:t>
            </w:r>
            <w:r w:rsidRPr="007A0D35">
              <w:rPr>
                <w:rFonts w:eastAsia="MS Mincho"/>
                <w:sz w:val="20"/>
                <w:szCs w:val="20"/>
              </w:rPr>
              <w:t xml:space="preserve"> – Náklady na výkon státní</w:t>
            </w:r>
            <w:r>
              <w:rPr>
                <w:rFonts w:eastAsia="MS Mincho"/>
                <w:sz w:val="20"/>
                <w:szCs w:val="20"/>
              </w:rPr>
              <w:t>ho</w:t>
            </w:r>
            <w:r w:rsidRPr="007A0D35">
              <w:rPr>
                <w:rFonts w:eastAsia="MS Mincho"/>
                <w:sz w:val="20"/>
                <w:szCs w:val="20"/>
              </w:rPr>
              <w:t xml:space="preserve"> </w:t>
            </w:r>
            <w:r>
              <w:rPr>
                <w:rFonts w:eastAsia="MS Mincho"/>
                <w:sz w:val="20"/>
                <w:szCs w:val="20"/>
              </w:rPr>
              <w:t xml:space="preserve">dozoru </w:t>
            </w:r>
            <w:r w:rsidRPr="007A0D35">
              <w:rPr>
                <w:rFonts w:eastAsia="MS Mincho"/>
                <w:sz w:val="20"/>
                <w:szCs w:val="20"/>
              </w:rPr>
              <w:t xml:space="preserve">nad </w:t>
            </w:r>
            <w:r>
              <w:rPr>
                <w:rFonts w:eastAsia="MS Mincho"/>
                <w:sz w:val="20"/>
                <w:szCs w:val="20"/>
              </w:rPr>
              <w:t xml:space="preserve">fungováním </w:t>
            </w:r>
            <w:r w:rsidRPr="007A0D35">
              <w:rPr>
                <w:rFonts w:eastAsia="MS Mincho"/>
                <w:sz w:val="20"/>
                <w:szCs w:val="20"/>
              </w:rPr>
              <w:t>komoditní burz</w:t>
            </w:r>
            <w:r>
              <w:rPr>
                <w:rFonts w:eastAsia="MS Mincho"/>
                <w:sz w:val="20"/>
                <w:szCs w:val="20"/>
              </w:rPr>
              <w:t>y</w:t>
            </w:r>
          </w:p>
        </w:tc>
      </w:tr>
      <w:tr w:rsidR="00786EED" w:rsidRPr="007A0D35" w:rsidTr="00786EED">
        <w:trPr>
          <w:trHeight w:val="397"/>
        </w:trPr>
        <w:tc>
          <w:tcPr>
            <w:tcW w:w="8954" w:type="dxa"/>
            <w:shd w:val="clear" w:color="auto" w:fill="B6B002"/>
            <w:vAlign w:val="center"/>
            <w:hideMark/>
          </w:tcPr>
          <w:p w:rsidR="00786EED" w:rsidRPr="007A0D35" w:rsidRDefault="00786EED" w:rsidP="00786EED">
            <w:pPr>
              <w:keepNext/>
              <w:spacing w:before="20" w:after="20"/>
              <w:jc w:val="left"/>
              <w:rPr>
                <w:rFonts w:eastAsia="MS Mincho"/>
                <w:b/>
                <w:sz w:val="20"/>
                <w:szCs w:val="20"/>
              </w:rPr>
            </w:pPr>
            <w:r w:rsidRPr="007A0D35">
              <w:rPr>
                <w:rFonts w:eastAsia="MS Mincho"/>
                <w:b/>
                <w:sz w:val="20"/>
                <w:szCs w:val="20"/>
                <w:lang w:eastAsia="cs-CZ"/>
              </w:rPr>
              <w:t>Zpracovatelé</w:t>
            </w:r>
          </w:p>
        </w:tc>
      </w:tr>
      <w:tr w:rsidR="00786EED" w:rsidRPr="007A0D35" w:rsidTr="00786EED">
        <w:trPr>
          <w:trHeight w:val="397"/>
        </w:trPr>
        <w:tc>
          <w:tcPr>
            <w:tcW w:w="8954" w:type="dxa"/>
            <w:vAlign w:val="center"/>
            <w:hideMark/>
          </w:tcPr>
          <w:p w:rsidR="00786EED" w:rsidRPr="007A0D35" w:rsidRDefault="00786EED" w:rsidP="00786EED">
            <w:pPr>
              <w:spacing w:before="20" w:after="20"/>
              <w:jc w:val="left"/>
              <w:rPr>
                <w:rFonts w:eastAsia="MS Mincho"/>
                <w:sz w:val="20"/>
                <w:szCs w:val="20"/>
              </w:rPr>
            </w:pPr>
            <w:r w:rsidRPr="007A0D35">
              <w:rPr>
                <w:rFonts w:eastAsia="MS Mincho"/>
                <w:b/>
                <w:i/>
                <w:sz w:val="20"/>
                <w:szCs w:val="20"/>
              </w:rPr>
              <w:t>Přínosy</w:t>
            </w:r>
            <w:r w:rsidRPr="007A0D35">
              <w:rPr>
                <w:rFonts w:eastAsia="MS Mincho"/>
                <w:i/>
                <w:sz w:val="20"/>
                <w:szCs w:val="20"/>
              </w:rPr>
              <w:t xml:space="preserve"> </w:t>
            </w:r>
            <w:r w:rsidRPr="007A0D35">
              <w:rPr>
                <w:rFonts w:eastAsia="MS Mincho"/>
                <w:sz w:val="20"/>
                <w:szCs w:val="20"/>
              </w:rPr>
              <w:t>– Rovné podmínky pro jednotlivé účas</w:t>
            </w:r>
            <w:r>
              <w:rPr>
                <w:rFonts w:eastAsia="MS Mincho"/>
                <w:sz w:val="20"/>
                <w:szCs w:val="20"/>
              </w:rPr>
              <w:t xml:space="preserve">tníky trhu, příležitost přístupu k vybraným výrobkům s ukončenou životností, </w:t>
            </w:r>
            <w:r w:rsidRPr="007A0D35">
              <w:rPr>
                <w:rFonts w:eastAsia="MS Mincho"/>
                <w:sz w:val="20"/>
                <w:szCs w:val="20"/>
              </w:rPr>
              <w:t>pozitivní dopad na hospodářskou soutěž</w:t>
            </w:r>
          </w:p>
          <w:p w:rsidR="00786EED" w:rsidRPr="007A0D35" w:rsidRDefault="00786EED" w:rsidP="00786EED">
            <w:pPr>
              <w:spacing w:before="20" w:after="20"/>
              <w:jc w:val="left"/>
              <w:rPr>
                <w:rFonts w:eastAsia="MS Mincho"/>
                <w:sz w:val="20"/>
                <w:szCs w:val="20"/>
              </w:rPr>
            </w:pPr>
            <w:r w:rsidRPr="007A0D35">
              <w:rPr>
                <w:rFonts w:eastAsia="MS Mincho"/>
                <w:b/>
                <w:i/>
                <w:sz w:val="20"/>
                <w:szCs w:val="20"/>
              </w:rPr>
              <w:t>Náklady</w:t>
            </w:r>
            <w:r w:rsidRPr="007A0D35">
              <w:rPr>
                <w:rFonts w:eastAsia="MS Mincho"/>
                <w:i/>
                <w:sz w:val="20"/>
                <w:szCs w:val="20"/>
              </w:rPr>
              <w:t xml:space="preserve"> </w:t>
            </w:r>
            <w:r>
              <w:rPr>
                <w:rFonts w:eastAsia="MS Mincho"/>
                <w:sz w:val="20"/>
                <w:szCs w:val="20"/>
              </w:rPr>
              <w:t xml:space="preserve">– </w:t>
            </w:r>
            <w:r w:rsidRPr="007A0D35">
              <w:rPr>
                <w:rFonts w:eastAsia="MS Mincho"/>
                <w:sz w:val="20"/>
                <w:szCs w:val="20"/>
              </w:rPr>
              <w:t xml:space="preserve">administrativní náklady </w:t>
            </w:r>
            <w:r>
              <w:rPr>
                <w:rFonts w:eastAsia="MS Mincho"/>
                <w:sz w:val="20"/>
                <w:szCs w:val="20"/>
              </w:rPr>
              <w:t>spojené s realizací burzovních obchodů</w:t>
            </w:r>
          </w:p>
        </w:tc>
      </w:tr>
      <w:tr w:rsidR="00786EED" w:rsidRPr="007A0D35" w:rsidTr="00786EED">
        <w:trPr>
          <w:trHeight w:val="397"/>
        </w:trPr>
        <w:tc>
          <w:tcPr>
            <w:tcW w:w="8954" w:type="dxa"/>
            <w:shd w:val="clear" w:color="auto" w:fill="B6B002"/>
            <w:vAlign w:val="center"/>
            <w:hideMark/>
          </w:tcPr>
          <w:p w:rsidR="00786EED" w:rsidRPr="007A0D35" w:rsidRDefault="00786EED" w:rsidP="00786EED">
            <w:pPr>
              <w:keepNext/>
              <w:spacing w:before="20" w:after="20"/>
              <w:jc w:val="left"/>
              <w:rPr>
                <w:rFonts w:eastAsia="MS Mincho"/>
                <w:b/>
                <w:sz w:val="20"/>
                <w:szCs w:val="20"/>
              </w:rPr>
            </w:pPr>
            <w:r w:rsidRPr="007A0D35">
              <w:rPr>
                <w:rFonts w:eastAsia="MS Mincho"/>
                <w:b/>
                <w:sz w:val="20"/>
                <w:szCs w:val="20"/>
                <w:lang w:eastAsia="cs-CZ"/>
              </w:rPr>
              <w:lastRenderedPageBreak/>
              <w:t>Kolektivní systémy/výrobci</w:t>
            </w:r>
          </w:p>
        </w:tc>
      </w:tr>
      <w:tr w:rsidR="00786EED" w:rsidRPr="007A0D35" w:rsidTr="00786EED">
        <w:trPr>
          <w:trHeight w:val="397"/>
        </w:trPr>
        <w:tc>
          <w:tcPr>
            <w:tcW w:w="8954" w:type="dxa"/>
            <w:vAlign w:val="center"/>
            <w:hideMark/>
          </w:tcPr>
          <w:p w:rsidR="00786EED" w:rsidRPr="007A0D35" w:rsidRDefault="00786EED" w:rsidP="00786EED">
            <w:pPr>
              <w:spacing w:before="20" w:after="20"/>
              <w:jc w:val="left"/>
              <w:rPr>
                <w:rFonts w:eastAsia="MS Mincho"/>
                <w:sz w:val="20"/>
                <w:szCs w:val="20"/>
              </w:rPr>
            </w:pPr>
            <w:r w:rsidRPr="007A0D35">
              <w:rPr>
                <w:rFonts w:eastAsia="MS Mincho"/>
                <w:b/>
                <w:i/>
                <w:sz w:val="20"/>
                <w:szCs w:val="20"/>
              </w:rPr>
              <w:t>Přínosy</w:t>
            </w:r>
            <w:r w:rsidRPr="007A0D35">
              <w:rPr>
                <w:rFonts w:eastAsia="MS Mincho"/>
                <w:i/>
                <w:sz w:val="20"/>
                <w:szCs w:val="20"/>
              </w:rPr>
              <w:t xml:space="preserve"> </w:t>
            </w:r>
            <w:r w:rsidRPr="007A0D35">
              <w:rPr>
                <w:rFonts w:eastAsia="MS Mincho"/>
                <w:sz w:val="20"/>
                <w:szCs w:val="20"/>
              </w:rPr>
              <w:t>– Optimalizace nákladů</w:t>
            </w:r>
            <w:r>
              <w:rPr>
                <w:rFonts w:eastAsia="MS Mincho"/>
                <w:sz w:val="20"/>
                <w:szCs w:val="20"/>
              </w:rPr>
              <w:t xml:space="preserve"> na zpracování na základě burzovního obchodu</w:t>
            </w:r>
            <w:r w:rsidRPr="007A0D35">
              <w:rPr>
                <w:rFonts w:eastAsia="MS Mincho"/>
                <w:sz w:val="20"/>
                <w:szCs w:val="20"/>
              </w:rPr>
              <w:t>, s potenciálním pozitivním dopadem na výši recyklačních příspěvků</w:t>
            </w:r>
            <w:r>
              <w:rPr>
                <w:rFonts w:eastAsia="MS Mincho"/>
                <w:sz w:val="20"/>
                <w:szCs w:val="20"/>
              </w:rPr>
              <w:t>, eliminace možných rozporů z hlediska hospodářské soutěže</w:t>
            </w:r>
          </w:p>
          <w:p w:rsidR="00786EED" w:rsidRPr="007A0D35" w:rsidRDefault="00786EED" w:rsidP="00786EED">
            <w:pPr>
              <w:spacing w:before="20" w:after="20"/>
              <w:jc w:val="left"/>
              <w:rPr>
                <w:rFonts w:eastAsia="MS Mincho"/>
                <w:sz w:val="20"/>
                <w:szCs w:val="20"/>
              </w:rPr>
            </w:pPr>
            <w:r w:rsidRPr="007A0D35">
              <w:rPr>
                <w:rFonts w:eastAsia="MS Mincho"/>
                <w:b/>
                <w:i/>
                <w:sz w:val="20"/>
                <w:szCs w:val="20"/>
              </w:rPr>
              <w:t>Náklady</w:t>
            </w:r>
            <w:r w:rsidRPr="007A0D35">
              <w:rPr>
                <w:rFonts w:eastAsia="MS Mincho"/>
                <w:i/>
                <w:sz w:val="20"/>
                <w:szCs w:val="20"/>
              </w:rPr>
              <w:t xml:space="preserve"> </w:t>
            </w:r>
            <w:r>
              <w:rPr>
                <w:rFonts w:eastAsia="MS Mincho"/>
                <w:sz w:val="20"/>
                <w:szCs w:val="20"/>
              </w:rPr>
              <w:t xml:space="preserve">– zvýšené </w:t>
            </w:r>
            <w:r w:rsidRPr="007A0D35">
              <w:rPr>
                <w:rFonts w:eastAsia="MS Mincho"/>
                <w:sz w:val="20"/>
                <w:szCs w:val="20"/>
              </w:rPr>
              <w:t>administrativní nák</w:t>
            </w:r>
            <w:r>
              <w:rPr>
                <w:rFonts w:eastAsia="MS Mincho"/>
                <w:sz w:val="20"/>
                <w:szCs w:val="20"/>
              </w:rPr>
              <w:t>lady spojené s účastí na burzovních obchodech</w:t>
            </w:r>
          </w:p>
        </w:tc>
      </w:tr>
      <w:tr w:rsidR="00786EED" w:rsidRPr="007A0D35" w:rsidTr="00786EED">
        <w:trPr>
          <w:trHeight w:val="397"/>
        </w:trPr>
        <w:tc>
          <w:tcPr>
            <w:tcW w:w="8954" w:type="dxa"/>
            <w:shd w:val="clear" w:color="auto" w:fill="B6B002"/>
            <w:vAlign w:val="center"/>
            <w:hideMark/>
          </w:tcPr>
          <w:p w:rsidR="00786EED" w:rsidRPr="007A0D35" w:rsidRDefault="00786EED" w:rsidP="00786EED">
            <w:pPr>
              <w:keepNext/>
              <w:spacing w:before="20" w:after="20"/>
              <w:jc w:val="left"/>
              <w:rPr>
                <w:rFonts w:eastAsia="MS Mincho"/>
                <w:b/>
                <w:sz w:val="20"/>
                <w:szCs w:val="20"/>
              </w:rPr>
            </w:pPr>
            <w:r w:rsidRPr="007A0D35">
              <w:rPr>
                <w:rFonts w:eastAsia="MS Mincho"/>
                <w:b/>
                <w:sz w:val="20"/>
                <w:szCs w:val="20"/>
                <w:lang w:eastAsia="cs-CZ"/>
              </w:rPr>
              <w:t>Veřejnost</w:t>
            </w:r>
          </w:p>
        </w:tc>
      </w:tr>
      <w:tr w:rsidR="00786EED" w:rsidRPr="007A0D35" w:rsidTr="00786EED">
        <w:trPr>
          <w:trHeight w:val="397"/>
        </w:trPr>
        <w:tc>
          <w:tcPr>
            <w:tcW w:w="8954" w:type="dxa"/>
            <w:vAlign w:val="center"/>
            <w:hideMark/>
          </w:tcPr>
          <w:p w:rsidR="00786EED" w:rsidRPr="007A0D35" w:rsidRDefault="00786EED" w:rsidP="00786EED">
            <w:pPr>
              <w:spacing w:before="20" w:after="20"/>
              <w:jc w:val="left"/>
              <w:rPr>
                <w:rFonts w:eastAsia="MS Mincho"/>
                <w:sz w:val="20"/>
                <w:szCs w:val="20"/>
              </w:rPr>
            </w:pPr>
            <w:r w:rsidRPr="007A0D35">
              <w:rPr>
                <w:rFonts w:eastAsia="MS Mincho"/>
                <w:b/>
                <w:i/>
                <w:sz w:val="20"/>
                <w:szCs w:val="20"/>
              </w:rPr>
              <w:t>Přínosy</w:t>
            </w:r>
            <w:r w:rsidRPr="007A0D35">
              <w:rPr>
                <w:rFonts w:eastAsia="MS Mincho"/>
                <w:i/>
                <w:sz w:val="20"/>
                <w:szCs w:val="20"/>
              </w:rPr>
              <w:t xml:space="preserve"> </w:t>
            </w:r>
            <w:r w:rsidRPr="007A0D35">
              <w:rPr>
                <w:rFonts w:eastAsia="MS Mincho"/>
                <w:sz w:val="20"/>
                <w:szCs w:val="20"/>
              </w:rPr>
              <w:t>– V důsledku optimalizace nákladů na zpracování potenciálně pozitivní dopad na výši recyklačních poplatků</w:t>
            </w:r>
          </w:p>
        </w:tc>
      </w:tr>
    </w:tbl>
    <w:p w:rsidR="00786EED" w:rsidRDefault="004E195F" w:rsidP="006F5445">
      <w:pPr>
        <w:rPr>
          <w:rFonts w:eastAsia="Calibri"/>
          <w:szCs w:val="22"/>
        </w:rPr>
      </w:pPr>
      <w:r>
        <w:rPr>
          <w:rFonts w:eastAsia="Calibri"/>
          <w:szCs w:val="22"/>
        </w:rPr>
        <w:t>Zdroj: MPO</w:t>
      </w:r>
    </w:p>
    <w:p w:rsidR="004D7A19" w:rsidRDefault="004D7A19" w:rsidP="006F5445">
      <w:pPr>
        <w:rPr>
          <w:rFonts w:eastAsia="Calibri"/>
          <w:szCs w:val="22"/>
        </w:rPr>
      </w:pPr>
    </w:p>
    <w:p w:rsidR="004D7A19" w:rsidRDefault="004D7A19" w:rsidP="002D66F0">
      <w:pPr>
        <w:pStyle w:val="Odstavecseseznamem"/>
        <w:numPr>
          <w:ilvl w:val="0"/>
          <w:numId w:val="89"/>
        </w:numPr>
      </w:pPr>
      <w:r>
        <w:t>Varianta 2</w:t>
      </w:r>
    </w:p>
    <w:p w:rsidR="004D7A19" w:rsidRPr="00BB0837" w:rsidRDefault="004D7A19" w:rsidP="004D7A19">
      <w:pPr>
        <w:rPr>
          <w:rFonts w:eastAsia="Calibri"/>
          <w:szCs w:val="22"/>
        </w:rPr>
      </w:pPr>
      <w:r w:rsidRPr="00E321D6">
        <w:rPr>
          <w:rFonts w:eastAsia="Calibri"/>
          <w:szCs w:val="22"/>
        </w:rPr>
        <w:t>Varianta</w:t>
      </w:r>
      <w:r w:rsidRPr="009C6FD6">
        <w:rPr>
          <w:rFonts w:eastAsia="Calibri"/>
          <w:szCs w:val="22"/>
        </w:rPr>
        <w:t xml:space="preserve"> 2 výsledkem modifikace varianty 1, kdy je </w:t>
      </w:r>
      <w:r w:rsidR="00E553DE">
        <w:rPr>
          <w:rFonts w:eastAsia="Calibri"/>
          <w:szCs w:val="22"/>
        </w:rPr>
        <w:t>věcí volby</w:t>
      </w:r>
      <w:r w:rsidRPr="009C6FD6">
        <w:rPr>
          <w:rFonts w:eastAsia="Calibri"/>
          <w:szCs w:val="22"/>
        </w:rPr>
        <w:t xml:space="preserve"> kolektivního systému, zda vybere zpracovatele pomocí obchodování na komoditní burze anebo pomocí vyhlášení veřejné soutěže o nejvhodnější nabídku. Cílem bylo připravit srovnatelné varianty, které obě nap</w:t>
      </w:r>
      <w:r w:rsidRPr="00BB0837">
        <w:rPr>
          <w:rFonts w:eastAsia="Calibri"/>
          <w:szCs w:val="22"/>
        </w:rPr>
        <w:t xml:space="preserve">lňují základní cíl, tedy zajištění </w:t>
      </w:r>
      <w:r>
        <w:t xml:space="preserve">oslovení celého trhu zpracovatelů, </w:t>
      </w:r>
      <w:r w:rsidRPr="00E321D6">
        <w:rPr>
          <w:rFonts w:eastAsia="Calibri"/>
          <w:szCs w:val="22"/>
        </w:rPr>
        <w:t xml:space="preserve">zajištění transparentního způsobu výběru zpracovatele s minimalizací negativních efektů </w:t>
      </w:r>
      <w:r w:rsidR="00042A18">
        <w:rPr>
          <w:rFonts w:eastAsia="Calibri"/>
          <w:szCs w:val="22"/>
        </w:rPr>
        <w:t>pro</w:t>
      </w:r>
      <w:r w:rsidRPr="00E321D6">
        <w:rPr>
          <w:rFonts w:eastAsia="Calibri"/>
          <w:szCs w:val="22"/>
        </w:rPr>
        <w:t xml:space="preserve"> hospodářskou soutěž.</w:t>
      </w:r>
      <w:r w:rsidRPr="009C6FD6">
        <w:rPr>
          <w:rFonts w:eastAsia="Calibri"/>
          <w:szCs w:val="22"/>
        </w:rPr>
        <w:t xml:space="preserve"> Zároveň je zachována možnost nabízet část zpětně odebraných výrobků s ukon</w:t>
      </w:r>
      <w:r w:rsidRPr="00BB0837">
        <w:rPr>
          <w:rFonts w:eastAsia="Calibri"/>
          <w:szCs w:val="22"/>
        </w:rPr>
        <w:t>čenou životností tzv. chráněným dílnám ke zpracování.</w:t>
      </w:r>
    </w:p>
    <w:p w:rsidR="004D7A19" w:rsidRPr="00BB0837" w:rsidRDefault="004D7A19" w:rsidP="004D7A19">
      <w:pPr>
        <w:rPr>
          <w:rFonts w:eastAsia="Calibri"/>
          <w:szCs w:val="22"/>
        </w:rPr>
      </w:pPr>
      <w:r w:rsidRPr="00BB0837">
        <w:rPr>
          <w:rFonts w:eastAsia="Calibri"/>
          <w:szCs w:val="22"/>
        </w:rPr>
        <w:t xml:space="preserve">Proto předpokládáme, že výše nákladů nebude </w:t>
      </w:r>
      <w:r w:rsidR="00042A18">
        <w:rPr>
          <w:rFonts w:eastAsia="Calibri"/>
          <w:szCs w:val="22"/>
        </w:rPr>
        <w:t xml:space="preserve">významně odlišná od varianty 1. </w:t>
      </w:r>
      <w:r w:rsidRPr="00BB0837">
        <w:rPr>
          <w:rFonts w:eastAsia="Calibri"/>
          <w:szCs w:val="22"/>
        </w:rPr>
        <w:t>Lze očekávat, že dojde k navýšení zejména administrativních nákladů kolektivního systému a zpracovatele.</w:t>
      </w:r>
    </w:p>
    <w:p w:rsidR="004D7A19" w:rsidRPr="00BB0837" w:rsidRDefault="004D7A19" w:rsidP="004D7A19">
      <w:pPr>
        <w:rPr>
          <w:rFonts w:eastAsia="Calibri"/>
          <w:szCs w:val="22"/>
        </w:rPr>
      </w:pPr>
      <w:r w:rsidRPr="00BB0837">
        <w:rPr>
          <w:rFonts w:eastAsia="Calibri"/>
          <w:szCs w:val="22"/>
        </w:rPr>
        <w:t>V případě obchodování na komoditní burze hradí kolektivní systém a zpracovatel jednorázové náklady - registrační poplatek a poplatek za udělení vstupenky s neomezenou dobou platnosti. Zpracovatel hradí opakující se náklady – odměnu dohodci</w:t>
      </w:r>
      <w:r w:rsidR="00042A18">
        <w:rPr>
          <w:rFonts w:eastAsia="Calibri"/>
          <w:szCs w:val="22"/>
        </w:rPr>
        <w:t>.</w:t>
      </w:r>
      <w:r w:rsidRPr="00BB0837">
        <w:rPr>
          <w:rFonts w:eastAsia="Calibri"/>
          <w:szCs w:val="22"/>
        </w:rPr>
        <w:t xml:space="preserve"> Transakční poplatky se platí jen za uskutečnění obchodu, nikoliv za úkony; poplatky jsou odvislé od objemu a jsou v řádu promile z objemu uskutečněných obchodů.</w:t>
      </w:r>
      <w:r w:rsidR="00042A18">
        <w:rPr>
          <w:rFonts w:eastAsia="Calibri"/>
          <w:szCs w:val="22"/>
        </w:rPr>
        <w:t xml:space="preserve"> </w:t>
      </w:r>
      <w:r w:rsidR="00042A18" w:rsidRPr="00042A18">
        <w:rPr>
          <w:rFonts w:eastAsia="Calibri"/>
          <w:szCs w:val="22"/>
        </w:rPr>
        <w:t>Plátce těchto poplatků bude teprve stanoven, a to na základě jednání příslušného burzovního výboru (tj. i za účasti zástupců kolektivních systémů) a při zohlednění zvyklostí na daném trhu a zájmu maximální podpory likvidity (tj. četnosti a objemu obchodování).</w:t>
      </w:r>
    </w:p>
    <w:p w:rsidR="004D7A19" w:rsidRPr="00BB0837" w:rsidRDefault="004D7A19" w:rsidP="004D7A19">
      <w:pPr>
        <w:rPr>
          <w:rFonts w:eastAsia="Calibri"/>
          <w:szCs w:val="22"/>
        </w:rPr>
      </w:pPr>
      <w:r w:rsidRPr="00BB0837">
        <w:rPr>
          <w:rFonts w:eastAsia="Calibri"/>
          <w:szCs w:val="22"/>
        </w:rPr>
        <w:t xml:space="preserve">V případě vyhlašování veřejné soutěže o nejvhodnější nabídku ponesou kolektivní systémy náklady zvýšené o informační povinnosti a náklady vyvolané minimální četností nabízení vybraných výrobků zpracovatelům. Již nyní kolektivní systémy často vybírají zpracovatele prostřednictvím výběrových řízení. Náklady spojené se zajištěním výběrových řízení tak kolektivní systémy nesou již dnes a v tomto případě nebude pro dotčené subjekty znamenat zásadní navýšení nákladů. Obdobná situace je u zpracovatelů </w:t>
      </w:r>
      <w:r w:rsidR="00934F41">
        <w:rPr>
          <w:rFonts w:eastAsia="Calibri"/>
          <w:szCs w:val="22"/>
        </w:rPr>
        <w:t xml:space="preserve">odpadních </w:t>
      </w:r>
      <w:r w:rsidRPr="00BB0837">
        <w:rPr>
          <w:rFonts w:eastAsia="Calibri"/>
          <w:szCs w:val="22"/>
        </w:rPr>
        <w:t>elektrozařízení, kteří se již dnes výběrových řízení účastní, a i v jejich případě nepředpokládáme zásadní navýšení.</w:t>
      </w:r>
    </w:p>
    <w:p w:rsidR="004D7A19" w:rsidRPr="00BB0837" w:rsidRDefault="004D7A19" w:rsidP="004D7A19">
      <w:pPr>
        <w:widowControl w:val="0"/>
        <w:spacing w:before="120"/>
        <w:rPr>
          <w:rFonts w:eastAsia="Calibri"/>
          <w:szCs w:val="22"/>
        </w:rPr>
      </w:pPr>
      <w:r w:rsidRPr="00BB0837">
        <w:rPr>
          <w:rFonts w:eastAsia="Calibri"/>
          <w:szCs w:val="22"/>
        </w:rPr>
        <w:t xml:space="preserve">I v případě varianty 2 bude umožněno část vybraných výrobků s ukončenou životností nabídnout i tzv. chráněným dílnám za určitých podmínek, neboť často nedosahují takové efektivity a nemohou zpracovat příliš velké objemy odpadu v porovnání s průmyslovými zpracovateli. </w:t>
      </w:r>
    </w:p>
    <w:p w:rsidR="0097769C" w:rsidRDefault="004D7A19" w:rsidP="004D7A19">
      <w:pPr>
        <w:widowControl w:val="0"/>
        <w:spacing w:before="120"/>
        <w:rPr>
          <w:rFonts w:eastAsia="Calibri"/>
          <w:szCs w:val="22"/>
        </w:rPr>
      </w:pPr>
      <w:r w:rsidRPr="00BB0837">
        <w:rPr>
          <w:rFonts w:eastAsia="Calibri"/>
          <w:szCs w:val="22"/>
        </w:rPr>
        <w:t>Dopady na jednotlivé dotčené subjekty lze popsat zejména kvalitativně a nelze vyhodnotit komplexní kvantitativní dopady.</w:t>
      </w:r>
    </w:p>
    <w:p w:rsidR="004D7A19" w:rsidRPr="00BB0837" w:rsidRDefault="0097769C" w:rsidP="00AD7ECA">
      <w:pPr>
        <w:spacing w:line="240" w:lineRule="auto"/>
        <w:jc w:val="left"/>
        <w:rPr>
          <w:rFonts w:eastAsia="Calibri"/>
          <w:szCs w:val="22"/>
        </w:rPr>
      </w:pPr>
      <w:r>
        <w:rPr>
          <w:rFonts w:eastAsia="Calibri"/>
          <w:szCs w:val="22"/>
        </w:rPr>
        <w:br w:type="page"/>
      </w:r>
    </w:p>
    <w:p w:rsidR="00EB7397" w:rsidRDefault="00EB7397" w:rsidP="006F5445">
      <w:pPr>
        <w:pStyle w:val="Titulek"/>
      </w:pPr>
      <w:r>
        <w:lastRenderedPageBreak/>
        <w:t xml:space="preserve">Tabulka </w:t>
      </w:r>
      <w:r w:rsidR="00381FB7">
        <w:fldChar w:fldCharType="begin"/>
      </w:r>
      <w:r>
        <w:instrText xml:space="preserve"> SEQ Tabulka \* ARABIC </w:instrText>
      </w:r>
      <w:r w:rsidR="00381FB7">
        <w:fldChar w:fldCharType="separate"/>
      </w:r>
      <w:r w:rsidR="00FD5E92">
        <w:t>22</w:t>
      </w:r>
      <w:r w:rsidR="00381FB7">
        <w:fldChar w:fldCharType="end"/>
      </w:r>
      <w:r>
        <w:t>:</w:t>
      </w:r>
      <w:r w:rsidRPr="006D6093">
        <w:t xml:space="preserve"> Přínosy a náklady Varianty 2</w:t>
      </w:r>
    </w:p>
    <w:tbl>
      <w:tblPr>
        <w:tblW w:w="8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4"/>
      </w:tblGrid>
      <w:tr w:rsidR="00EB7397" w:rsidRPr="007A0D35" w:rsidTr="00160164">
        <w:trPr>
          <w:trHeight w:val="397"/>
        </w:trPr>
        <w:tc>
          <w:tcPr>
            <w:tcW w:w="8954" w:type="dxa"/>
            <w:shd w:val="clear" w:color="auto" w:fill="B6B002"/>
            <w:vAlign w:val="center"/>
          </w:tcPr>
          <w:p w:rsidR="00EB7397" w:rsidRPr="007A0D35" w:rsidRDefault="00EB7397" w:rsidP="00160164">
            <w:pPr>
              <w:keepNext/>
              <w:spacing w:before="20" w:after="20"/>
              <w:jc w:val="left"/>
              <w:rPr>
                <w:rFonts w:eastAsia="MS Mincho"/>
                <w:b/>
                <w:sz w:val="20"/>
                <w:szCs w:val="20"/>
              </w:rPr>
            </w:pPr>
            <w:r w:rsidRPr="007A0D35">
              <w:rPr>
                <w:rFonts w:eastAsia="MS Mincho"/>
                <w:b/>
                <w:sz w:val="20"/>
                <w:szCs w:val="20"/>
                <w:lang w:eastAsia="cs-CZ"/>
              </w:rPr>
              <w:t>Státní správa</w:t>
            </w:r>
          </w:p>
        </w:tc>
      </w:tr>
      <w:tr w:rsidR="00EB7397" w:rsidRPr="007A0D35" w:rsidTr="00160164">
        <w:trPr>
          <w:trHeight w:val="397"/>
        </w:trPr>
        <w:tc>
          <w:tcPr>
            <w:tcW w:w="8954" w:type="dxa"/>
            <w:vAlign w:val="center"/>
          </w:tcPr>
          <w:p w:rsidR="00EB7397" w:rsidRPr="007A0D35" w:rsidRDefault="00EB7397" w:rsidP="00160164">
            <w:pPr>
              <w:spacing w:before="20" w:after="20"/>
              <w:jc w:val="left"/>
              <w:rPr>
                <w:rFonts w:eastAsia="MS Mincho"/>
                <w:sz w:val="20"/>
                <w:szCs w:val="20"/>
              </w:rPr>
            </w:pPr>
            <w:r w:rsidRPr="007A0D35">
              <w:rPr>
                <w:rFonts w:eastAsia="MS Mincho"/>
                <w:b/>
                <w:i/>
                <w:sz w:val="20"/>
                <w:szCs w:val="20"/>
              </w:rPr>
              <w:t>Přínosy</w:t>
            </w:r>
            <w:r w:rsidRPr="007A0D35">
              <w:rPr>
                <w:rFonts w:eastAsia="MS Mincho"/>
                <w:i/>
                <w:sz w:val="20"/>
                <w:szCs w:val="20"/>
              </w:rPr>
              <w:t xml:space="preserve"> </w:t>
            </w:r>
            <w:r w:rsidRPr="007A0D35">
              <w:rPr>
                <w:rFonts w:eastAsia="MS Mincho"/>
                <w:sz w:val="20"/>
                <w:szCs w:val="20"/>
              </w:rPr>
              <w:t xml:space="preserve">– </w:t>
            </w:r>
            <w:r>
              <w:rPr>
                <w:rFonts w:eastAsia="MS Mincho"/>
                <w:sz w:val="20"/>
                <w:szCs w:val="20"/>
              </w:rPr>
              <w:t>Zajištění transparentnosti obchodování, v</w:t>
            </w:r>
            <w:r w:rsidRPr="007A0D35">
              <w:rPr>
                <w:rFonts w:eastAsia="MS Mincho"/>
                <w:sz w:val="20"/>
                <w:szCs w:val="20"/>
              </w:rPr>
              <w:t xml:space="preserve">yužití stávajících komoditních burz, státní </w:t>
            </w:r>
            <w:r>
              <w:rPr>
                <w:rFonts w:eastAsia="MS Mincho"/>
                <w:sz w:val="20"/>
                <w:szCs w:val="20"/>
              </w:rPr>
              <w:t xml:space="preserve">dozor </w:t>
            </w:r>
            <w:r w:rsidRPr="007A0D35">
              <w:rPr>
                <w:rFonts w:eastAsia="MS Mincho"/>
                <w:sz w:val="20"/>
                <w:szCs w:val="20"/>
              </w:rPr>
              <w:t xml:space="preserve">nad </w:t>
            </w:r>
            <w:r>
              <w:rPr>
                <w:rFonts w:eastAsia="MS Mincho"/>
                <w:sz w:val="20"/>
                <w:szCs w:val="20"/>
              </w:rPr>
              <w:t xml:space="preserve">fungováním </w:t>
            </w:r>
            <w:r w:rsidRPr="007A0D35">
              <w:rPr>
                <w:rFonts w:eastAsia="MS Mincho"/>
                <w:sz w:val="20"/>
                <w:szCs w:val="20"/>
              </w:rPr>
              <w:t>komoditní burz</w:t>
            </w:r>
            <w:r>
              <w:rPr>
                <w:rFonts w:eastAsia="MS Mincho"/>
                <w:sz w:val="20"/>
                <w:szCs w:val="20"/>
              </w:rPr>
              <w:t xml:space="preserve">y na základě zákona o komoditních burzách, příležitost zaměstnání </w:t>
            </w:r>
            <w:r w:rsidRPr="00A8488E">
              <w:rPr>
                <w:rFonts w:eastAsia="MS Mincho"/>
                <w:sz w:val="20"/>
                <w:szCs w:val="20"/>
              </w:rPr>
              <w:t>osob se zdravotním postižením</w:t>
            </w:r>
          </w:p>
          <w:p w:rsidR="00EB7397" w:rsidRPr="007A0D35" w:rsidRDefault="00EB7397" w:rsidP="00160164">
            <w:pPr>
              <w:keepNext/>
              <w:spacing w:before="20" w:after="20"/>
              <w:jc w:val="left"/>
              <w:rPr>
                <w:rFonts w:eastAsia="MS Mincho"/>
                <w:b/>
                <w:sz w:val="20"/>
                <w:szCs w:val="20"/>
                <w:lang w:eastAsia="cs-CZ"/>
              </w:rPr>
            </w:pPr>
            <w:r w:rsidRPr="007A0D35">
              <w:rPr>
                <w:rFonts w:eastAsia="MS Mincho"/>
                <w:b/>
                <w:i/>
                <w:sz w:val="20"/>
                <w:szCs w:val="20"/>
              </w:rPr>
              <w:t>Náklady</w:t>
            </w:r>
            <w:r w:rsidRPr="007A0D35">
              <w:rPr>
                <w:rFonts w:eastAsia="MS Mincho"/>
                <w:sz w:val="20"/>
                <w:szCs w:val="20"/>
              </w:rPr>
              <w:t xml:space="preserve"> – Náklady na výkon státní</w:t>
            </w:r>
            <w:r>
              <w:rPr>
                <w:rFonts w:eastAsia="MS Mincho"/>
                <w:sz w:val="20"/>
                <w:szCs w:val="20"/>
              </w:rPr>
              <w:t>ho</w:t>
            </w:r>
            <w:r w:rsidRPr="007A0D35">
              <w:rPr>
                <w:rFonts w:eastAsia="MS Mincho"/>
                <w:sz w:val="20"/>
                <w:szCs w:val="20"/>
              </w:rPr>
              <w:t xml:space="preserve"> </w:t>
            </w:r>
            <w:r>
              <w:rPr>
                <w:rFonts w:eastAsia="MS Mincho"/>
                <w:sz w:val="20"/>
                <w:szCs w:val="20"/>
              </w:rPr>
              <w:t xml:space="preserve">dozoru </w:t>
            </w:r>
            <w:r w:rsidRPr="007A0D35">
              <w:rPr>
                <w:rFonts w:eastAsia="MS Mincho"/>
                <w:sz w:val="20"/>
                <w:szCs w:val="20"/>
              </w:rPr>
              <w:t xml:space="preserve">nad </w:t>
            </w:r>
            <w:r>
              <w:rPr>
                <w:rFonts w:eastAsia="MS Mincho"/>
                <w:sz w:val="20"/>
                <w:szCs w:val="20"/>
              </w:rPr>
              <w:t xml:space="preserve">fungováním </w:t>
            </w:r>
            <w:r w:rsidRPr="007A0D35">
              <w:rPr>
                <w:rFonts w:eastAsia="MS Mincho"/>
                <w:sz w:val="20"/>
                <w:szCs w:val="20"/>
              </w:rPr>
              <w:t>komoditní burz</w:t>
            </w:r>
            <w:r>
              <w:rPr>
                <w:rFonts w:eastAsia="MS Mincho"/>
                <w:sz w:val="20"/>
                <w:szCs w:val="20"/>
              </w:rPr>
              <w:t>y</w:t>
            </w:r>
          </w:p>
        </w:tc>
      </w:tr>
      <w:tr w:rsidR="00EB7397" w:rsidRPr="007A0D35" w:rsidTr="00160164">
        <w:trPr>
          <w:trHeight w:val="397"/>
        </w:trPr>
        <w:tc>
          <w:tcPr>
            <w:tcW w:w="8954" w:type="dxa"/>
            <w:shd w:val="clear" w:color="auto" w:fill="B6B002"/>
            <w:vAlign w:val="center"/>
          </w:tcPr>
          <w:p w:rsidR="00EB7397" w:rsidRPr="007A0D35" w:rsidRDefault="00EB7397" w:rsidP="00160164">
            <w:pPr>
              <w:keepNext/>
              <w:spacing w:before="20" w:after="20"/>
              <w:jc w:val="left"/>
              <w:rPr>
                <w:rFonts w:eastAsia="MS Mincho"/>
                <w:b/>
                <w:sz w:val="20"/>
                <w:szCs w:val="20"/>
              </w:rPr>
            </w:pPr>
            <w:r w:rsidRPr="007A0D35">
              <w:rPr>
                <w:rFonts w:eastAsia="MS Mincho"/>
                <w:b/>
                <w:sz w:val="20"/>
                <w:szCs w:val="20"/>
                <w:lang w:eastAsia="cs-CZ"/>
              </w:rPr>
              <w:t>Zpracovatelé</w:t>
            </w:r>
          </w:p>
        </w:tc>
      </w:tr>
      <w:tr w:rsidR="00EB7397" w:rsidRPr="007A0D35" w:rsidTr="00160164">
        <w:trPr>
          <w:trHeight w:val="397"/>
        </w:trPr>
        <w:tc>
          <w:tcPr>
            <w:tcW w:w="8954" w:type="dxa"/>
            <w:vAlign w:val="center"/>
          </w:tcPr>
          <w:p w:rsidR="00EB7397" w:rsidRPr="007A0D35" w:rsidRDefault="00EB7397" w:rsidP="00160164">
            <w:pPr>
              <w:spacing w:before="20" w:after="20"/>
              <w:jc w:val="left"/>
              <w:rPr>
                <w:rFonts w:eastAsia="MS Mincho"/>
                <w:sz w:val="20"/>
                <w:szCs w:val="20"/>
              </w:rPr>
            </w:pPr>
            <w:r w:rsidRPr="007A0D35">
              <w:rPr>
                <w:rFonts w:eastAsia="MS Mincho"/>
                <w:b/>
                <w:i/>
                <w:sz w:val="20"/>
                <w:szCs w:val="20"/>
              </w:rPr>
              <w:t>Přínosy</w:t>
            </w:r>
            <w:r w:rsidRPr="007A0D35">
              <w:rPr>
                <w:rFonts w:eastAsia="MS Mincho"/>
                <w:i/>
                <w:sz w:val="20"/>
                <w:szCs w:val="20"/>
              </w:rPr>
              <w:t xml:space="preserve"> </w:t>
            </w:r>
            <w:r w:rsidRPr="007A0D35">
              <w:rPr>
                <w:rFonts w:eastAsia="MS Mincho"/>
                <w:sz w:val="20"/>
                <w:szCs w:val="20"/>
              </w:rPr>
              <w:t>– Rovné podmínky pro jednotlivé účas</w:t>
            </w:r>
            <w:r>
              <w:rPr>
                <w:rFonts w:eastAsia="MS Mincho"/>
                <w:sz w:val="20"/>
                <w:szCs w:val="20"/>
              </w:rPr>
              <w:t xml:space="preserve">tníky trhu, příležitost přístupu k vybraným výrobkům s ukončenou životností, </w:t>
            </w:r>
            <w:r w:rsidRPr="007A0D35">
              <w:rPr>
                <w:rFonts w:eastAsia="MS Mincho"/>
                <w:sz w:val="20"/>
                <w:szCs w:val="20"/>
              </w:rPr>
              <w:t>pozitivní dopad na hospodářskou soutěž</w:t>
            </w:r>
          </w:p>
          <w:p w:rsidR="00EB7397" w:rsidRPr="007A0D35" w:rsidRDefault="00EB7397" w:rsidP="00160164">
            <w:pPr>
              <w:spacing w:before="20" w:after="20"/>
              <w:jc w:val="left"/>
              <w:rPr>
                <w:rFonts w:eastAsia="MS Mincho"/>
                <w:sz w:val="20"/>
                <w:szCs w:val="20"/>
              </w:rPr>
            </w:pPr>
            <w:r w:rsidRPr="007A0D35">
              <w:rPr>
                <w:rFonts w:eastAsia="MS Mincho"/>
                <w:b/>
                <w:i/>
                <w:sz w:val="20"/>
                <w:szCs w:val="20"/>
              </w:rPr>
              <w:t>Náklady</w:t>
            </w:r>
            <w:r w:rsidRPr="007A0D35">
              <w:rPr>
                <w:rFonts w:eastAsia="MS Mincho"/>
                <w:i/>
                <w:sz w:val="20"/>
                <w:szCs w:val="20"/>
              </w:rPr>
              <w:t xml:space="preserve"> </w:t>
            </w:r>
            <w:r>
              <w:rPr>
                <w:rFonts w:eastAsia="MS Mincho"/>
                <w:sz w:val="20"/>
                <w:szCs w:val="20"/>
              </w:rPr>
              <w:t xml:space="preserve">– </w:t>
            </w:r>
            <w:r w:rsidRPr="007A0D35">
              <w:rPr>
                <w:rFonts w:eastAsia="MS Mincho"/>
                <w:sz w:val="20"/>
                <w:szCs w:val="20"/>
              </w:rPr>
              <w:t xml:space="preserve">administrativní náklady </w:t>
            </w:r>
            <w:r>
              <w:rPr>
                <w:rFonts w:eastAsia="MS Mincho"/>
                <w:sz w:val="20"/>
                <w:szCs w:val="20"/>
              </w:rPr>
              <w:t>spojené s realizací burzovních obchodů či účasti ve výběrových řízeních formou vyhlášení veřejné soutěže o nejvhodnější nabídku</w:t>
            </w:r>
          </w:p>
        </w:tc>
      </w:tr>
      <w:tr w:rsidR="00EB7397" w:rsidRPr="007A0D35" w:rsidTr="00160164">
        <w:trPr>
          <w:trHeight w:val="397"/>
        </w:trPr>
        <w:tc>
          <w:tcPr>
            <w:tcW w:w="8954" w:type="dxa"/>
            <w:shd w:val="clear" w:color="auto" w:fill="B6B002"/>
            <w:vAlign w:val="center"/>
          </w:tcPr>
          <w:p w:rsidR="00EB7397" w:rsidRPr="007A0D35" w:rsidRDefault="00EB7397" w:rsidP="00160164">
            <w:pPr>
              <w:keepNext/>
              <w:spacing w:before="20" w:after="20"/>
              <w:jc w:val="left"/>
              <w:rPr>
                <w:rFonts w:eastAsia="MS Mincho"/>
                <w:b/>
                <w:sz w:val="20"/>
                <w:szCs w:val="20"/>
              </w:rPr>
            </w:pPr>
            <w:r w:rsidRPr="007A0D35">
              <w:rPr>
                <w:rFonts w:eastAsia="MS Mincho"/>
                <w:b/>
                <w:sz w:val="20"/>
                <w:szCs w:val="20"/>
                <w:lang w:eastAsia="cs-CZ"/>
              </w:rPr>
              <w:t>Kolektivní systémy/výrobci</w:t>
            </w:r>
          </w:p>
        </w:tc>
      </w:tr>
      <w:tr w:rsidR="00EB7397" w:rsidRPr="007A0D35" w:rsidTr="00160164">
        <w:trPr>
          <w:trHeight w:val="397"/>
        </w:trPr>
        <w:tc>
          <w:tcPr>
            <w:tcW w:w="8954" w:type="dxa"/>
            <w:vAlign w:val="center"/>
          </w:tcPr>
          <w:p w:rsidR="00EB7397" w:rsidRPr="007A0D35" w:rsidRDefault="00EB7397" w:rsidP="00160164">
            <w:pPr>
              <w:spacing w:before="20" w:after="20"/>
              <w:jc w:val="left"/>
              <w:rPr>
                <w:rFonts w:eastAsia="MS Mincho"/>
                <w:sz w:val="20"/>
                <w:szCs w:val="20"/>
              </w:rPr>
            </w:pPr>
            <w:r w:rsidRPr="007A0D35">
              <w:rPr>
                <w:rFonts w:eastAsia="MS Mincho"/>
                <w:b/>
                <w:i/>
                <w:sz w:val="20"/>
                <w:szCs w:val="20"/>
              </w:rPr>
              <w:t>Přínosy</w:t>
            </w:r>
            <w:r w:rsidRPr="007A0D35">
              <w:rPr>
                <w:rFonts w:eastAsia="MS Mincho"/>
                <w:i/>
                <w:sz w:val="20"/>
                <w:szCs w:val="20"/>
              </w:rPr>
              <w:t xml:space="preserve"> </w:t>
            </w:r>
            <w:r w:rsidRPr="007A0D35">
              <w:rPr>
                <w:rFonts w:eastAsia="MS Mincho"/>
                <w:sz w:val="20"/>
                <w:szCs w:val="20"/>
              </w:rPr>
              <w:t>– Optimalizace nákladů</w:t>
            </w:r>
            <w:r>
              <w:rPr>
                <w:rFonts w:eastAsia="MS Mincho"/>
                <w:sz w:val="20"/>
                <w:szCs w:val="20"/>
              </w:rPr>
              <w:t xml:space="preserve"> na zpracování na základě burzovního obchodu či výběrového řízení</w:t>
            </w:r>
            <w:r w:rsidRPr="007A0D35">
              <w:rPr>
                <w:rFonts w:eastAsia="MS Mincho"/>
                <w:sz w:val="20"/>
                <w:szCs w:val="20"/>
              </w:rPr>
              <w:t>, s potenciálním pozitivním dopadem na výši recyklačních příspěvků</w:t>
            </w:r>
            <w:r>
              <w:rPr>
                <w:rFonts w:eastAsia="MS Mincho"/>
                <w:sz w:val="20"/>
                <w:szCs w:val="20"/>
              </w:rPr>
              <w:t>, u komoditní burzy eliminace možných rozporů z hlediska hospodářské soutěže, možnost volby způsobu výběru zpracovatele</w:t>
            </w:r>
          </w:p>
          <w:p w:rsidR="00EB7397" w:rsidRPr="007A0D35" w:rsidRDefault="00EB7397" w:rsidP="00160164">
            <w:pPr>
              <w:spacing w:before="20" w:after="20"/>
              <w:jc w:val="left"/>
              <w:rPr>
                <w:rFonts w:eastAsia="MS Mincho"/>
                <w:sz w:val="20"/>
                <w:szCs w:val="20"/>
              </w:rPr>
            </w:pPr>
            <w:r w:rsidRPr="007A0D35">
              <w:rPr>
                <w:rFonts w:eastAsia="MS Mincho"/>
                <w:b/>
                <w:i/>
                <w:sz w:val="20"/>
                <w:szCs w:val="20"/>
              </w:rPr>
              <w:t>Náklady</w:t>
            </w:r>
            <w:r w:rsidRPr="007A0D35">
              <w:rPr>
                <w:rFonts w:eastAsia="MS Mincho"/>
                <w:i/>
                <w:sz w:val="20"/>
                <w:szCs w:val="20"/>
              </w:rPr>
              <w:t xml:space="preserve"> </w:t>
            </w:r>
            <w:r>
              <w:rPr>
                <w:rFonts w:eastAsia="MS Mincho"/>
                <w:sz w:val="20"/>
                <w:szCs w:val="20"/>
              </w:rPr>
              <w:t xml:space="preserve">– zvýšené </w:t>
            </w:r>
            <w:r w:rsidRPr="007A0D35">
              <w:rPr>
                <w:rFonts w:eastAsia="MS Mincho"/>
                <w:sz w:val="20"/>
                <w:szCs w:val="20"/>
              </w:rPr>
              <w:t>administrativní nák</w:t>
            </w:r>
            <w:r>
              <w:rPr>
                <w:rFonts w:eastAsia="MS Mincho"/>
                <w:sz w:val="20"/>
                <w:szCs w:val="20"/>
              </w:rPr>
              <w:t>lady spojené s účastí na burzovních obchodech či realizací výběrových řízení</w:t>
            </w:r>
          </w:p>
        </w:tc>
      </w:tr>
      <w:tr w:rsidR="00EB7397" w:rsidRPr="007A0D35" w:rsidTr="00160164">
        <w:trPr>
          <w:trHeight w:val="397"/>
        </w:trPr>
        <w:tc>
          <w:tcPr>
            <w:tcW w:w="8954" w:type="dxa"/>
            <w:shd w:val="clear" w:color="auto" w:fill="B6B002"/>
            <w:vAlign w:val="center"/>
          </w:tcPr>
          <w:p w:rsidR="00EB7397" w:rsidRPr="007A0D35" w:rsidRDefault="00EB7397" w:rsidP="00160164">
            <w:pPr>
              <w:keepNext/>
              <w:spacing w:before="20" w:after="20"/>
              <w:jc w:val="left"/>
              <w:rPr>
                <w:rFonts w:eastAsia="MS Mincho"/>
                <w:b/>
                <w:sz w:val="20"/>
                <w:szCs w:val="20"/>
              </w:rPr>
            </w:pPr>
            <w:r w:rsidRPr="007A0D35">
              <w:rPr>
                <w:rFonts w:eastAsia="MS Mincho"/>
                <w:b/>
                <w:sz w:val="20"/>
                <w:szCs w:val="20"/>
                <w:lang w:eastAsia="cs-CZ"/>
              </w:rPr>
              <w:t>Veřejnost</w:t>
            </w:r>
          </w:p>
        </w:tc>
      </w:tr>
      <w:tr w:rsidR="00EB7397" w:rsidRPr="007A0D35" w:rsidTr="00160164">
        <w:trPr>
          <w:trHeight w:val="397"/>
        </w:trPr>
        <w:tc>
          <w:tcPr>
            <w:tcW w:w="8954" w:type="dxa"/>
            <w:vAlign w:val="center"/>
          </w:tcPr>
          <w:p w:rsidR="00EB7397" w:rsidRPr="007A0D35" w:rsidRDefault="00EB7397" w:rsidP="00160164">
            <w:pPr>
              <w:spacing w:before="20" w:after="20"/>
              <w:jc w:val="left"/>
              <w:rPr>
                <w:rFonts w:eastAsia="MS Mincho"/>
                <w:sz w:val="20"/>
                <w:szCs w:val="20"/>
              </w:rPr>
            </w:pPr>
            <w:r w:rsidRPr="007A0D35">
              <w:rPr>
                <w:rFonts w:eastAsia="MS Mincho"/>
                <w:b/>
                <w:i/>
                <w:sz w:val="20"/>
                <w:szCs w:val="20"/>
              </w:rPr>
              <w:t>Přínosy</w:t>
            </w:r>
            <w:r w:rsidRPr="007A0D35">
              <w:rPr>
                <w:rFonts w:eastAsia="MS Mincho"/>
                <w:i/>
                <w:sz w:val="20"/>
                <w:szCs w:val="20"/>
              </w:rPr>
              <w:t xml:space="preserve"> </w:t>
            </w:r>
            <w:r w:rsidRPr="007A0D35">
              <w:rPr>
                <w:rFonts w:eastAsia="MS Mincho"/>
                <w:sz w:val="20"/>
                <w:szCs w:val="20"/>
              </w:rPr>
              <w:t>– V důsledku optimalizace nákladů na zpracování potenciálně pozitivní dopad na výši recyklačních poplatků</w:t>
            </w:r>
          </w:p>
        </w:tc>
      </w:tr>
    </w:tbl>
    <w:p w:rsidR="004D7A19" w:rsidRPr="00AD7ECA" w:rsidRDefault="004D7A19" w:rsidP="006F5445">
      <w:pPr>
        <w:rPr>
          <w:rFonts w:eastAsia="Calibri"/>
          <w:szCs w:val="22"/>
        </w:rPr>
      </w:pPr>
      <w:r w:rsidRPr="00876A14">
        <w:rPr>
          <w:rFonts w:eastAsia="Calibri"/>
          <w:szCs w:val="22"/>
        </w:rPr>
        <w:t>Zdroj: MPO</w:t>
      </w:r>
    </w:p>
    <w:p w:rsidR="002B1154" w:rsidRPr="00ED38E9" w:rsidRDefault="002B1154" w:rsidP="00F97AF3">
      <w:pPr>
        <w:pStyle w:val="Nadpis3"/>
      </w:pPr>
      <w:r w:rsidRPr="00ED38E9">
        <w:t>Vyhodnocení nákladů a přínosů</w:t>
      </w:r>
    </w:p>
    <w:p w:rsidR="00381DAB" w:rsidRPr="00ED38E9" w:rsidRDefault="00381DAB">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23</w:t>
      </w:r>
      <w:r w:rsidR="00381FB7" w:rsidRPr="00ED38E9">
        <w:rPr>
          <w:rFonts w:cs="Arial"/>
        </w:rPr>
        <w:fldChar w:fldCharType="end"/>
      </w:r>
      <w:r w:rsidRPr="00ED38E9">
        <w:rPr>
          <w:rFonts w:cs="Arial"/>
        </w:rPr>
        <w:t>: Porovnání nákladů a přínosů</w:t>
      </w:r>
    </w:p>
    <w:tbl>
      <w:tblPr>
        <w:tblStyle w:val="Mkatabulky"/>
        <w:tblW w:w="4994" w:type="pct"/>
        <w:jc w:val="center"/>
        <w:tblLook w:val="04A0" w:firstRow="1" w:lastRow="0" w:firstColumn="1" w:lastColumn="0" w:noHBand="0" w:noVBand="1"/>
      </w:tblPr>
      <w:tblGrid>
        <w:gridCol w:w="1545"/>
        <w:gridCol w:w="1546"/>
        <w:gridCol w:w="1546"/>
        <w:gridCol w:w="1546"/>
        <w:gridCol w:w="1547"/>
        <w:gridCol w:w="1547"/>
      </w:tblGrid>
      <w:tr w:rsidR="00D563B7" w:rsidRPr="006B6147" w:rsidTr="00160164">
        <w:trPr>
          <w:trHeight w:hRule="exact" w:val="227"/>
          <w:jc w:val="center"/>
        </w:trPr>
        <w:tc>
          <w:tcPr>
            <w:tcW w:w="833" w:type="pct"/>
            <w:vAlign w:val="center"/>
          </w:tcPr>
          <w:p w:rsidR="00D563B7" w:rsidRPr="006B6147" w:rsidRDefault="00D563B7" w:rsidP="00160164">
            <w:pPr>
              <w:jc w:val="center"/>
              <w:rPr>
                <w:rFonts w:cs="Arial"/>
                <w:sz w:val="14"/>
                <w:szCs w:val="16"/>
              </w:rPr>
            </w:pPr>
            <w:r w:rsidRPr="006B6147">
              <w:rPr>
                <w:rFonts w:cs="Arial"/>
                <w:sz w:val="14"/>
                <w:szCs w:val="16"/>
              </w:rPr>
              <w:t>Varianta</w:t>
            </w:r>
          </w:p>
        </w:tc>
        <w:tc>
          <w:tcPr>
            <w:tcW w:w="833" w:type="pct"/>
            <w:vAlign w:val="center"/>
          </w:tcPr>
          <w:p w:rsidR="00D563B7" w:rsidRPr="006B6147" w:rsidRDefault="00D563B7" w:rsidP="00160164">
            <w:pPr>
              <w:jc w:val="center"/>
              <w:rPr>
                <w:rFonts w:cs="Arial"/>
                <w:sz w:val="14"/>
                <w:szCs w:val="16"/>
              </w:rPr>
            </w:pPr>
            <w:r w:rsidRPr="006B6147">
              <w:rPr>
                <w:rFonts w:cs="Arial"/>
                <w:sz w:val="14"/>
                <w:szCs w:val="16"/>
              </w:rPr>
              <w:t>Stručný obsah</w:t>
            </w:r>
          </w:p>
        </w:tc>
        <w:tc>
          <w:tcPr>
            <w:tcW w:w="833" w:type="pct"/>
            <w:vAlign w:val="center"/>
          </w:tcPr>
          <w:p w:rsidR="00D563B7" w:rsidRPr="006B6147" w:rsidRDefault="00D563B7" w:rsidP="00160164">
            <w:pPr>
              <w:jc w:val="center"/>
              <w:rPr>
                <w:rFonts w:cs="Arial"/>
                <w:sz w:val="14"/>
                <w:szCs w:val="16"/>
              </w:rPr>
            </w:pPr>
            <w:r w:rsidRPr="006B6147">
              <w:rPr>
                <w:rFonts w:cs="Arial"/>
                <w:sz w:val="14"/>
                <w:szCs w:val="16"/>
              </w:rPr>
              <w:t>Přínosy</w:t>
            </w:r>
          </w:p>
        </w:tc>
        <w:tc>
          <w:tcPr>
            <w:tcW w:w="833" w:type="pct"/>
            <w:vAlign w:val="center"/>
          </w:tcPr>
          <w:p w:rsidR="00D563B7" w:rsidRPr="006B6147" w:rsidRDefault="00D563B7" w:rsidP="00160164">
            <w:pPr>
              <w:jc w:val="center"/>
              <w:rPr>
                <w:rFonts w:cs="Arial"/>
                <w:sz w:val="14"/>
                <w:szCs w:val="16"/>
              </w:rPr>
            </w:pPr>
            <w:r w:rsidRPr="006B6147">
              <w:rPr>
                <w:rFonts w:cs="Arial"/>
                <w:sz w:val="14"/>
                <w:szCs w:val="16"/>
              </w:rPr>
              <w:t>Hodnocení</w:t>
            </w:r>
          </w:p>
        </w:tc>
        <w:tc>
          <w:tcPr>
            <w:tcW w:w="834" w:type="pct"/>
            <w:vAlign w:val="center"/>
          </w:tcPr>
          <w:p w:rsidR="00D563B7" w:rsidRPr="006B6147" w:rsidRDefault="00D563B7" w:rsidP="00160164">
            <w:pPr>
              <w:jc w:val="center"/>
              <w:rPr>
                <w:rFonts w:cs="Arial"/>
                <w:sz w:val="14"/>
                <w:szCs w:val="16"/>
              </w:rPr>
            </w:pPr>
            <w:r w:rsidRPr="006B6147">
              <w:rPr>
                <w:rFonts w:cs="Arial"/>
                <w:sz w:val="14"/>
                <w:szCs w:val="16"/>
              </w:rPr>
              <w:t>Náklady</w:t>
            </w:r>
          </w:p>
        </w:tc>
        <w:tc>
          <w:tcPr>
            <w:tcW w:w="834" w:type="pct"/>
            <w:vAlign w:val="center"/>
          </w:tcPr>
          <w:p w:rsidR="00D563B7" w:rsidRPr="006B6147" w:rsidRDefault="00D563B7" w:rsidP="00160164">
            <w:pPr>
              <w:jc w:val="center"/>
              <w:rPr>
                <w:rFonts w:cs="Arial"/>
                <w:sz w:val="14"/>
                <w:szCs w:val="16"/>
              </w:rPr>
            </w:pPr>
            <w:r w:rsidRPr="006B6147">
              <w:rPr>
                <w:rFonts w:cs="Arial"/>
                <w:sz w:val="14"/>
                <w:szCs w:val="16"/>
              </w:rPr>
              <w:t>Hodnocení</w:t>
            </w:r>
          </w:p>
        </w:tc>
      </w:tr>
      <w:tr w:rsidR="00D563B7" w:rsidRPr="006B6147" w:rsidTr="00160164">
        <w:trPr>
          <w:trHeight w:hRule="exact" w:val="227"/>
          <w:jc w:val="center"/>
        </w:trPr>
        <w:tc>
          <w:tcPr>
            <w:tcW w:w="833" w:type="pct"/>
            <w:vMerge w:val="restart"/>
            <w:vAlign w:val="center"/>
          </w:tcPr>
          <w:p w:rsidR="00D563B7" w:rsidRPr="006B6147" w:rsidRDefault="00D563B7" w:rsidP="00160164">
            <w:pPr>
              <w:jc w:val="center"/>
              <w:rPr>
                <w:rFonts w:cs="Arial"/>
                <w:sz w:val="14"/>
                <w:szCs w:val="16"/>
              </w:rPr>
            </w:pPr>
            <w:r>
              <w:rPr>
                <w:rFonts w:cs="Arial"/>
                <w:sz w:val="14"/>
                <w:szCs w:val="16"/>
              </w:rPr>
              <w:t>Varianta 0</w:t>
            </w:r>
          </w:p>
        </w:tc>
        <w:tc>
          <w:tcPr>
            <w:tcW w:w="833" w:type="pct"/>
            <w:vMerge w:val="restart"/>
            <w:vAlign w:val="center"/>
          </w:tcPr>
          <w:p w:rsidR="00D563B7" w:rsidRPr="006B6147" w:rsidRDefault="00D563B7" w:rsidP="00160164">
            <w:pPr>
              <w:jc w:val="center"/>
              <w:rPr>
                <w:rFonts w:cs="Arial"/>
                <w:sz w:val="14"/>
                <w:szCs w:val="16"/>
              </w:rPr>
            </w:pPr>
            <w:r>
              <w:rPr>
                <w:rFonts w:cs="Arial"/>
                <w:sz w:val="14"/>
                <w:szCs w:val="16"/>
              </w:rPr>
              <w:t>současný stav</w:t>
            </w: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Státní rozpočet a ostatní veřejné rozpočty</w:t>
            </w:r>
          </w:p>
        </w:tc>
      </w:tr>
      <w:tr w:rsidR="00D563B7" w:rsidRPr="006B6147" w:rsidTr="00160164">
        <w:trPr>
          <w:trHeight w:hRule="exact" w:val="55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p>
        </w:tc>
        <w:tc>
          <w:tcPr>
            <w:tcW w:w="834" w:type="pct"/>
            <w:vAlign w:val="center"/>
          </w:tcPr>
          <w:p w:rsidR="00D563B7" w:rsidRPr="006B6147" w:rsidRDefault="00D563B7" w:rsidP="00160164">
            <w:pPr>
              <w:jc w:val="center"/>
              <w:rPr>
                <w:rFonts w:cs="Arial"/>
                <w:sz w:val="14"/>
                <w:szCs w:val="16"/>
              </w:rPr>
            </w:pPr>
            <w:r>
              <w:rPr>
                <w:rFonts w:cs="Arial"/>
                <w:sz w:val="14"/>
                <w:szCs w:val="16"/>
              </w:rPr>
              <w:t>špatná kontrolovatelnost povinných osob</w:t>
            </w:r>
          </w:p>
        </w:tc>
        <w:tc>
          <w:tcPr>
            <w:tcW w:w="834" w:type="pct"/>
            <w:vAlign w:val="center"/>
          </w:tcPr>
          <w:p w:rsidR="00D563B7" w:rsidRPr="006B6147" w:rsidRDefault="00D563B7" w:rsidP="00160164">
            <w:pPr>
              <w:jc w:val="center"/>
              <w:rPr>
                <w:rFonts w:cs="Arial"/>
                <w:sz w:val="14"/>
                <w:szCs w:val="16"/>
              </w:rPr>
            </w:pPr>
            <w:r>
              <w:rPr>
                <w:rFonts w:cs="Arial"/>
                <w:sz w:val="14"/>
                <w:szCs w:val="16"/>
              </w:rPr>
              <w:t>***</w:t>
            </w: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Podnikatelské subjekty</w:t>
            </w:r>
          </w:p>
        </w:tc>
      </w:tr>
      <w:tr w:rsidR="00D563B7" w:rsidRPr="006B6147" w:rsidTr="00160164">
        <w:trPr>
          <w:trHeight w:hRule="exact" w:val="580"/>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p>
        </w:tc>
        <w:tc>
          <w:tcPr>
            <w:tcW w:w="834" w:type="pct"/>
            <w:vAlign w:val="center"/>
          </w:tcPr>
          <w:p w:rsidR="00D563B7" w:rsidRDefault="00D563B7" w:rsidP="00160164">
            <w:pPr>
              <w:jc w:val="center"/>
              <w:rPr>
                <w:rFonts w:cs="Arial"/>
                <w:sz w:val="14"/>
                <w:szCs w:val="16"/>
              </w:rPr>
            </w:pPr>
            <w:r>
              <w:rPr>
                <w:rFonts w:cs="Arial"/>
                <w:sz w:val="14"/>
                <w:szCs w:val="16"/>
              </w:rPr>
              <w:t>problematika získávání zakázek od KS</w:t>
            </w:r>
          </w:p>
          <w:p w:rsidR="00D563B7" w:rsidRDefault="00D563B7" w:rsidP="00160164">
            <w:pPr>
              <w:jc w:val="center"/>
              <w:rPr>
                <w:rFonts w:cs="Arial"/>
                <w:sz w:val="14"/>
                <w:szCs w:val="16"/>
              </w:rPr>
            </w:pPr>
          </w:p>
          <w:p w:rsidR="00D563B7" w:rsidRPr="006B6147" w:rsidRDefault="00D563B7" w:rsidP="00160164">
            <w:pPr>
              <w:jc w:val="center"/>
              <w:rPr>
                <w:rFonts w:cs="Arial"/>
                <w:sz w:val="14"/>
                <w:szCs w:val="16"/>
              </w:rPr>
            </w:pPr>
          </w:p>
        </w:tc>
        <w:tc>
          <w:tcPr>
            <w:tcW w:w="834" w:type="pct"/>
            <w:vAlign w:val="center"/>
          </w:tcPr>
          <w:p w:rsidR="00D563B7" w:rsidRPr="006B6147" w:rsidRDefault="00D563B7" w:rsidP="00160164">
            <w:pPr>
              <w:jc w:val="center"/>
              <w:rPr>
                <w:rFonts w:cs="Arial"/>
                <w:sz w:val="14"/>
                <w:szCs w:val="16"/>
              </w:rPr>
            </w:pPr>
            <w:r>
              <w:rPr>
                <w:rFonts w:cs="Arial"/>
                <w:sz w:val="14"/>
                <w:szCs w:val="16"/>
              </w:rPr>
              <w:t>****</w:t>
            </w: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Sociální dopady</w:t>
            </w:r>
          </w:p>
        </w:tc>
      </w:tr>
      <w:tr w:rsidR="00D563B7" w:rsidRPr="006B6147" w:rsidTr="00160164">
        <w:trPr>
          <w:trHeight w:hRule="exact" w:val="454"/>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p>
        </w:tc>
        <w:tc>
          <w:tcPr>
            <w:tcW w:w="834" w:type="pct"/>
            <w:vAlign w:val="center"/>
          </w:tcPr>
          <w:p w:rsidR="00D563B7" w:rsidRPr="006B6147" w:rsidRDefault="00D563B7" w:rsidP="00160164">
            <w:pPr>
              <w:jc w:val="center"/>
              <w:rPr>
                <w:rFonts w:cs="Arial"/>
                <w:sz w:val="14"/>
                <w:szCs w:val="16"/>
              </w:rPr>
            </w:pPr>
            <w:r>
              <w:rPr>
                <w:rFonts w:cs="Arial"/>
                <w:sz w:val="14"/>
                <w:szCs w:val="16"/>
              </w:rPr>
              <w:t>nelze objektivně zhodnotit</w:t>
            </w:r>
          </w:p>
        </w:tc>
        <w:tc>
          <w:tcPr>
            <w:tcW w:w="834" w:type="pct"/>
            <w:vAlign w:val="center"/>
          </w:tcPr>
          <w:p w:rsidR="00D563B7" w:rsidRPr="006B6147" w:rsidRDefault="00D563B7" w:rsidP="00160164">
            <w:pPr>
              <w:jc w:val="center"/>
              <w:rPr>
                <w:rFonts w:cs="Arial"/>
                <w:sz w:val="14"/>
                <w:szCs w:val="16"/>
              </w:rPr>
            </w:pP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Životní prostředí</w:t>
            </w:r>
          </w:p>
        </w:tc>
      </w:tr>
      <w:tr w:rsidR="00D563B7" w:rsidRPr="006B6147" w:rsidTr="00160164">
        <w:trPr>
          <w:trHeight w:hRule="exact" w:val="454"/>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p>
        </w:tc>
        <w:tc>
          <w:tcPr>
            <w:tcW w:w="834" w:type="pct"/>
            <w:vAlign w:val="center"/>
          </w:tcPr>
          <w:p w:rsidR="00D563B7" w:rsidRPr="006B6147" w:rsidRDefault="00D563B7" w:rsidP="00160164">
            <w:pPr>
              <w:jc w:val="center"/>
              <w:rPr>
                <w:rFonts w:cs="Arial"/>
                <w:sz w:val="14"/>
                <w:szCs w:val="16"/>
              </w:rPr>
            </w:pPr>
            <w:r>
              <w:rPr>
                <w:rFonts w:cs="Arial"/>
                <w:sz w:val="14"/>
                <w:szCs w:val="16"/>
              </w:rPr>
              <w:t>nelze objektivně zhodnotit</w:t>
            </w:r>
          </w:p>
        </w:tc>
        <w:tc>
          <w:tcPr>
            <w:tcW w:w="834" w:type="pct"/>
            <w:vAlign w:val="center"/>
          </w:tcPr>
          <w:p w:rsidR="00D563B7" w:rsidRPr="006B6147" w:rsidRDefault="00D563B7" w:rsidP="00160164">
            <w:pPr>
              <w:jc w:val="center"/>
              <w:rPr>
                <w:rFonts w:cs="Arial"/>
                <w:sz w:val="14"/>
                <w:szCs w:val="16"/>
              </w:rPr>
            </w:pPr>
          </w:p>
        </w:tc>
      </w:tr>
      <w:tr w:rsidR="00D563B7" w:rsidRPr="006B6147" w:rsidTr="00160164">
        <w:trPr>
          <w:trHeight w:hRule="exact" w:val="227"/>
          <w:jc w:val="center"/>
        </w:trPr>
        <w:tc>
          <w:tcPr>
            <w:tcW w:w="833" w:type="pct"/>
            <w:vMerge w:val="restart"/>
            <w:vAlign w:val="center"/>
          </w:tcPr>
          <w:p w:rsidR="00D563B7" w:rsidRPr="006B6147" w:rsidRDefault="00D563B7" w:rsidP="00160164">
            <w:pPr>
              <w:jc w:val="center"/>
              <w:rPr>
                <w:rFonts w:cs="Arial"/>
                <w:sz w:val="14"/>
                <w:szCs w:val="16"/>
              </w:rPr>
            </w:pPr>
            <w:r>
              <w:rPr>
                <w:rFonts w:cs="Arial"/>
                <w:sz w:val="14"/>
                <w:szCs w:val="16"/>
              </w:rPr>
              <w:t>Varianta 1</w:t>
            </w:r>
          </w:p>
        </w:tc>
        <w:tc>
          <w:tcPr>
            <w:tcW w:w="833" w:type="pct"/>
            <w:vMerge w:val="restart"/>
            <w:vAlign w:val="center"/>
          </w:tcPr>
          <w:p w:rsidR="00D563B7" w:rsidRPr="006B6147" w:rsidRDefault="00D563B7" w:rsidP="00160164">
            <w:pPr>
              <w:jc w:val="center"/>
              <w:rPr>
                <w:rFonts w:cs="Arial"/>
                <w:sz w:val="14"/>
                <w:szCs w:val="16"/>
              </w:rPr>
            </w:pPr>
            <w:r>
              <w:rPr>
                <w:rFonts w:cs="Arial"/>
                <w:sz w:val="14"/>
                <w:szCs w:val="16"/>
              </w:rPr>
              <w:t>komoditní burza + tzv. "chráněné dílny"</w:t>
            </w: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Státní rozpočet a ostatní veřejné rozpočty</w:t>
            </w:r>
          </w:p>
        </w:tc>
      </w:tr>
      <w:tr w:rsidR="00D563B7" w:rsidRPr="006B6147" w:rsidTr="00160164">
        <w:trPr>
          <w:trHeight w:hRule="exact" w:val="454"/>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r>
              <w:rPr>
                <w:rFonts w:cs="Arial"/>
                <w:sz w:val="14"/>
                <w:szCs w:val="16"/>
              </w:rPr>
              <w:t>státní dohled nad komoditní burzou</w:t>
            </w:r>
          </w:p>
        </w:tc>
        <w:tc>
          <w:tcPr>
            <w:tcW w:w="833" w:type="pct"/>
            <w:vAlign w:val="center"/>
          </w:tcPr>
          <w:p w:rsidR="00D563B7" w:rsidRPr="006B6147" w:rsidRDefault="00D563B7" w:rsidP="00160164">
            <w:pPr>
              <w:jc w:val="center"/>
              <w:rPr>
                <w:rFonts w:cs="Arial"/>
                <w:sz w:val="14"/>
                <w:szCs w:val="16"/>
              </w:rPr>
            </w:pPr>
            <w:r>
              <w:rPr>
                <w:rFonts w:cs="Arial"/>
                <w:sz w:val="14"/>
                <w:szCs w:val="16"/>
              </w:rPr>
              <w:t>****</w:t>
            </w:r>
          </w:p>
        </w:tc>
        <w:tc>
          <w:tcPr>
            <w:tcW w:w="834" w:type="pct"/>
            <w:vAlign w:val="center"/>
          </w:tcPr>
          <w:p w:rsidR="00D563B7" w:rsidRPr="006B6147" w:rsidRDefault="00D563B7" w:rsidP="00160164">
            <w:pPr>
              <w:jc w:val="center"/>
              <w:rPr>
                <w:rFonts w:cs="Arial"/>
                <w:sz w:val="14"/>
                <w:szCs w:val="16"/>
              </w:rPr>
            </w:pPr>
            <w:r>
              <w:rPr>
                <w:rFonts w:cs="Arial"/>
                <w:sz w:val="14"/>
                <w:szCs w:val="16"/>
              </w:rPr>
              <w:t>výkon dozoru nad komoditní burzou</w:t>
            </w:r>
          </w:p>
        </w:tc>
        <w:tc>
          <w:tcPr>
            <w:tcW w:w="834" w:type="pct"/>
            <w:vAlign w:val="center"/>
          </w:tcPr>
          <w:p w:rsidR="00D563B7" w:rsidRPr="006B6147" w:rsidRDefault="00D563B7" w:rsidP="00160164">
            <w:pPr>
              <w:jc w:val="center"/>
              <w:rPr>
                <w:rFonts w:cs="Arial"/>
                <w:sz w:val="14"/>
                <w:szCs w:val="16"/>
              </w:rPr>
            </w:pPr>
            <w:r>
              <w:rPr>
                <w:rFonts w:cs="Arial"/>
                <w:sz w:val="14"/>
                <w:szCs w:val="16"/>
              </w:rPr>
              <w:t>*</w:t>
            </w: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Podnikatelské subjekty</w:t>
            </w:r>
          </w:p>
        </w:tc>
      </w:tr>
      <w:tr w:rsidR="00D563B7" w:rsidRPr="006B6147" w:rsidTr="00160164">
        <w:trPr>
          <w:trHeight w:hRule="exact" w:val="1192"/>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Default="00D563B7" w:rsidP="00160164">
            <w:pPr>
              <w:jc w:val="center"/>
              <w:rPr>
                <w:rFonts w:cs="Arial"/>
                <w:sz w:val="14"/>
                <w:szCs w:val="16"/>
              </w:rPr>
            </w:pPr>
            <w:r>
              <w:rPr>
                <w:rFonts w:cs="Arial"/>
                <w:sz w:val="14"/>
                <w:szCs w:val="16"/>
              </w:rPr>
              <w:t xml:space="preserve">transparentní prostředí při obchodování s komoditami, zvýšené příjmy z obchodování pro KS </w:t>
            </w:r>
          </w:p>
          <w:p w:rsidR="00D563B7" w:rsidRPr="006B6147" w:rsidRDefault="00D563B7" w:rsidP="00160164">
            <w:pPr>
              <w:jc w:val="center"/>
              <w:rPr>
                <w:rFonts w:cs="Arial"/>
                <w:sz w:val="14"/>
                <w:szCs w:val="16"/>
              </w:rPr>
            </w:pPr>
          </w:p>
        </w:tc>
        <w:tc>
          <w:tcPr>
            <w:tcW w:w="833" w:type="pct"/>
            <w:vAlign w:val="center"/>
          </w:tcPr>
          <w:p w:rsidR="00D563B7" w:rsidRDefault="00D563B7" w:rsidP="00160164">
            <w:pPr>
              <w:jc w:val="center"/>
              <w:rPr>
                <w:rFonts w:cs="Arial"/>
                <w:sz w:val="14"/>
                <w:szCs w:val="16"/>
              </w:rPr>
            </w:pPr>
            <w:r>
              <w:rPr>
                <w:rFonts w:cs="Arial"/>
                <w:sz w:val="14"/>
                <w:szCs w:val="16"/>
              </w:rPr>
              <w:t>****</w:t>
            </w:r>
          </w:p>
          <w:p w:rsidR="00D563B7" w:rsidRPr="006B6147" w:rsidRDefault="00D563B7" w:rsidP="00160164">
            <w:pPr>
              <w:jc w:val="center"/>
              <w:rPr>
                <w:rFonts w:cs="Arial"/>
                <w:sz w:val="14"/>
                <w:szCs w:val="16"/>
              </w:rPr>
            </w:pPr>
            <w:r>
              <w:rPr>
                <w:rFonts w:cs="Arial"/>
                <w:sz w:val="14"/>
                <w:szCs w:val="16"/>
              </w:rPr>
              <w:t>1,6 mil. Kč/KS OEEZ</w:t>
            </w:r>
          </w:p>
        </w:tc>
        <w:tc>
          <w:tcPr>
            <w:tcW w:w="834" w:type="pct"/>
            <w:vAlign w:val="center"/>
          </w:tcPr>
          <w:p w:rsidR="00D563B7" w:rsidRPr="006B6147" w:rsidRDefault="00D563B7" w:rsidP="00160164">
            <w:pPr>
              <w:rPr>
                <w:rFonts w:cs="Arial"/>
                <w:sz w:val="14"/>
                <w:szCs w:val="16"/>
              </w:rPr>
            </w:pPr>
            <w:r>
              <w:rPr>
                <w:rFonts w:cs="Arial"/>
                <w:sz w:val="14"/>
                <w:szCs w:val="16"/>
              </w:rPr>
              <w:t>náklady spojené s nároky na transparentnost obchodování</w:t>
            </w:r>
          </w:p>
        </w:tc>
        <w:tc>
          <w:tcPr>
            <w:tcW w:w="834" w:type="pct"/>
            <w:vAlign w:val="center"/>
          </w:tcPr>
          <w:p w:rsidR="00D563B7" w:rsidRPr="006B6147" w:rsidRDefault="00D563B7" w:rsidP="00160164">
            <w:pPr>
              <w:jc w:val="center"/>
              <w:rPr>
                <w:rFonts w:cs="Arial"/>
                <w:sz w:val="14"/>
                <w:szCs w:val="16"/>
              </w:rPr>
            </w:pPr>
            <w:r>
              <w:rPr>
                <w:rFonts w:cs="Arial"/>
                <w:sz w:val="14"/>
                <w:szCs w:val="16"/>
              </w:rPr>
              <w:t>**</w:t>
            </w: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Sociální dopady</w:t>
            </w:r>
          </w:p>
        </w:tc>
      </w:tr>
      <w:tr w:rsidR="00D563B7" w:rsidRPr="006B6147" w:rsidTr="00160164">
        <w:trPr>
          <w:trHeight w:hRule="exact" w:val="759"/>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7E1B51" w:rsidRDefault="00D563B7" w:rsidP="00160164">
            <w:pPr>
              <w:jc w:val="center"/>
              <w:rPr>
                <w:rFonts w:cs="Arial"/>
                <w:sz w:val="14"/>
                <w:szCs w:val="16"/>
              </w:rPr>
            </w:pPr>
            <w:r w:rsidRPr="007E1B51">
              <w:rPr>
                <w:sz w:val="14"/>
                <w:szCs w:val="20"/>
              </w:rPr>
              <w:t>příležitost zaměstnání osob se zdravotním postižením</w:t>
            </w:r>
          </w:p>
        </w:tc>
        <w:tc>
          <w:tcPr>
            <w:tcW w:w="833" w:type="pct"/>
            <w:vAlign w:val="center"/>
          </w:tcPr>
          <w:p w:rsidR="00D563B7" w:rsidRPr="006B6147" w:rsidRDefault="00D563B7" w:rsidP="00160164">
            <w:pPr>
              <w:jc w:val="center"/>
              <w:rPr>
                <w:rFonts w:cs="Arial"/>
                <w:sz w:val="14"/>
                <w:szCs w:val="16"/>
              </w:rPr>
            </w:pPr>
            <w:r>
              <w:rPr>
                <w:rFonts w:cs="Arial"/>
                <w:sz w:val="14"/>
                <w:szCs w:val="16"/>
              </w:rPr>
              <w:t>*****</w:t>
            </w:r>
          </w:p>
        </w:tc>
        <w:tc>
          <w:tcPr>
            <w:tcW w:w="834" w:type="pct"/>
            <w:vAlign w:val="center"/>
          </w:tcPr>
          <w:p w:rsidR="00D563B7" w:rsidRPr="006B6147" w:rsidRDefault="00D563B7" w:rsidP="00160164">
            <w:pPr>
              <w:jc w:val="center"/>
              <w:rPr>
                <w:rFonts w:cs="Arial"/>
                <w:sz w:val="14"/>
                <w:szCs w:val="16"/>
              </w:rPr>
            </w:pPr>
          </w:p>
        </w:tc>
        <w:tc>
          <w:tcPr>
            <w:tcW w:w="834" w:type="pct"/>
            <w:vAlign w:val="center"/>
          </w:tcPr>
          <w:p w:rsidR="00D563B7" w:rsidRPr="006B6147" w:rsidRDefault="00D563B7" w:rsidP="00160164">
            <w:pPr>
              <w:jc w:val="center"/>
              <w:rPr>
                <w:rFonts w:cs="Arial"/>
                <w:sz w:val="14"/>
                <w:szCs w:val="16"/>
              </w:rPr>
            </w:pP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Životní prostředí</w:t>
            </w:r>
          </w:p>
        </w:tc>
      </w:tr>
      <w:tr w:rsidR="00D563B7" w:rsidRPr="006B6147" w:rsidTr="00160164">
        <w:trPr>
          <w:trHeight w:hRule="exact" w:val="454"/>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r>
              <w:rPr>
                <w:sz w:val="14"/>
              </w:rPr>
              <w:t>podpora</w:t>
            </w:r>
            <w:r w:rsidRPr="007E1B51">
              <w:rPr>
                <w:sz w:val="14"/>
              </w:rPr>
              <w:t xml:space="preserve"> oběhového hospodářství</w:t>
            </w:r>
          </w:p>
        </w:tc>
        <w:tc>
          <w:tcPr>
            <w:tcW w:w="833" w:type="pct"/>
            <w:vAlign w:val="center"/>
          </w:tcPr>
          <w:p w:rsidR="00D563B7" w:rsidRPr="006B6147" w:rsidRDefault="00D563B7" w:rsidP="00160164">
            <w:pPr>
              <w:jc w:val="center"/>
              <w:rPr>
                <w:rFonts w:cs="Arial"/>
                <w:sz w:val="14"/>
                <w:szCs w:val="16"/>
              </w:rPr>
            </w:pPr>
            <w:r>
              <w:rPr>
                <w:rFonts w:cs="Arial"/>
                <w:sz w:val="14"/>
                <w:szCs w:val="16"/>
              </w:rPr>
              <w:t>***</w:t>
            </w:r>
          </w:p>
        </w:tc>
        <w:tc>
          <w:tcPr>
            <w:tcW w:w="834" w:type="pct"/>
            <w:vAlign w:val="center"/>
          </w:tcPr>
          <w:p w:rsidR="00D563B7" w:rsidRPr="006B6147" w:rsidRDefault="00D563B7" w:rsidP="00160164">
            <w:pPr>
              <w:jc w:val="center"/>
              <w:rPr>
                <w:rFonts w:cs="Arial"/>
                <w:sz w:val="14"/>
                <w:szCs w:val="16"/>
              </w:rPr>
            </w:pPr>
            <w:r>
              <w:rPr>
                <w:rFonts w:cs="Arial"/>
                <w:sz w:val="14"/>
                <w:szCs w:val="16"/>
              </w:rPr>
              <w:t>nelze objektivně zhodnotit</w:t>
            </w:r>
          </w:p>
        </w:tc>
        <w:tc>
          <w:tcPr>
            <w:tcW w:w="834" w:type="pct"/>
            <w:vAlign w:val="center"/>
          </w:tcPr>
          <w:p w:rsidR="00D563B7" w:rsidRPr="006B6147" w:rsidRDefault="00D563B7" w:rsidP="00160164">
            <w:pPr>
              <w:jc w:val="center"/>
              <w:rPr>
                <w:rFonts w:cs="Arial"/>
                <w:sz w:val="14"/>
                <w:szCs w:val="16"/>
              </w:rPr>
            </w:pP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Ostatní</w:t>
            </w:r>
          </w:p>
        </w:tc>
      </w:tr>
      <w:tr w:rsidR="00D563B7" w:rsidRPr="006B6147" w:rsidTr="00160164">
        <w:trPr>
          <w:trHeight w:hRule="exact" w:val="528"/>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r>
              <w:rPr>
                <w:rFonts w:cs="Arial"/>
                <w:sz w:val="14"/>
                <w:szCs w:val="16"/>
              </w:rPr>
              <w:t>pozitivní dopad na snížení recyklačních příspěvků</w:t>
            </w:r>
          </w:p>
        </w:tc>
        <w:tc>
          <w:tcPr>
            <w:tcW w:w="833" w:type="pct"/>
            <w:vAlign w:val="center"/>
          </w:tcPr>
          <w:p w:rsidR="00D563B7" w:rsidRPr="006B6147" w:rsidRDefault="00D563B7" w:rsidP="00160164">
            <w:pPr>
              <w:jc w:val="center"/>
              <w:rPr>
                <w:rFonts w:cs="Arial"/>
                <w:sz w:val="14"/>
                <w:szCs w:val="16"/>
              </w:rPr>
            </w:pPr>
            <w:r>
              <w:rPr>
                <w:rFonts w:cs="Arial"/>
                <w:sz w:val="14"/>
                <w:szCs w:val="16"/>
              </w:rPr>
              <w:t>***</w:t>
            </w:r>
          </w:p>
        </w:tc>
        <w:tc>
          <w:tcPr>
            <w:tcW w:w="834" w:type="pct"/>
            <w:vAlign w:val="center"/>
          </w:tcPr>
          <w:p w:rsidR="00D563B7" w:rsidRPr="006B6147" w:rsidRDefault="00D563B7" w:rsidP="00160164">
            <w:pPr>
              <w:jc w:val="center"/>
              <w:rPr>
                <w:rFonts w:cs="Arial"/>
                <w:sz w:val="14"/>
                <w:szCs w:val="16"/>
              </w:rPr>
            </w:pPr>
          </w:p>
        </w:tc>
        <w:tc>
          <w:tcPr>
            <w:tcW w:w="834" w:type="pct"/>
            <w:vAlign w:val="center"/>
          </w:tcPr>
          <w:p w:rsidR="00D563B7" w:rsidRPr="006B6147" w:rsidRDefault="00D563B7" w:rsidP="00160164">
            <w:pPr>
              <w:jc w:val="center"/>
              <w:rPr>
                <w:rFonts w:cs="Arial"/>
                <w:sz w:val="14"/>
                <w:szCs w:val="16"/>
              </w:rPr>
            </w:pPr>
          </w:p>
        </w:tc>
      </w:tr>
      <w:tr w:rsidR="00D563B7" w:rsidRPr="006B6147" w:rsidTr="00160164">
        <w:trPr>
          <w:trHeight w:hRule="exact" w:val="227"/>
          <w:jc w:val="center"/>
        </w:trPr>
        <w:tc>
          <w:tcPr>
            <w:tcW w:w="833" w:type="pct"/>
            <w:vMerge w:val="restart"/>
            <w:vAlign w:val="center"/>
          </w:tcPr>
          <w:p w:rsidR="00D563B7" w:rsidRPr="006B6147" w:rsidRDefault="00D563B7" w:rsidP="00160164">
            <w:pPr>
              <w:jc w:val="center"/>
              <w:rPr>
                <w:rFonts w:cs="Arial"/>
                <w:sz w:val="14"/>
                <w:szCs w:val="16"/>
              </w:rPr>
            </w:pPr>
            <w:r>
              <w:rPr>
                <w:rFonts w:cs="Arial"/>
                <w:sz w:val="14"/>
                <w:szCs w:val="16"/>
              </w:rPr>
              <w:t>Varianta 2</w:t>
            </w:r>
          </w:p>
        </w:tc>
        <w:tc>
          <w:tcPr>
            <w:tcW w:w="833" w:type="pct"/>
            <w:vMerge w:val="restart"/>
            <w:vAlign w:val="center"/>
          </w:tcPr>
          <w:p w:rsidR="00D563B7" w:rsidRPr="006B6147" w:rsidRDefault="00D563B7" w:rsidP="00160164">
            <w:pPr>
              <w:jc w:val="center"/>
              <w:rPr>
                <w:rFonts w:cs="Arial"/>
                <w:sz w:val="14"/>
                <w:szCs w:val="16"/>
              </w:rPr>
            </w:pPr>
            <w:r>
              <w:rPr>
                <w:rFonts w:cs="Arial"/>
                <w:sz w:val="14"/>
                <w:szCs w:val="16"/>
              </w:rPr>
              <w:t>volitelně komoditní burza nebo vyhlášení soutěže o nejvhodnější nabídku + tzv. "chráněné dílny"</w:t>
            </w: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Státní rozpočet a ostatní veřejné rozpočty</w:t>
            </w:r>
          </w:p>
        </w:tc>
      </w:tr>
      <w:tr w:rsidR="00D563B7" w:rsidRPr="006B6147" w:rsidTr="00160164">
        <w:trPr>
          <w:trHeight w:hRule="exact" w:val="454"/>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r>
              <w:rPr>
                <w:rFonts w:cs="Arial"/>
                <w:sz w:val="14"/>
                <w:szCs w:val="16"/>
              </w:rPr>
              <w:t>státní dohled nad komoditní burzou</w:t>
            </w:r>
          </w:p>
        </w:tc>
        <w:tc>
          <w:tcPr>
            <w:tcW w:w="833" w:type="pct"/>
            <w:vAlign w:val="center"/>
          </w:tcPr>
          <w:p w:rsidR="00D563B7" w:rsidRPr="006B6147" w:rsidRDefault="00D563B7" w:rsidP="00160164">
            <w:pPr>
              <w:jc w:val="center"/>
              <w:rPr>
                <w:rFonts w:cs="Arial"/>
                <w:sz w:val="14"/>
                <w:szCs w:val="16"/>
              </w:rPr>
            </w:pPr>
            <w:r>
              <w:rPr>
                <w:rFonts w:cs="Arial"/>
                <w:sz w:val="14"/>
                <w:szCs w:val="16"/>
              </w:rPr>
              <w:t>****</w:t>
            </w:r>
          </w:p>
        </w:tc>
        <w:tc>
          <w:tcPr>
            <w:tcW w:w="834" w:type="pct"/>
            <w:vAlign w:val="center"/>
          </w:tcPr>
          <w:p w:rsidR="00D563B7" w:rsidRPr="006B6147" w:rsidRDefault="00D563B7" w:rsidP="00160164">
            <w:pPr>
              <w:jc w:val="center"/>
              <w:rPr>
                <w:rFonts w:cs="Arial"/>
                <w:sz w:val="14"/>
                <w:szCs w:val="16"/>
              </w:rPr>
            </w:pPr>
            <w:r>
              <w:rPr>
                <w:rFonts w:cs="Arial"/>
                <w:sz w:val="14"/>
                <w:szCs w:val="16"/>
              </w:rPr>
              <w:t>výkon dozoru nad komoditní burzou</w:t>
            </w:r>
          </w:p>
        </w:tc>
        <w:tc>
          <w:tcPr>
            <w:tcW w:w="834" w:type="pct"/>
            <w:vAlign w:val="center"/>
          </w:tcPr>
          <w:p w:rsidR="00D563B7" w:rsidRPr="006B6147" w:rsidRDefault="00D563B7" w:rsidP="00160164">
            <w:pPr>
              <w:jc w:val="center"/>
              <w:rPr>
                <w:rFonts w:cs="Arial"/>
                <w:sz w:val="14"/>
                <w:szCs w:val="16"/>
              </w:rPr>
            </w:pPr>
            <w:r>
              <w:rPr>
                <w:rFonts w:cs="Arial"/>
                <w:sz w:val="14"/>
                <w:szCs w:val="16"/>
              </w:rPr>
              <w:t>*</w:t>
            </w: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Podnikatelské subjekty</w:t>
            </w:r>
          </w:p>
        </w:tc>
      </w:tr>
      <w:tr w:rsidR="00D563B7" w:rsidRPr="006B6147" w:rsidTr="00160164">
        <w:trPr>
          <w:trHeight w:hRule="exact" w:val="1388"/>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Default="00D563B7" w:rsidP="00160164">
            <w:pPr>
              <w:jc w:val="center"/>
              <w:rPr>
                <w:rFonts w:cs="Arial"/>
                <w:sz w:val="14"/>
                <w:szCs w:val="16"/>
              </w:rPr>
            </w:pPr>
            <w:r>
              <w:rPr>
                <w:rFonts w:cs="Arial"/>
                <w:sz w:val="14"/>
                <w:szCs w:val="16"/>
              </w:rPr>
              <w:t>transparentní prostředí při obchodování s komoditami, zvýšené příjmy z obchodování pro KS, možnost volby</w:t>
            </w:r>
          </w:p>
          <w:p w:rsidR="00D563B7" w:rsidRPr="006B6147" w:rsidRDefault="00D563B7" w:rsidP="00160164">
            <w:pPr>
              <w:jc w:val="center"/>
              <w:rPr>
                <w:rFonts w:cs="Arial"/>
                <w:sz w:val="14"/>
                <w:szCs w:val="16"/>
              </w:rPr>
            </w:pPr>
          </w:p>
        </w:tc>
        <w:tc>
          <w:tcPr>
            <w:tcW w:w="833" w:type="pct"/>
            <w:vAlign w:val="center"/>
          </w:tcPr>
          <w:p w:rsidR="00D563B7" w:rsidRDefault="00D563B7" w:rsidP="00160164">
            <w:pPr>
              <w:jc w:val="center"/>
              <w:rPr>
                <w:rFonts w:cs="Arial"/>
                <w:sz w:val="14"/>
                <w:szCs w:val="16"/>
              </w:rPr>
            </w:pPr>
            <w:r>
              <w:rPr>
                <w:rFonts w:cs="Arial"/>
                <w:sz w:val="14"/>
                <w:szCs w:val="16"/>
              </w:rPr>
              <w:t>*****</w:t>
            </w:r>
          </w:p>
          <w:p w:rsidR="00D563B7" w:rsidRPr="006B6147" w:rsidRDefault="00D563B7" w:rsidP="00160164">
            <w:pPr>
              <w:jc w:val="center"/>
              <w:rPr>
                <w:rFonts w:cs="Arial"/>
                <w:sz w:val="14"/>
                <w:szCs w:val="16"/>
              </w:rPr>
            </w:pPr>
            <w:r>
              <w:rPr>
                <w:rFonts w:cs="Arial"/>
                <w:sz w:val="14"/>
                <w:szCs w:val="16"/>
              </w:rPr>
              <w:t>1,6 mil. Kč/KS OEEZ</w:t>
            </w:r>
          </w:p>
        </w:tc>
        <w:tc>
          <w:tcPr>
            <w:tcW w:w="834" w:type="pct"/>
            <w:vAlign w:val="center"/>
          </w:tcPr>
          <w:p w:rsidR="00D563B7" w:rsidRPr="006B6147" w:rsidRDefault="00D563B7" w:rsidP="00160164">
            <w:pPr>
              <w:rPr>
                <w:rFonts w:cs="Arial"/>
                <w:sz w:val="14"/>
                <w:szCs w:val="16"/>
              </w:rPr>
            </w:pPr>
            <w:r>
              <w:rPr>
                <w:rFonts w:cs="Arial"/>
                <w:sz w:val="14"/>
                <w:szCs w:val="16"/>
              </w:rPr>
              <w:t>náklady spojené s nároky na transparentnost obchodování</w:t>
            </w:r>
          </w:p>
        </w:tc>
        <w:tc>
          <w:tcPr>
            <w:tcW w:w="834" w:type="pct"/>
            <w:vAlign w:val="center"/>
          </w:tcPr>
          <w:p w:rsidR="00D563B7" w:rsidRPr="006B6147" w:rsidRDefault="00D563B7" w:rsidP="00160164">
            <w:pPr>
              <w:jc w:val="center"/>
              <w:rPr>
                <w:rFonts w:cs="Arial"/>
                <w:sz w:val="14"/>
                <w:szCs w:val="16"/>
              </w:rPr>
            </w:pPr>
            <w:r>
              <w:rPr>
                <w:rFonts w:cs="Arial"/>
                <w:sz w:val="14"/>
                <w:szCs w:val="16"/>
              </w:rPr>
              <w:t>**</w:t>
            </w: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Sociální dopady</w:t>
            </w:r>
          </w:p>
        </w:tc>
      </w:tr>
      <w:tr w:rsidR="00D563B7" w:rsidRPr="006B6147" w:rsidTr="00160164">
        <w:trPr>
          <w:trHeight w:hRule="exact" w:val="811"/>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7E1B51" w:rsidRDefault="00D563B7" w:rsidP="00160164">
            <w:pPr>
              <w:jc w:val="center"/>
              <w:rPr>
                <w:rFonts w:cs="Arial"/>
                <w:sz w:val="14"/>
                <w:szCs w:val="16"/>
              </w:rPr>
            </w:pPr>
            <w:r w:rsidRPr="007E1B51">
              <w:rPr>
                <w:rFonts w:cs="Arial"/>
                <w:sz w:val="14"/>
                <w:szCs w:val="16"/>
              </w:rPr>
              <w:t xml:space="preserve">příležitost zaměstnání osob se </w:t>
            </w:r>
            <w:r w:rsidRPr="007E1B51">
              <w:rPr>
                <w:sz w:val="14"/>
                <w:szCs w:val="16"/>
              </w:rPr>
              <w:t>zdravotním postižením</w:t>
            </w:r>
          </w:p>
        </w:tc>
        <w:tc>
          <w:tcPr>
            <w:tcW w:w="833" w:type="pct"/>
            <w:vAlign w:val="center"/>
          </w:tcPr>
          <w:p w:rsidR="00D563B7" w:rsidRPr="006B6147" w:rsidRDefault="00D563B7" w:rsidP="00160164">
            <w:pPr>
              <w:jc w:val="center"/>
              <w:rPr>
                <w:rFonts w:cs="Arial"/>
                <w:sz w:val="14"/>
                <w:szCs w:val="16"/>
              </w:rPr>
            </w:pPr>
            <w:r>
              <w:rPr>
                <w:rFonts w:cs="Arial"/>
                <w:sz w:val="14"/>
                <w:szCs w:val="16"/>
              </w:rPr>
              <w:t>*****</w:t>
            </w:r>
          </w:p>
        </w:tc>
        <w:tc>
          <w:tcPr>
            <w:tcW w:w="834" w:type="pct"/>
            <w:vAlign w:val="center"/>
          </w:tcPr>
          <w:p w:rsidR="00D563B7" w:rsidRPr="006B6147" w:rsidRDefault="00D563B7" w:rsidP="00160164">
            <w:pPr>
              <w:jc w:val="center"/>
              <w:rPr>
                <w:rFonts w:cs="Arial"/>
                <w:sz w:val="14"/>
                <w:szCs w:val="16"/>
              </w:rPr>
            </w:pPr>
          </w:p>
        </w:tc>
        <w:tc>
          <w:tcPr>
            <w:tcW w:w="834" w:type="pct"/>
            <w:vAlign w:val="center"/>
          </w:tcPr>
          <w:p w:rsidR="00D563B7" w:rsidRPr="006B6147" w:rsidRDefault="00D563B7" w:rsidP="00160164">
            <w:pPr>
              <w:jc w:val="center"/>
              <w:rPr>
                <w:rFonts w:cs="Arial"/>
                <w:sz w:val="14"/>
                <w:szCs w:val="16"/>
              </w:rPr>
            </w:pP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Životní prostředí</w:t>
            </w:r>
          </w:p>
        </w:tc>
      </w:tr>
      <w:tr w:rsidR="00D563B7" w:rsidRPr="006B6147" w:rsidTr="00160164">
        <w:trPr>
          <w:trHeight w:hRule="exact" w:val="454"/>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833" w:type="pct"/>
            <w:vAlign w:val="center"/>
          </w:tcPr>
          <w:p w:rsidR="00D563B7" w:rsidRPr="006B6147" w:rsidRDefault="00D563B7" w:rsidP="00160164">
            <w:pPr>
              <w:jc w:val="center"/>
              <w:rPr>
                <w:rFonts w:cs="Arial"/>
                <w:sz w:val="14"/>
                <w:szCs w:val="16"/>
              </w:rPr>
            </w:pPr>
            <w:r>
              <w:rPr>
                <w:sz w:val="14"/>
              </w:rPr>
              <w:t>podpora</w:t>
            </w:r>
            <w:r w:rsidRPr="007E1B51">
              <w:rPr>
                <w:sz w:val="14"/>
              </w:rPr>
              <w:t xml:space="preserve"> oběhového hospodářství</w:t>
            </w:r>
          </w:p>
        </w:tc>
        <w:tc>
          <w:tcPr>
            <w:tcW w:w="833" w:type="pct"/>
            <w:vAlign w:val="center"/>
          </w:tcPr>
          <w:p w:rsidR="00D563B7" w:rsidRPr="006B6147" w:rsidRDefault="00D563B7" w:rsidP="00160164">
            <w:pPr>
              <w:jc w:val="center"/>
              <w:rPr>
                <w:rFonts w:cs="Arial"/>
                <w:sz w:val="14"/>
                <w:szCs w:val="16"/>
              </w:rPr>
            </w:pPr>
            <w:r>
              <w:rPr>
                <w:rFonts w:cs="Arial"/>
                <w:sz w:val="14"/>
                <w:szCs w:val="16"/>
              </w:rPr>
              <w:t>***</w:t>
            </w:r>
          </w:p>
        </w:tc>
        <w:tc>
          <w:tcPr>
            <w:tcW w:w="834" w:type="pct"/>
            <w:vAlign w:val="center"/>
          </w:tcPr>
          <w:p w:rsidR="00D563B7" w:rsidRPr="006B6147" w:rsidRDefault="00D563B7" w:rsidP="00160164">
            <w:pPr>
              <w:jc w:val="center"/>
              <w:rPr>
                <w:rFonts w:cs="Arial"/>
                <w:sz w:val="14"/>
                <w:szCs w:val="16"/>
              </w:rPr>
            </w:pPr>
            <w:r>
              <w:rPr>
                <w:rFonts w:cs="Arial"/>
                <w:sz w:val="14"/>
                <w:szCs w:val="16"/>
              </w:rPr>
              <w:t>nelze objektivně zhodnotit</w:t>
            </w:r>
          </w:p>
        </w:tc>
        <w:tc>
          <w:tcPr>
            <w:tcW w:w="834" w:type="pct"/>
            <w:vAlign w:val="center"/>
          </w:tcPr>
          <w:p w:rsidR="00D563B7" w:rsidRPr="006B6147" w:rsidRDefault="00D563B7" w:rsidP="00160164">
            <w:pPr>
              <w:jc w:val="center"/>
              <w:rPr>
                <w:rFonts w:cs="Arial"/>
                <w:sz w:val="14"/>
                <w:szCs w:val="16"/>
              </w:rPr>
            </w:pPr>
          </w:p>
        </w:tc>
      </w:tr>
      <w:tr w:rsidR="00D563B7" w:rsidRPr="006B6147" w:rsidTr="00160164">
        <w:trPr>
          <w:trHeight w:hRule="exact" w:val="227"/>
          <w:jc w:val="center"/>
        </w:trPr>
        <w:tc>
          <w:tcPr>
            <w:tcW w:w="833" w:type="pct"/>
            <w:vMerge/>
            <w:vAlign w:val="center"/>
          </w:tcPr>
          <w:p w:rsidR="00D563B7" w:rsidRPr="006B6147" w:rsidRDefault="00D563B7" w:rsidP="00160164">
            <w:pPr>
              <w:jc w:val="center"/>
              <w:rPr>
                <w:rFonts w:cs="Arial"/>
                <w:sz w:val="14"/>
                <w:szCs w:val="16"/>
              </w:rPr>
            </w:pPr>
          </w:p>
        </w:tc>
        <w:tc>
          <w:tcPr>
            <w:tcW w:w="833" w:type="pct"/>
            <w:vMerge/>
            <w:vAlign w:val="center"/>
          </w:tcPr>
          <w:p w:rsidR="00D563B7" w:rsidRPr="006B6147" w:rsidRDefault="00D563B7" w:rsidP="00160164">
            <w:pPr>
              <w:jc w:val="center"/>
              <w:rPr>
                <w:rFonts w:cs="Arial"/>
                <w:sz w:val="14"/>
                <w:szCs w:val="16"/>
              </w:rPr>
            </w:pPr>
          </w:p>
        </w:tc>
        <w:tc>
          <w:tcPr>
            <w:tcW w:w="3334" w:type="pct"/>
            <w:gridSpan w:val="4"/>
            <w:vAlign w:val="center"/>
          </w:tcPr>
          <w:p w:rsidR="00D563B7" w:rsidRPr="006B6147" w:rsidRDefault="00D563B7" w:rsidP="00160164">
            <w:pPr>
              <w:jc w:val="center"/>
              <w:rPr>
                <w:rFonts w:cs="Arial"/>
                <w:sz w:val="14"/>
                <w:szCs w:val="16"/>
              </w:rPr>
            </w:pPr>
            <w:r w:rsidRPr="006B6147">
              <w:rPr>
                <w:rFonts w:cs="Arial"/>
                <w:sz w:val="14"/>
                <w:szCs w:val="16"/>
              </w:rPr>
              <w:t>Ostatní</w:t>
            </w:r>
          </w:p>
          <w:p w:rsidR="00D563B7" w:rsidRPr="006B6147" w:rsidRDefault="00D563B7" w:rsidP="00160164">
            <w:pPr>
              <w:jc w:val="center"/>
              <w:rPr>
                <w:rFonts w:cs="Arial"/>
                <w:sz w:val="14"/>
                <w:szCs w:val="16"/>
              </w:rPr>
            </w:pPr>
            <w:r w:rsidRPr="006B6147">
              <w:rPr>
                <w:rFonts w:cs="Arial"/>
                <w:sz w:val="14"/>
                <w:szCs w:val="16"/>
              </w:rPr>
              <w:t>Ostatní</w:t>
            </w:r>
          </w:p>
          <w:p w:rsidR="00D563B7" w:rsidRPr="006B6147" w:rsidRDefault="00D563B7" w:rsidP="00160164">
            <w:pPr>
              <w:jc w:val="center"/>
              <w:rPr>
                <w:rFonts w:cs="Arial"/>
                <w:sz w:val="14"/>
                <w:szCs w:val="16"/>
              </w:rPr>
            </w:pPr>
            <w:r w:rsidRPr="006B6147">
              <w:rPr>
                <w:rFonts w:cs="Arial"/>
                <w:sz w:val="14"/>
                <w:szCs w:val="16"/>
              </w:rPr>
              <w:t>Ostatní</w:t>
            </w:r>
          </w:p>
          <w:p w:rsidR="00D563B7" w:rsidRPr="006B6147" w:rsidRDefault="00D563B7" w:rsidP="00160164">
            <w:pPr>
              <w:jc w:val="center"/>
              <w:rPr>
                <w:rFonts w:cs="Arial"/>
                <w:sz w:val="14"/>
                <w:szCs w:val="16"/>
              </w:rPr>
            </w:pPr>
            <w:r w:rsidRPr="006B6147">
              <w:rPr>
                <w:rFonts w:cs="Arial"/>
                <w:sz w:val="14"/>
                <w:szCs w:val="16"/>
              </w:rPr>
              <w:t>Ostatní</w:t>
            </w:r>
          </w:p>
        </w:tc>
      </w:tr>
      <w:tr w:rsidR="00D563B7" w:rsidRPr="006B6147" w:rsidTr="00160164">
        <w:trPr>
          <w:trHeight w:hRule="exact" w:val="581"/>
          <w:jc w:val="center"/>
        </w:trPr>
        <w:tc>
          <w:tcPr>
            <w:tcW w:w="833" w:type="pct"/>
            <w:vMerge/>
            <w:tcBorders>
              <w:bottom w:val="single" w:sz="4" w:space="0" w:color="auto"/>
            </w:tcBorders>
            <w:vAlign w:val="center"/>
          </w:tcPr>
          <w:p w:rsidR="00D563B7" w:rsidRPr="006B6147" w:rsidRDefault="00D563B7" w:rsidP="00160164">
            <w:pPr>
              <w:jc w:val="center"/>
              <w:rPr>
                <w:rFonts w:cs="Arial"/>
                <w:sz w:val="14"/>
                <w:szCs w:val="16"/>
              </w:rPr>
            </w:pPr>
          </w:p>
        </w:tc>
        <w:tc>
          <w:tcPr>
            <w:tcW w:w="833" w:type="pct"/>
            <w:vMerge/>
            <w:tcBorders>
              <w:bottom w:val="single" w:sz="4" w:space="0" w:color="auto"/>
            </w:tcBorders>
            <w:vAlign w:val="center"/>
          </w:tcPr>
          <w:p w:rsidR="00D563B7" w:rsidRPr="006B6147" w:rsidRDefault="00D563B7" w:rsidP="00160164">
            <w:pPr>
              <w:jc w:val="center"/>
              <w:rPr>
                <w:rFonts w:cs="Arial"/>
                <w:sz w:val="14"/>
                <w:szCs w:val="16"/>
              </w:rPr>
            </w:pPr>
          </w:p>
        </w:tc>
        <w:tc>
          <w:tcPr>
            <w:tcW w:w="833" w:type="pct"/>
            <w:tcBorders>
              <w:bottom w:val="single" w:sz="4" w:space="0" w:color="auto"/>
            </w:tcBorders>
            <w:vAlign w:val="center"/>
          </w:tcPr>
          <w:p w:rsidR="00D563B7" w:rsidRPr="006B6147" w:rsidRDefault="00D563B7" w:rsidP="00160164">
            <w:pPr>
              <w:jc w:val="center"/>
              <w:rPr>
                <w:rFonts w:cs="Arial"/>
                <w:sz w:val="14"/>
                <w:szCs w:val="16"/>
              </w:rPr>
            </w:pPr>
            <w:r>
              <w:rPr>
                <w:rFonts w:cs="Arial"/>
                <w:sz w:val="14"/>
                <w:szCs w:val="16"/>
              </w:rPr>
              <w:t>pozitivní dopad na snížení recyklačních příspěvků</w:t>
            </w:r>
          </w:p>
        </w:tc>
        <w:tc>
          <w:tcPr>
            <w:tcW w:w="833" w:type="pct"/>
            <w:tcBorders>
              <w:bottom w:val="single" w:sz="4" w:space="0" w:color="auto"/>
            </w:tcBorders>
            <w:vAlign w:val="center"/>
          </w:tcPr>
          <w:p w:rsidR="00D563B7" w:rsidRPr="006B6147" w:rsidRDefault="00D563B7" w:rsidP="00160164">
            <w:pPr>
              <w:jc w:val="center"/>
              <w:rPr>
                <w:rFonts w:cs="Arial"/>
                <w:sz w:val="14"/>
                <w:szCs w:val="16"/>
              </w:rPr>
            </w:pPr>
            <w:r>
              <w:rPr>
                <w:rFonts w:cs="Arial"/>
                <w:sz w:val="14"/>
                <w:szCs w:val="16"/>
              </w:rPr>
              <w:t>***</w:t>
            </w:r>
          </w:p>
        </w:tc>
        <w:tc>
          <w:tcPr>
            <w:tcW w:w="834" w:type="pct"/>
            <w:tcBorders>
              <w:bottom w:val="single" w:sz="4" w:space="0" w:color="auto"/>
            </w:tcBorders>
            <w:vAlign w:val="center"/>
          </w:tcPr>
          <w:p w:rsidR="00D563B7" w:rsidRPr="006B6147" w:rsidRDefault="00D563B7" w:rsidP="00160164">
            <w:pPr>
              <w:jc w:val="center"/>
              <w:rPr>
                <w:rFonts w:cs="Arial"/>
                <w:sz w:val="14"/>
                <w:szCs w:val="16"/>
              </w:rPr>
            </w:pPr>
          </w:p>
        </w:tc>
        <w:tc>
          <w:tcPr>
            <w:tcW w:w="834" w:type="pct"/>
            <w:tcBorders>
              <w:bottom w:val="single" w:sz="4" w:space="0" w:color="auto"/>
            </w:tcBorders>
            <w:vAlign w:val="center"/>
          </w:tcPr>
          <w:p w:rsidR="00D563B7" w:rsidRPr="006B6147" w:rsidRDefault="00D563B7" w:rsidP="00160164">
            <w:pPr>
              <w:jc w:val="center"/>
              <w:rPr>
                <w:rFonts w:cs="Arial"/>
                <w:sz w:val="14"/>
                <w:szCs w:val="16"/>
              </w:rPr>
            </w:pPr>
          </w:p>
        </w:tc>
      </w:tr>
      <w:tr w:rsidR="00D563B7" w:rsidRPr="006B6147" w:rsidTr="00160164">
        <w:trPr>
          <w:trHeight w:hRule="exact" w:val="445"/>
          <w:jc w:val="center"/>
        </w:trPr>
        <w:tc>
          <w:tcPr>
            <w:tcW w:w="5000" w:type="pct"/>
            <w:gridSpan w:val="6"/>
            <w:tcBorders>
              <w:top w:val="single" w:sz="4" w:space="0" w:color="auto"/>
              <w:left w:val="nil"/>
              <w:bottom w:val="nil"/>
              <w:right w:val="nil"/>
            </w:tcBorders>
            <w:vAlign w:val="center"/>
          </w:tcPr>
          <w:p w:rsidR="00D563B7" w:rsidRDefault="00D563B7" w:rsidP="00160164">
            <w:pPr>
              <w:jc w:val="left"/>
              <w:rPr>
                <w:rFonts w:cs="Arial"/>
                <w:sz w:val="14"/>
                <w:szCs w:val="16"/>
              </w:rPr>
            </w:pPr>
            <w:r>
              <w:rPr>
                <w:rFonts w:cs="Arial"/>
                <w:sz w:val="14"/>
                <w:szCs w:val="16"/>
              </w:rPr>
              <w:t>- bez dopadů, * velmi nízké, ** nízké, *** střední, **** vysoké, ***** velmi vysoké</w:t>
            </w:r>
          </w:p>
          <w:p w:rsidR="00D563B7" w:rsidRPr="006B6147" w:rsidRDefault="00D563B7" w:rsidP="00160164">
            <w:pPr>
              <w:jc w:val="left"/>
              <w:rPr>
                <w:rFonts w:cs="Arial"/>
                <w:sz w:val="14"/>
                <w:szCs w:val="16"/>
              </w:rPr>
            </w:pPr>
            <w:r>
              <w:rPr>
                <w:rFonts w:cs="Arial"/>
                <w:sz w:val="14"/>
                <w:szCs w:val="16"/>
              </w:rPr>
              <w:t>Pozn. u hodnoty 1,6 mil. Kč/KS OEEZ se jedná o rozdíl zvýšených příjmů a zvýšených nákladů</w:t>
            </w:r>
          </w:p>
        </w:tc>
      </w:tr>
    </w:tbl>
    <w:p w:rsidR="00381DAB" w:rsidRPr="00ED38E9" w:rsidRDefault="00381DAB">
      <w:pPr>
        <w:rPr>
          <w:rFonts w:cs="Arial"/>
        </w:rPr>
      </w:pPr>
    </w:p>
    <w:p w:rsidR="00FF6383" w:rsidRPr="00ED38E9" w:rsidRDefault="00FF6383" w:rsidP="00F97AF3">
      <w:pPr>
        <w:pStyle w:val="Nadpis2"/>
      </w:pPr>
      <w:bookmarkStart w:id="37" w:name="_Toc441759857"/>
      <w:r w:rsidRPr="00ED38E9">
        <w:t>Návrh řešení</w:t>
      </w:r>
      <w:bookmarkEnd w:id="37"/>
    </w:p>
    <w:p w:rsidR="00FF6383" w:rsidRPr="00ED38E9" w:rsidRDefault="00FF6383" w:rsidP="00F97AF3">
      <w:pPr>
        <w:pStyle w:val="Nadpis3"/>
      </w:pPr>
      <w:r w:rsidRPr="00ED38E9">
        <w:t>Stanovení pořadí variant a výběr nejvhodnějšího řešení</w:t>
      </w:r>
    </w:p>
    <w:p w:rsidR="00FF6383" w:rsidRPr="00ED38E9" w:rsidRDefault="00FF6383" w:rsidP="002D66F0">
      <w:pPr>
        <w:pStyle w:val="Odstavecseseznamem"/>
        <w:numPr>
          <w:ilvl w:val="0"/>
          <w:numId w:val="100"/>
        </w:numPr>
        <w:spacing w:after="120"/>
        <w:rPr>
          <w:rFonts w:cs="Arial"/>
          <w:b/>
          <w:bCs/>
        </w:rPr>
      </w:pPr>
      <w:r w:rsidRPr="00ED38E9">
        <w:rPr>
          <w:rFonts w:cs="Arial"/>
          <w:b/>
          <w:bCs/>
        </w:rPr>
        <w:t xml:space="preserve">Varianta </w:t>
      </w:r>
      <w:r w:rsidR="001B2063">
        <w:rPr>
          <w:rFonts w:cs="Arial"/>
          <w:b/>
          <w:bCs/>
        </w:rPr>
        <w:t>2</w:t>
      </w:r>
    </w:p>
    <w:p w:rsidR="00FF6383" w:rsidRDefault="00FF6383" w:rsidP="002D66F0">
      <w:pPr>
        <w:pStyle w:val="Odstavecseseznamem"/>
        <w:numPr>
          <w:ilvl w:val="0"/>
          <w:numId w:val="100"/>
        </w:numPr>
        <w:spacing w:after="120"/>
        <w:ind w:left="714" w:hanging="357"/>
        <w:rPr>
          <w:rFonts w:cs="Arial"/>
        </w:rPr>
      </w:pPr>
      <w:r w:rsidRPr="00ED38E9">
        <w:rPr>
          <w:rFonts w:cs="Arial"/>
        </w:rPr>
        <w:t>Varianta 1</w:t>
      </w:r>
    </w:p>
    <w:p w:rsidR="001B2063" w:rsidRPr="00ED38E9" w:rsidRDefault="001B2063" w:rsidP="002D66F0">
      <w:pPr>
        <w:pStyle w:val="Odstavecseseznamem"/>
        <w:numPr>
          <w:ilvl w:val="0"/>
          <w:numId w:val="100"/>
        </w:numPr>
        <w:spacing w:after="120"/>
        <w:ind w:left="714" w:hanging="357"/>
        <w:rPr>
          <w:rFonts w:cs="Arial"/>
        </w:rPr>
      </w:pPr>
      <w:r>
        <w:rPr>
          <w:rFonts w:cs="Arial"/>
        </w:rPr>
        <w:t>Varianta 0</w:t>
      </w:r>
    </w:p>
    <w:p w:rsidR="001B2063" w:rsidRPr="00B43AE5" w:rsidRDefault="001B2063" w:rsidP="001B2063">
      <w:pPr>
        <w:spacing w:before="120"/>
        <w:rPr>
          <w:rFonts w:eastAsia="Calibri"/>
          <w:szCs w:val="22"/>
        </w:rPr>
      </w:pPr>
      <w:r>
        <w:rPr>
          <w:rFonts w:eastAsia="Calibri"/>
          <w:szCs w:val="22"/>
        </w:rPr>
        <w:t xml:space="preserve">Varianty 1 a 2 zaručují </w:t>
      </w:r>
      <w:r>
        <w:t xml:space="preserve">oslovení celého trhu zpracovatelů, </w:t>
      </w:r>
      <w:r w:rsidRPr="00B43AE5">
        <w:rPr>
          <w:rFonts w:eastAsia="Calibri"/>
          <w:szCs w:val="22"/>
        </w:rPr>
        <w:t>zajiš</w:t>
      </w:r>
      <w:r>
        <w:rPr>
          <w:rFonts w:eastAsia="Calibri"/>
          <w:szCs w:val="22"/>
        </w:rPr>
        <w:t>ťují</w:t>
      </w:r>
      <w:r w:rsidRPr="00B43AE5">
        <w:rPr>
          <w:rFonts w:eastAsia="Calibri"/>
          <w:szCs w:val="22"/>
        </w:rPr>
        <w:t xml:space="preserve"> transparentní způsob výběru zpracovatele</w:t>
      </w:r>
      <w:r>
        <w:rPr>
          <w:rFonts w:eastAsia="Calibri"/>
          <w:szCs w:val="22"/>
        </w:rPr>
        <w:t xml:space="preserve"> a umožňují nabízet část zpětně odebraných výrobků s ukončenou životností tzv. chráněným dílnám ke zpracování.</w:t>
      </w:r>
    </w:p>
    <w:p w:rsidR="001B2063" w:rsidRDefault="001B2063" w:rsidP="001B2063">
      <w:r>
        <w:t xml:space="preserve">Tyto varianty také vedou k podpoře oběhového hospodářství a jsou v souladu s návrhem Evropské komise k balíčku oběhového hospodářství zejména </w:t>
      </w:r>
      <w:r w:rsidR="009B2A14">
        <w:t xml:space="preserve">ohledně </w:t>
      </w:r>
      <w:r>
        <w:t>zájmu na zveřejňování informací kolektivními systémy o postupu výběru provozovatelů pro nakládání s</w:t>
      </w:r>
      <w:r w:rsidR="00EB1018">
        <w:t> </w:t>
      </w:r>
      <w:r>
        <w:t>odpady.</w:t>
      </w:r>
    </w:p>
    <w:p w:rsidR="00FF6383" w:rsidRPr="006F5445" w:rsidRDefault="001B2063" w:rsidP="006F5445">
      <w:pPr>
        <w:widowControl w:val="0"/>
        <w:spacing w:before="120"/>
        <w:rPr>
          <w:rFonts w:eastAsia="Calibri"/>
          <w:szCs w:val="22"/>
        </w:rPr>
      </w:pPr>
      <w:r>
        <w:rPr>
          <w:rFonts w:eastAsia="Calibri"/>
          <w:szCs w:val="22"/>
        </w:rPr>
        <w:t xml:space="preserve">Na základě výše uvedených informací, kdy je zřejmé, že Varianty 1 a 2 přináší významné prvky transparentnosti a jsou nákladově podobné, </w:t>
      </w:r>
      <w:r w:rsidR="00381FB7" w:rsidRPr="00381FB7">
        <w:rPr>
          <w:rFonts w:eastAsia="Calibri"/>
          <w:szCs w:val="22"/>
        </w:rPr>
        <w:t>doporučujeme v zájmu umožnění kolektivnímu systému volbu způsobu výběru zpracovatele, která je obsahem</w:t>
      </w:r>
      <w:r w:rsidRPr="009B2A14">
        <w:rPr>
          <w:rFonts w:eastAsia="Calibri"/>
          <w:szCs w:val="22"/>
        </w:rPr>
        <w:t xml:space="preserve"> </w:t>
      </w:r>
      <w:r w:rsidR="00381FB7" w:rsidRPr="00381FB7">
        <w:rPr>
          <w:rFonts w:eastAsia="Calibri"/>
          <w:szCs w:val="22"/>
        </w:rPr>
        <w:t>Varianty 2</w:t>
      </w:r>
      <w:r w:rsidRPr="009B2A14">
        <w:rPr>
          <w:rFonts w:eastAsia="Calibri"/>
          <w:szCs w:val="22"/>
        </w:rPr>
        <w:t xml:space="preserve">, tedy zavedení </w:t>
      </w:r>
      <w:r w:rsidR="00331677">
        <w:rPr>
          <w:rFonts w:eastAsia="Calibri"/>
          <w:szCs w:val="22"/>
        </w:rPr>
        <w:t>povinnosti provozovatele kolektivního systému nabízet zpětně odebrané vybrané výrobky s ukončenou životností k obchodování na komoditní burze na straně jedné anebo</w:t>
      </w:r>
      <w:r>
        <w:rPr>
          <w:rFonts w:eastAsia="Calibri"/>
          <w:szCs w:val="22"/>
        </w:rPr>
        <w:t xml:space="preserve"> vyhlašovat veřejnou soutěž o nejvhodnější nabídku za stanovených podmínek na straně druhé. Tato varianta zároveň umožňuje nabízet část zpětně odebraných výrobků s ukončenou životností tzv. chráněným dílnám ke zpracování oběma navrženými způsoby.</w:t>
      </w:r>
    </w:p>
    <w:p w:rsidR="00FF6383" w:rsidRPr="00ED38E9" w:rsidRDefault="00FF6383">
      <w:pPr>
        <w:rPr>
          <w:rFonts w:cs="Arial"/>
        </w:rPr>
      </w:pPr>
    </w:p>
    <w:p w:rsidR="006415EE" w:rsidRPr="00ED38E9" w:rsidRDefault="008C2A42" w:rsidP="00F97AF3">
      <w:pPr>
        <w:pStyle w:val="Nadpis1"/>
        <w:rPr>
          <w:rFonts w:eastAsia="Calibri"/>
        </w:rPr>
      </w:pPr>
      <w:bookmarkStart w:id="38" w:name="_Toc438037259"/>
      <w:bookmarkStart w:id="39" w:name="_Toc441759858"/>
      <w:bookmarkStart w:id="40" w:name="_Toc441760183"/>
      <w:bookmarkEnd w:id="38"/>
      <w:r w:rsidRPr="00ED38E9">
        <w:lastRenderedPageBreak/>
        <w:t xml:space="preserve">Zpětný odběr </w:t>
      </w:r>
      <w:r w:rsidR="00711A48">
        <w:t>–odpadních elektrozařízení</w:t>
      </w:r>
      <w:bookmarkEnd w:id="39"/>
      <w:bookmarkEnd w:id="40"/>
    </w:p>
    <w:p w:rsidR="008C2A42" w:rsidRPr="00ED38E9" w:rsidRDefault="008C2A42" w:rsidP="00F97AF3">
      <w:pPr>
        <w:pStyle w:val="Nadpis2"/>
      </w:pPr>
      <w:bookmarkStart w:id="41" w:name="_Toc441759859"/>
      <w:bookmarkStart w:id="42" w:name="_Toc402706638"/>
      <w:r w:rsidRPr="00ED38E9">
        <w:t>Důvod předložení a cíle</w:t>
      </w:r>
      <w:bookmarkEnd w:id="41"/>
    </w:p>
    <w:p w:rsidR="00ED5B2D" w:rsidRPr="00ED38E9" w:rsidRDefault="008C2A42" w:rsidP="00F97AF3">
      <w:pPr>
        <w:pStyle w:val="Nadpis3"/>
      </w:pPr>
      <w:r w:rsidRPr="00ED38E9">
        <w:t>Definice problému a p</w:t>
      </w:r>
      <w:r w:rsidR="006415EE" w:rsidRPr="00ED38E9">
        <w:t>opis současného stavu</w:t>
      </w:r>
      <w:bookmarkEnd w:id="42"/>
    </w:p>
    <w:p w:rsidR="00ED5B2D" w:rsidRPr="00ED38E9" w:rsidRDefault="00ED5B2D" w:rsidP="004F7802">
      <w:pPr>
        <w:rPr>
          <w:rFonts w:eastAsia="Calibri" w:cs="Arial"/>
          <w:noProof w:val="0"/>
          <w:szCs w:val="22"/>
          <w:lang w:bidi="ar-SA"/>
        </w:rPr>
      </w:pPr>
      <w:r w:rsidRPr="00ED38E9">
        <w:rPr>
          <w:rFonts w:eastAsia="Calibri" w:cs="Arial"/>
          <w:noProof w:val="0"/>
          <w:szCs w:val="22"/>
          <w:lang w:bidi="ar-SA"/>
        </w:rPr>
        <w:t>Systém zpětného odběru elektrozařízení existuje v České republice s různými úpravami od</w:t>
      </w:r>
      <w:r w:rsidR="006E0E3D" w:rsidRPr="00ED38E9">
        <w:rPr>
          <w:rFonts w:eastAsia="Calibri" w:cs="Arial"/>
          <w:noProof w:val="0"/>
          <w:szCs w:val="22"/>
          <w:lang w:bidi="ar-SA"/>
        </w:rPr>
        <w:t> </w:t>
      </w:r>
      <w:r w:rsidRPr="00ED38E9">
        <w:rPr>
          <w:rFonts w:eastAsia="Calibri" w:cs="Arial"/>
          <w:noProof w:val="0"/>
          <w:szCs w:val="22"/>
          <w:lang w:bidi="ar-SA"/>
        </w:rPr>
        <w:t xml:space="preserve">roku 2005, nicméně řada aspektů jeho fungování je dlouhodobě kritizována - </w:t>
      </w:r>
      <w:r w:rsidR="00B80166">
        <w:rPr>
          <w:rFonts w:eastAsia="Calibri" w:cs="Arial"/>
          <w:noProof w:val="0"/>
          <w:szCs w:val="22"/>
          <w:lang w:bidi="ar-SA"/>
        </w:rPr>
        <w:t xml:space="preserve">například </w:t>
      </w:r>
      <w:r w:rsidR="00B80166" w:rsidRPr="00ED38E9">
        <w:rPr>
          <w:rFonts w:eastAsia="Calibri" w:cs="Arial"/>
          <w:noProof w:val="0"/>
          <w:szCs w:val="22"/>
          <w:lang w:bidi="ar-SA"/>
        </w:rPr>
        <w:t>nedostatečn</w:t>
      </w:r>
      <w:r w:rsidR="00B80166">
        <w:rPr>
          <w:rFonts w:eastAsia="Calibri" w:cs="Arial"/>
          <w:noProof w:val="0"/>
          <w:szCs w:val="22"/>
          <w:lang w:bidi="ar-SA"/>
        </w:rPr>
        <w:t>á</w:t>
      </w:r>
      <w:r w:rsidR="00B80166" w:rsidRPr="00ED38E9">
        <w:rPr>
          <w:rFonts w:eastAsia="Calibri" w:cs="Arial"/>
          <w:noProof w:val="0"/>
          <w:szCs w:val="22"/>
          <w:lang w:bidi="ar-SA"/>
        </w:rPr>
        <w:t xml:space="preserve"> konkurenc</w:t>
      </w:r>
      <w:r w:rsidR="00B80166">
        <w:rPr>
          <w:rFonts w:eastAsia="Calibri" w:cs="Arial"/>
          <w:noProof w:val="0"/>
          <w:szCs w:val="22"/>
          <w:lang w:bidi="ar-SA"/>
        </w:rPr>
        <w:t>e</w:t>
      </w:r>
      <w:r w:rsidR="00B80166" w:rsidRPr="00ED38E9">
        <w:rPr>
          <w:rFonts w:eastAsia="Calibri" w:cs="Arial"/>
          <w:noProof w:val="0"/>
          <w:szCs w:val="22"/>
          <w:lang w:bidi="ar-SA"/>
        </w:rPr>
        <w:t xml:space="preserve"> </w:t>
      </w:r>
      <w:r w:rsidRPr="00ED38E9">
        <w:rPr>
          <w:rFonts w:eastAsia="Calibri" w:cs="Arial"/>
          <w:noProof w:val="0"/>
          <w:szCs w:val="22"/>
          <w:lang w:bidi="ar-SA"/>
        </w:rPr>
        <w:t>mezi kolektivními systémy, nedostatečn</w:t>
      </w:r>
      <w:r w:rsidR="00B80166">
        <w:rPr>
          <w:rFonts w:eastAsia="Calibri" w:cs="Arial"/>
          <w:noProof w:val="0"/>
          <w:szCs w:val="22"/>
          <w:lang w:bidi="ar-SA"/>
        </w:rPr>
        <w:t>á</w:t>
      </w:r>
      <w:r w:rsidRPr="00ED38E9">
        <w:rPr>
          <w:rFonts w:eastAsia="Calibri" w:cs="Arial"/>
          <w:noProof w:val="0"/>
          <w:szCs w:val="22"/>
          <w:lang w:bidi="ar-SA"/>
        </w:rPr>
        <w:t xml:space="preserve"> </w:t>
      </w:r>
      <w:r w:rsidR="00B80166" w:rsidRPr="00ED38E9">
        <w:rPr>
          <w:rFonts w:eastAsia="Calibri" w:cs="Arial"/>
          <w:noProof w:val="0"/>
          <w:szCs w:val="22"/>
          <w:lang w:bidi="ar-SA"/>
        </w:rPr>
        <w:t>kontrol</w:t>
      </w:r>
      <w:r w:rsidR="00B80166">
        <w:rPr>
          <w:rFonts w:eastAsia="Calibri" w:cs="Arial"/>
          <w:noProof w:val="0"/>
          <w:szCs w:val="22"/>
          <w:lang w:bidi="ar-SA"/>
        </w:rPr>
        <w:t>a</w:t>
      </w:r>
      <w:r w:rsidR="00B80166" w:rsidRPr="00ED38E9">
        <w:rPr>
          <w:rFonts w:eastAsia="Calibri" w:cs="Arial"/>
          <w:noProof w:val="0"/>
          <w:szCs w:val="22"/>
          <w:lang w:bidi="ar-SA"/>
        </w:rPr>
        <w:t xml:space="preserve"> </w:t>
      </w:r>
      <w:r w:rsidRPr="00ED38E9">
        <w:rPr>
          <w:rFonts w:eastAsia="Calibri" w:cs="Arial"/>
          <w:noProof w:val="0"/>
          <w:szCs w:val="22"/>
          <w:lang w:bidi="ar-SA"/>
        </w:rPr>
        <w:t>ze</w:t>
      </w:r>
      <w:r w:rsidR="006E0E3D" w:rsidRPr="00ED38E9">
        <w:rPr>
          <w:rFonts w:eastAsia="Calibri" w:cs="Arial"/>
          <w:noProof w:val="0"/>
          <w:szCs w:val="22"/>
          <w:lang w:bidi="ar-SA"/>
        </w:rPr>
        <w:t> </w:t>
      </w:r>
      <w:r w:rsidRPr="00ED38E9">
        <w:rPr>
          <w:rFonts w:eastAsia="Calibri" w:cs="Arial"/>
          <w:noProof w:val="0"/>
          <w:szCs w:val="22"/>
          <w:lang w:bidi="ar-SA"/>
        </w:rPr>
        <w:t xml:space="preserve">strany veřejných institucí např. v oblasti nastavování recyklačních </w:t>
      </w:r>
      <w:r w:rsidR="00F0451A">
        <w:rPr>
          <w:rFonts w:eastAsia="Calibri" w:cs="Arial"/>
          <w:noProof w:val="0"/>
          <w:szCs w:val="22"/>
          <w:lang w:bidi="ar-SA"/>
        </w:rPr>
        <w:t>příspěvků</w:t>
      </w:r>
      <w:r w:rsidRPr="00ED38E9">
        <w:rPr>
          <w:rFonts w:eastAsia="Calibri" w:cs="Arial"/>
          <w:noProof w:val="0"/>
          <w:szCs w:val="22"/>
          <w:lang w:bidi="ar-SA"/>
        </w:rPr>
        <w:t xml:space="preserve">. V rámci aplikace stávajícího zákona se některé zavedené instituty neosvědčily nebo potřebují upravit, jiné instituty naopak zcela chybí. Hodnocení dopadů regulace se snaží na tyto problémy reflektovat posouzením jejich oprávněnosti a relevance a návrhem případných opatřením – viz kapitoly jednotlivých věcných okruhů, kde je i detailněji rozebrán konkrétní problém. Hlavním cílem jednotlivých opatření je vždy zajištění vysoké úrovně ochrany životního prostředí a lidského zdraví a eliminace negativních dopadů ze vzniku odpadů z vybraných výrobků v souladu s příslušnými předpisy Evropské unie. </w:t>
      </w:r>
    </w:p>
    <w:p w:rsidR="00ED5B2D" w:rsidRPr="00ED38E9" w:rsidRDefault="00ED5B2D" w:rsidP="004F7802">
      <w:pPr>
        <w:rPr>
          <w:rFonts w:eastAsia="Calibri" w:cs="Arial"/>
          <w:noProof w:val="0"/>
          <w:szCs w:val="22"/>
          <w:lang w:bidi="ar-SA"/>
        </w:rPr>
      </w:pPr>
      <w:r w:rsidRPr="00ED38E9">
        <w:rPr>
          <w:rFonts w:eastAsia="Calibri" w:cs="Arial"/>
          <w:noProof w:val="0"/>
          <w:szCs w:val="22"/>
          <w:lang w:bidi="ar-SA"/>
        </w:rPr>
        <w:t>Zpětným odběrem elektrozařízení se rozumí odebírání použitých elektrozařízení pocházejících z domácností od spotřebitelů na místě k tomu určenému. Od tohoto pojmu je potřeba odlišit pojem oddělený sběr elektroodpadu, který je definován podobně jako zpětný odběr s tím rozdílem, že jedná se o elektrozařízení nepocházející z domácností.</w:t>
      </w:r>
    </w:p>
    <w:p w:rsidR="00ED5B2D" w:rsidRPr="00ED38E9" w:rsidRDefault="00ED5B2D" w:rsidP="004F7802">
      <w:pPr>
        <w:rPr>
          <w:rFonts w:eastAsia="Calibri" w:cs="Arial"/>
          <w:noProof w:val="0"/>
          <w:szCs w:val="22"/>
          <w:lang w:bidi="ar-SA"/>
        </w:rPr>
      </w:pPr>
      <w:r w:rsidRPr="00ED38E9">
        <w:rPr>
          <w:rFonts w:eastAsia="Calibri" w:cs="Arial"/>
          <w:noProof w:val="0"/>
          <w:szCs w:val="22"/>
          <w:lang w:bidi="ar-SA"/>
        </w:rPr>
        <w:t>Výrobci elektrozařízení mají několik možností, jak plnit svoji povinnost zajištění systému zpětného odběru elektrozařízení a odděleného sběru elektroodpadu – mohou využít jeden z následujících tří systémů plnění povinností výrobce:</w:t>
      </w:r>
    </w:p>
    <w:p w:rsidR="00ED5B2D" w:rsidRPr="00ED38E9" w:rsidRDefault="00ED5B2D" w:rsidP="002D66F0">
      <w:pPr>
        <w:pStyle w:val="Odstavecseseznamem"/>
        <w:numPr>
          <w:ilvl w:val="0"/>
          <w:numId w:val="65"/>
        </w:numPr>
        <w:spacing w:after="200"/>
        <w:rPr>
          <w:rFonts w:eastAsia="Calibri" w:cs="Arial"/>
          <w:noProof w:val="0"/>
          <w:szCs w:val="22"/>
          <w:lang w:bidi="ar-SA"/>
        </w:rPr>
      </w:pPr>
      <w:r w:rsidRPr="00ED38E9">
        <w:rPr>
          <w:rFonts w:eastAsia="Calibri" w:cs="Arial"/>
          <w:noProof w:val="0"/>
          <w:szCs w:val="22"/>
          <w:lang w:bidi="ar-SA"/>
        </w:rPr>
        <w:t>Individuální systém – vytvořený a provozovaný samostatně a na vlastní náklady jedním výrobcem,</w:t>
      </w:r>
    </w:p>
    <w:p w:rsidR="00ED5B2D" w:rsidRPr="00ED38E9" w:rsidRDefault="00ED5B2D" w:rsidP="002D66F0">
      <w:pPr>
        <w:pStyle w:val="Odstavecseseznamem"/>
        <w:numPr>
          <w:ilvl w:val="0"/>
          <w:numId w:val="65"/>
        </w:numPr>
        <w:spacing w:after="200"/>
        <w:rPr>
          <w:rFonts w:eastAsia="Calibri" w:cs="Arial"/>
          <w:noProof w:val="0"/>
          <w:szCs w:val="22"/>
          <w:lang w:bidi="ar-SA"/>
        </w:rPr>
      </w:pPr>
      <w:r w:rsidRPr="00ED38E9">
        <w:rPr>
          <w:rFonts w:eastAsia="Calibri" w:cs="Arial"/>
          <w:noProof w:val="0"/>
          <w:szCs w:val="22"/>
          <w:lang w:bidi="ar-SA"/>
        </w:rPr>
        <w:t>Solidární systém – vytvořený a provozovaný dvěma nebo více výrobci,</w:t>
      </w:r>
    </w:p>
    <w:p w:rsidR="00ED5B2D" w:rsidRPr="00ED38E9" w:rsidRDefault="00ED5B2D" w:rsidP="002D66F0">
      <w:pPr>
        <w:pStyle w:val="Odstavecseseznamem"/>
        <w:numPr>
          <w:ilvl w:val="0"/>
          <w:numId w:val="65"/>
        </w:numPr>
        <w:spacing w:after="200" w:line="240" w:lineRule="auto"/>
        <w:rPr>
          <w:rFonts w:eastAsia="Calibri" w:cs="Arial"/>
          <w:noProof w:val="0"/>
          <w:szCs w:val="22"/>
          <w:lang w:bidi="ar-SA"/>
        </w:rPr>
      </w:pPr>
      <w:r w:rsidRPr="00ED38E9">
        <w:rPr>
          <w:rFonts w:eastAsia="Calibri" w:cs="Arial"/>
          <w:noProof w:val="0"/>
          <w:szCs w:val="22"/>
          <w:lang w:bidi="ar-SA"/>
        </w:rPr>
        <w:t>Kolektivní systém – vytvořený výrobci nebo výrobci pověřenou právnickou osobou a provozovaný právnickou osobou odlišnou od výrobce nebo výrobcem pověřené právnické osoby.</w:t>
      </w:r>
    </w:p>
    <w:p w:rsidR="00ED5B2D" w:rsidRPr="00ED38E9" w:rsidRDefault="00ED5B2D" w:rsidP="004F7802">
      <w:pPr>
        <w:rPr>
          <w:rFonts w:eastAsia="Calibri" w:cs="Arial"/>
          <w:noProof w:val="0"/>
          <w:szCs w:val="22"/>
          <w:lang w:bidi="ar-SA"/>
        </w:rPr>
      </w:pPr>
      <w:r w:rsidRPr="00ED38E9">
        <w:rPr>
          <w:rFonts w:eastAsia="Calibri" w:cs="Arial"/>
          <w:noProof w:val="0"/>
          <w:szCs w:val="22"/>
          <w:lang w:bidi="ar-SA"/>
        </w:rPr>
        <w:t>Z Tabulky 1</w:t>
      </w:r>
      <w:r w:rsidR="00580CF0">
        <w:rPr>
          <w:rFonts w:eastAsia="Calibri" w:cs="Arial"/>
          <w:noProof w:val="0"/>
          <w:szCs w:val="22"/>
          <w:lang w:bidi="ar-SA"/>
        </w:rPr>
        <w:t>9</w:t>
      </w:r>
      <w:r w:rsidRPr="00ED38E9">
        <w:rPr>
          <w:rFonts w:eastAsia="Calibri" w:cs="Arial"/>
          <w:noProof w:val="0"/>
          <w:szCs w:val="22"/>
          <w:lang w:bidi="ar-SA"/>
        </w:rPr>
        <w:t xml:space="preserve"> je zřejmé, že individuální systém zpětného odběru elektrozařízení zvolilo 61 subjektů a solidární systém je využívaný v jednom případě, a to firmami FULGUR BATTMAN spol. s.r.o. a FULGUR spol. s.r.o. V říjnu roku 2014 působilo v ČR 15 kolektivních systémů, prostřednictvím nichž pln</w:t>
      </w:r>
      <w:r w:rsidR="00411528">
        <w:rPr>
          <w:rFonts w:eastAsia="Calibri" w:cs="Arial"/>
          <w:noProof w:val="0"/>
          <w:szCs w:val="22"/>
          <w:lang w:bidi="ar-SA"/>
        </w:rPr>
        <w:t>ilo</w:t>
      </w:r>
      <w:r w:rsidRPr="00ED38E9">
        <w:rPr>
          <w:rFonts w:eastAsia="Calibri" w:cs="Arial"/>
          <w:noProof w:val="0"/>
          <w:szCs w:val="22"/>
          <w:lang w:bidi="ar-SA"/>
        </w:rPr>
        <w:t xml:space="preserve"> své povinnosti z důvodu nižší nákladovosti nejvíce výrobců (k</w:t>
      </w:r>
      <w:r w:rsidR="00EB1018">
        <w:rPr>
          <w:rFonts w:eastAsia="Calibri" w:cs="Arial"/>
          <w:noProof w:val="0"/>
          <w:szCs w:val="22"/>
          <w:lang w:bidi="ar-SA"/>
        </w:rPr>
        <w:t> </w:t>
      </w:r>
      <w:r w:rsidRPr="00ED38E9">
        <w:rPr>
          <w:rFonts w:eastAsia="Calibri" w:cs="Arial"/>
          <w:noProof w:val="0"/>
          <w:szCs w:val="22"/>
          <w:lang w:bidi="ar-SA"/>
        </w:rPr>
        <w:t xml:space="preserve">říjnu 2014 to bylo přes 4 100 výrobců). Skupiny elektrozařízení, pro které jim byl vydán souhlas k nakládání a financování, jsou uvedeny v Tabulce </w:t>
      </w:r>
      <w:r w:rsidR="006C1859">
        <w:rPr>
          <w:rFonts w:eastAsia="Calibri" w:cs="Arial"/>
          <w:noProof w:val="0"/>
          <w:szCs w:val="22"/>
          <w:lang w:bidi="ar-SA"/>
        </w:rPr>
        <w:t>24</w:t>
      </w:r>
      <w:r w:rsidRPr="00ED38E9">
        <w:rPr>
          <w:rFonts w:eastAsia="Calibri" w:cs="Arial"/>
          <w:noProof w:val="0"/>
          <w:szCs w:val="22"/>
          <w:lang w:bidi="ar-SA"/>
        </w:rPr>
        <w:t xml:space="preserve">. Všichni výrobci jsou navíc ze zákona evidováni v Seznamu výrobců elektrozařízení, který slouží </w:t>
      </w:r>
      <w:r w:rsidR="00A56310" w:rsidRPr="00ED38E9">
        <w:rPr>
          <w:rFonts w:eastAsia="Calibri" w:cs="Arial"/>
          <w:noProof w:val="0"/>
          <w:szCs w:val="22"/>
          <w:lang w:bidi="ar-SA"/>
        </w:rPr>
        <w:t>MŽP</w:t>
      </w:r>
      <w:r w:rsidRPr="00ED38E9">
        <w:rPr>
          <w:rFonts w:eastAsia="Calibri" w:cs="Arial"/>
          <w:noProof w:val="0"/>
          <w:szCs w:val="22"/>
          <w:lang w:bidi="ar-SA"/>
        </w:rPr>
        <w:t xml:space="preserve"> jako zdroj informací, ze</w:t>
      </w:r>
      <w:r w:rsidR="006E0E3D" w:rsidRPr="00ED38E9">
        <w:rPr>
          <w:rFonts w:eastAsia="Calibri" w:cs="Arial"/>
          <w:noProof w:val="0"/>
          <w:szCs w:val="22"/>
          <w:lang w:bidi="ar-SA"/>
        </w:rPr>
        <w:t> </w:t>
      </w:r>
      <w:r w:rsidRPr="00ED38E9">
        <w:rPr>
          <w:rFonts w:eastAsia="Calibri" w:cs="Arial"/>
          <w:noProof w:val="0"/>
          <w:szCs w:val="22"/>
          <w:lang w:bidi="ar-SA"/>
        </w:rPr>
        <w:t>kterých vychází při hodnocení projektů i při vyhodnocování dodržování povinností vyplývajících z evropských směrnic.</w:t>
      </w:r>
    </w:p>
    <w:p w:rsidR="00ED5B2D" w:rsidRPr="00ED38E9" w:rsidRDefault="00ED5B2D" w:rsidP="005140E5">
      <w:pPr>
        <w:pStyle w:val="Titulek"/>
        <w:rPr>
          <w:rFonts w:cs="Arial"/>
          <w:lang w:eastAsia="cs-CZ" w:bidi="ar-SA"/>
        </w:rPr>
      </w:pPr>
      <w:r w:rsidRPr="00ED38E9">
        <w:rPr>
          <w:rFonts w:cs="Arial"/>
          <w:lang w:eastAsia="cs-CZ" w:bidi="ar-SA"/>
        </w:rPr>
        <w:lastRenderedPageBreak/>
        <w:t xml:space="preserve">Tabulka </w:t>
      </w:r>
      <w:r w:rsidR="00381FB7" w:rsidRPr="00ED38E9">
        <w:rPr>
          <w:rFonts w:cs="Arial"/>
          <w:lang w:eastAsia="cs-CZ" w:bidi="ar-SA"/>
        </w:rPr>
        <w:fldChar w:fldCharType="begin"/>
      </w:r>
      <w:r w:rsidRPr="00ED38E9">
        <w:rPr>
          <w:rFonts w:cs="Arial"/>
          <w:lang w:eastAsia="cs-CZ" w:bidi="ar-SA"/>
        </w:rPr>
        <w:instrText xml:space="preserve"> SEQ Tabulka \* ARABIC </w:instrText>
      </w:r>
      <w:r w:rsidR="00381FB7" w:rsidRPr="00ED38E9">
        <w:rPr>
          <w:rFonts w:cs="Arial"/>
          <w:lang w:eastAsia="cs-CZ" w:bidi="ar-SA"/>
        </w:rPr>
        <w:fldChar w:fldCharType="separate"/>
      </w:r>
      <w:r w:rsidR="00FD5E92">
        <w:rPr>
          <w:rFonts w:cs="Arial"/>
          <w:lang w:eastAsia="cs-CZ" w:bidi="ar-SA"/>
        </w:rPr>
        <w:t>24</w:t>
      </w:r>
      <w:r w:rsidR="00381FB7" w:rsidRPr="00ED38E9">
        <w:rPr>
          <w:rFonts w:cs="Arial"/>
          <w:lang w:eastAsia="cs-CZ" w:bidi="ar-SA"/>
        </w:rPr>
        <w:fldChar w:fldCharType="end"/>
      </w:r>
      <w:r w:rsidRPr="00ED38E9">
        <w:rPr>
          <w:rFonts w:cs="Arial"/>
          <w:lang w:eastAsia="cs-CZ" w:bidi="ar-SA"/>
        </w:rPr>
        <w:t>: Počet a podíl subjektů v jednotlivých systémech k říjnu 2014</w:t>
      </w:r>
    </w:p>
    <w:tbl>
      <w:tblPr>
        <w:tblW w:w="91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6A0" w:firstRow="1" w:lastRow="0" w:firstColumn="1" w:lastColumn="0" w:noHBand="1" w:noVBand="1"/>
      </w:tblPr>
      <w:tblGrid>
        <w:gridCol w:w="1858"/>
        <w:gridCol w:w="1843"/>
        <w:gridCol w:w="2977"/>
        <w:gridCol w:w="2467"/>
      </w:tblGrid>
      <w:tr w:rsidR="00ED5B2D" w:rsidRPr="000B7CBF" w:rsidTr="00ED38E9">
        <w:trPr>
          <w:trHeight w:val="555"/>
        </w:trPr>
        <w:tc>
          <w:tcPr>
            <w:tcW w:w="1858" w:type="dxa"/>
            <w:shd w:val="clear" w:color="auto" w:fill="auto"/>
            <w:noWrap/>
            <w:vAlign w:val="center"/>
            <w:hideMark/>
          </w:tcPr>
          <w:p w:rsidR="00ED5B2D" w:rsidRPr="00ED38E9" w:rsidRDefault="00ED5B2D" w:rsidP="001820AA">
            <w:pPr>
              <w:keepNext/>
              <w:jc w:val="left"/>
              <w:rPr>
                <w:rFonts w:eastAsia="MS Mincho" w:cs="Arial"/>
                <w:b/>
                <w:noProof w:val="0"/>
                <w:sz w:val="20"/>
                <w:szCs w:val="20"/>
                <w:lang w:eastAsia="cs-CZ" w:bidi="ar-SA"/>
              </w:rPr>
            </w:pPr>
            <w:r w:rsidRPr="00ED38E9">
              <w:rPr>
                <w:rFonts w:eastAsia="MS Mincho" w:cs="Arial"/>
                <w:b/>
                <w:noProof w:val="0"/>
                <w:sz w:val="20"/>
                <w:szCs w:val="20"/>
                <w:lang w:eastAsia="cs-CZ" w:bidi="ar-SA"/>
              </w:rPr>
              <w:t>Typ systému</w:t>
            </w:r>
          </w:p>
        </w:tc>
        <w:tc>
          <w:tcPr>
            <w:tcW w:w="1843" w:type="dxa"/>
            <w:shd w:val="clear" w:color="auto" w:fill="auto"/>
            <w:noWrap/>
            <w:vAlign w:val="center"/>
            <w:hideMark/>
          </w:tcPr>
          <w:p w:rsidR="00ED5B2D" w:rsidRPr="00ED38E9" w:rsidRDefault="00ED5B2D" w:rsidP="006E0E3D">
            <w:pPr>
              <w:keepNext/>
              <w:jc w:val="center"/>
              <w:rPr>
                <w:rFonts w:eastAsia="MS Mincho" w:cs="Arial"/>
                <w:b/>
                <w:noProof w:val="0"/>
                <w:sz w:val="20"/>
                <w:szCs w:val="20"/>
                <w:lang w:eastAsia="cs-CZ" w:bidi="ar-SA"/>
              </w:rPr>
            </w:pPr>
            <w:r w:rsidRPr="00ED38E9">
              <w:rPr>
                <w:rFonts w:eastAsia="MS Mincho" w:cs="Arial"/>
                <w:b/>
                <w:noProof w:val="0"/>
                <w:sz w:val="20"/>
                <w:szCs w:val="20"/>
                <w:lang w:eastAsia="cs-CZ" w:bidi="ar-SA"/>
              </w:rPr>
              <w:t>Počet subjektů</w:t>
            </w:r>
          </w:p>
        </w:tc>
        <w:tc>
          <w:tcPr>
            <w:tcW w:w="2977" w:type="dxa"/>
            <w:shd w:val="clear" w:color="auto" w:fill="auto"/>
            <w:noWrap/>
            <w:vAlign w:val="center"/>
            <w:hideMark/>
          </w:tcPr>
          <w:p w:rsidR="00ED5B2D" w:rsidRPr="00ED38E9" w:rsidRDefault="00ED5B2D" w:rsidP="006E0E3D">
            <w:pPr>
              <w:keepNext/>
              <w:jc w:val="center"/>
              <w:rPr>
                <w:rFonts w:eastAsia="MS Mincho" w:cs="Arial"/>
                <w:b/>
                <w:noProof w:val="0"/>
                <w:sz w:val="20"/>
                <w:szCs w:val="20"/>
                <w:lang w:eastAsia="cs-CZ" w:bidi="ar-SA"/>
              </w:rPr>
            </w:pPr>
            <w:r w:rsidRPr="00ED38E9">
              <w:rPr>
                <w:rFonts w:eastAsia="MS Mincho" w:cs="Arial"/>
                <w:b/>
                <w:noProof w:val="0"/>
                <w:sz w:val="20"/>
                <w:szCs w:val="20"/>
                <w:lang w:eastAsia="cs-CZ" w:bidi="ar-SA"/>
              </w:rPr>
              <w:t>Počet výrobců plnící povinnost sběru přes daný systém</w:t>
            </w:r>
          </w:p>
        </w:tc>
        <w:tc>
          <w:tcPr>
            <w:tcW w:w="2467" w:type="dxa"/>
            <w:shd w:val="clear" w:color="auto" w:fill="auto"/>
            <w:noWrap/>
            <w:vAlign w:val="center"/>
            <w:hideMark/>
          </w:tcPr>
          <w:p w:rsidR="00ED5B2D" w:rsidRPr="00ED38E9" w:rsidRDefault="00ED5B2D" w:rsidP="007A0D35">
            <w:pPr>
              <w:keepNext/>
              <w:jc w:val="center"/>
              <w:rPr>
                <w:rFonts w:eastAsia="MS Mincho" w:cs="Arial"/>
                <w:b/>
                <w:noProof w:val="0"/>
                <w:sz w:val="20"/>
                <w:szCs w:val="20"/>
                <w:lang w:eastAsia="cs-CZ" w:bidi="ar-SA"/>
              </w:rPr>
            </w:pPr>
            <w:r w:rsidRPr="00ED38E9">
              <w:rPr>
                <w:rFonts w:eastAsia="MS Mincho" w:cs="Arial"/>
                <w:b/>
                <w:noProof w:val="0"/>
                <w:sz w:val="20"/>
                <w:szCs w:val="20"/>
                <w:lang w:eastAsia="cs-CZ" w:bidi="ar-SA"/>
              </w:rPr>
              <w:t>Podíl k říjnu 2014</w:t>
            </w:r>
          </w:p>
        </w:tc>
      </w:tr>
      <w:tr w:rsidR="00ED5B2D" w:rsidRPr="000B7CBF" w:rsidTr="007A0D35">
        <w:trPr>
          <w:trHeight w:val="340"/>
        </w:trPr>
        <w:tc>
          <w:tcPr>
            <w:tcW w:w="1858" w:type="dxa"/>
            <w:shd w:val="clear" w:color="000000" w:fill="FFFFFF"/>
            <w:vAlign w:val="center"/>
            <w:hideMark/>
          </w:tcPr>
          <w:p w:rsidR="00ED5B2D" w:rsidRPr="00ED38E9" w:rsidRDefault="00ED5B2D" w:rsidP="001820AA">
            <w:pPr>
              <w:keepNext/>
              <w:jc w:val="left"/>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Individuální</w:t>
            </w:r>
          </w:p>
        </w:tc>
        <w:tc>
          <w:tcPr>
            <w:tcW w:w="1843"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61</w:t>
            </w:r>
          </w:p>
        </w:tc>
        <w:tc>
          <w:tcPr>
            <w:tcW w:w="2977"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61</w:t>
            </w:r>
          </w:p>
        </w:tc>
        <w:tc>
          <w:tcPr>
            <w:tcW w:w="2467"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1,45</w:t>
            </w:r>
            <w:r w:rsidR="007A0D35" w:rsidRPr="00ED38E9">
              <w:rPr>
                <w:rFonts w:eastAsia="MS Mincho" w:cs="Arial"/>
                <w:noProof w:val="0"/>
                <w:color w:val="000000"/>
                <w:sz w:val="20"/>
                <w:szCs w:val="20"/>
                <w:lang w:eastAsia="cs-CZ" w:bidi="ar-SA"/>
              </w:rPr>
              <w:t xml:space="preserve"> </w:t>
            </w:r>
            <w:r w:rsidRPr="00ED38E9">
              <w:rPr>
                <w:rFonts w:eastAsia="MS Mincho" w:cs="Arial"/>
                <w:noProof w:val="0"/>
                <w:color w:val="000000"/>
                <w:sz w:val="20"/>
                <w:szCs w:val="20"/>
                <w:lang w:eastAsia="cs-CZ" w:bidi="ar-SA"/>
              </w:rPr>
              <w:t>%</w:t>
            </w:r>
          </w:p>
        </w:tc>
      </w:tr>
      <w:tr w:rsidR="00ED5B2D" w:rsidRPr="000B7CBF" w:rsidTr="007A0D35">
        <w:trPr>
          <w:trHeight w:val="340"/>
        </w:trPr>
        <w:tc>
          <w:tcPr>
            <w:tcW w:w="1858" w:type="dxa"/>
            <w:shd w:val="clear" w:color="000000" w:fill="FFFFFF"/>
            <w:vAlign w:val="center"/>
            <w:hideMark/>
          </w:tcPr>
          <w:p w:rsidR="00ED5B2D" w:rsidRPr="00ED38E9" w:rsidRDefault="00ED5B2D" w:rsidP="001820AA">
            <w:pPr>
              <w:keepNext/>
              <w:jc w:val="left"/>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Solidární</w:t>
            </w:r>
          </w:p>
        </w:tc>
        <w:tc>
          <w:tcPr>
            <w:tcW w:w="1843"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1</w:t>
            </w:r>
          </w:p>
        </w:tc>
        <w:tc>
          <w:tcPr>
            <w:tcW w:w="2977"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2</w:t>
            </w:r>
          </w:p>
        </w:tc>
        <w:tc>
          <w:tcPr>
            <w:tcW w:w="2467"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0,05</w:t>
            </w:r>
            <w:r w:rsidR="007A0D35" w:rsidRPr="00ED38E9">
              <w:rPr>
                <w:rFonts w:eastAsia="MS Mincho" w:cs="Arial"/>
                <w:noProof w:val="0"/>
                <w:color w:val="000000"/>
                <w:sz w:val="20"/>
                <w:szCs w:val="20"/>
                <w:lang w:eastAsia="cs-CZ" w:bidi="ar-SA"/>
              </w:rPr>
              <w:t xml:space="preserve"> </w:t>
            </w:r>
            <w:r w:rsidRPr="00ED38E9">
              <w:rPr>
                <w:rFonts w:eastAsia="MS Mincho" w:cs="Arial"/>
                <w:noProof w:val="0"/>
                <w:color w:val="000000"/>
                <w:sz w:val="20"/>
                <w:szCs w:val="20"/>
                <w:lang w:eastAsia="cs-CZ" w:bidi="ar-SA"/>
              </w:rPr>
              <w:t>%</w:t>
            </w:r>
          </w:p>
        </w:tc>
      </w:tr>
      <w:tr w:rsidR="00ED5B2D" w:rsidRPr="000B7CBF" w:rsidTr="007A0D35">
        <w:trPr>
          <w:trHeight w:val="340"/>
        </w:trPr>
        <w:tc>
          <w:tcPr>
            <w:tcW w:w="1858" w:type="dxa"/>
            <w:shd w:val="clear" w:color="000000" w:fill="FFFFFF"/>
            <w:vAlign w:val="center"/>
            <w:hideMark/>
          </w:tcPr>
          <w:p w:rsidR="00ED5B2D" w:rsidRPr="00ED38E9" w:rsidRDefault="00ED5B2D" w:rsidP="001820AA">
            <w:pPr>
              <w:keepNext/>
              <w:jc w:val="left"/>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Kolektivní</w:t>
            </w:r>
          </w:p>
        </w:tc>
        <w:tc>
          <w:tcPr>
            <w:tcW w:w="1843"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15</w:t>
            </w:r>
          </w:p>
        </w:tc>
        <w:tc>
          <w:tcPr>
            <w:tcW w:w="2977"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4 132</w:t>
            </w:r>
          </w:p>
        </w:tc>
        <w:tc>
          <w:tcPr>
            <w:tcW w:w="2467" w:type="dxa"/>
            <w:shd w:val="clear" w:color="000000" w:fill="FFFFFF"/>
            <w:vAlign w:val="center"/>
            <w:hideMark/>
          </w:tcPr>
          <w:p w:rsidR="00ED5B2D" w:rsidRPr="00ED38E9" w:rsidRDefault="00ED5B2D" w:rsidP="001820AA">
            <w:pPr>
              <w:keepNext/>
              <w:jc w:val="center"/>
              <w:rPr>
                <w:rFonts w:eastAsia="MS Mincho" w:cs="Arial"/>
                <w:noProof w:val="0"/>
                <w:color w:val="000000"/>
                <w:sz w:val="20"/>
                <w:szCs w:val="20"/>
                <w:lang w:eastAsia="cs-CZ" w:bidi="ar-SA"/>
              </w:rPr>
            </w:pPr>
            <w:r w:rsidRPr="00ED38E9">
              <w:rPr>
                <w:rFonts w:eastAsia="MS Mincho" w:cs="Arial"/>
                <w:noProof w:val="0"/>
                <w:color w:val="000000"/>
                <w:sz w:val="20"/>
                <w:szCs w:val="20"/>
                <w:lang w:eastAsia="cs-CZ" w:bidi="ar-SA"/>
              </w:rPr>
              <w:t>98,50</w:t>
            </w:r>
            <w:r w:rsidR="007A0D35" w:rsidRPr="00ED38E9">
              <w:rPr>
                <w:rFonts w:eastAsia="MS Mincho" w:cs="Arial"/>
                <w:noProof w:val="0"/>
                <w:color w:val="000000"/>
                <w:sz w:val="20"/>
                <w:szCs w:val="20"/>
                <w:lang w:eastAsia="cs-CZ" w:bidi="ar-SA"/>
              </w:rPr>
              <w:t xml:space="preserve"> </w:t>
            </w:r>
            <w:r w:rsidRPr="00ED38E9">
              <w:rPr>
                <w:rFonts w:eastAsia="MS Mincho" w:cs="Arial"/>
                <w:noProof w:val="0"/>
                <w:color w:val="000000"/>
                <w:sz w:val="20"/>
                <w:szCs w:val="20"/>
                <w:lang w:eastAsia="cs-CZ" w:bidi="ar-SA"/>
              </w:rPr>
              <w:t>%</w:t>
            </w:r>
          </w:p>
        </w:tc>
      </w:tr>
      <w:tr w:rsidR="00ED5B2D" w:rsidRPr="000B7CBF" w:rsidTr="007A0D35">
        <w:trPr>
          <w:trHeight w:val="340"/>
        </w:trPr>
        <w:tc>
          <w:tcPr>
            <w:tcW w:w="1858" w:type="dxa"/>
            <w:shd w:val="clear" w:color="000000" w:fill="FFFFFF"/>
            <w:vAlign w:val="center"/>
            <w:hideMark/>
          </w:tcPr>
          <w:p w:rsidR="00ED5B2D" w:rsidRPr="00ED38E9" w:rsidRDefault="00ED5B2D" w:rsidP="001820AA">
            <w:pPr>
              <w:keepNext/>
              <w:jc w:val="left"/>
              <w:rPr>
                <w:rFonts w:eastAsia="MS Mincho" w:cs="Arial"/>
                <w:b/>
                <w:noProof w:val="0"/>
                <w:color w:val="000000"/>
                <w:sz w:val="20"/>
                <w:szCs w:val="20"/>
                <w:lang w:eastAsia="cs-CZ" w:bidi="ar-SA"/>
              </w:rPr>
            </w:pPr>
            <w:r w:rsidRPr="00ED38E9">
              <w:rPr>
                <w:rFonts w:eastAsia="MS Mincho" w:cs="Arial"/>
                <w:b/>
                <w:noProof w:val="0"/>
                <w:color w:val="000000"/>
                <w:sz w:val="20"/>
                <w:szCs w:val="20"/>
                <w:lang w:eastAsia="cs-CZ" w:bidi="ar-SA"/>
              </w:rPr>
              <w:t>Celkem</w:t>
            </w:r>
          </w:p>
        </w:tc>
        <w:tc>
          <w:tcPr>
            <w:tcW w:w="1843" w:type="dxa"/>
            <w:shd w:val="clear" w:color="000000" w:fill="FFFFFF"/>
            <w:vAlign w:val="center"/>
            <w:hideMark/>
          </w:tcPr>
          <w:p w:rsidR="00ED5B2D" w:rsidRPr="00ED38E9" w:rsidRDefault="00ED5B2D" w:rsidP="001820AA">
            <w:pPr>
              <w:keepNext/>
              <w:jc w:val="center"/>
              <w:rPr>
                <w:rFonts w:eastAsia="MS Mincho" w:cs="Arial"/>
                <w:b/>
                <w:noProof w:val="0"/>
                <w:color w:val="000000"/>
                <w:sz w:val="20"/>
                <w:szCs w:val="20"/>
                <w:lang w:eastAsia="cs-CZ" w:bidi="ar-SA"/>
              </w:rPr>
            </w:pPr>
            <w:r w:rsidRPr="00ED38E9">
              <w:rPr>
                <w:rFonts w:eastAsia="MS Mincho" w:cs="Arial"/>
                <w:b/>
                <w:noProof w:val="0"/>
                <w:color w:val="000000"/>
                <w:sz w:val="20"/>
                <w:szCs w:val="20"/>
                <w:lang w:eastAsia="cs-CZ" w:bidi="ar-SA"/>
              </w:rPr>
              <w:t>77</w:t>
            </w:r>
          </w:p>
        </w:tc>
        <w:tc>
          <w:tcPr>
            <w:tcW w:w="2977" w:type="dxa"/>
            <w:shd w:val="clear" w:color="000000" w:fill="FFFFFF"/>
            <w:vAlign w:val="center"/>
            <w:hideMark/>
          </w:tcPr>
          <w:p w:rsidR="00ED5B2D" w:rsidRPr="00ED38E9" w:rsidRDefault="00ED5B2D" w:rsidP="001820AA">
            <w:pPr>
              <w:keepNext/>
              <w:jc w:val="center"/>
              <w:rPr>
                <w:rFonts w:eastAsia="MS Mincho" w:cs="Arial"/>
                <w:b/>
                <w:noProof w:val="0"/>
                <w:color w:val="000000"/>
                <w:sz w:val="20"/>
                <w:szCs w:val="20"/>
                <w:lang w:eastAsia="cs-CZ" w:bidi="ar-SA"/>
              </w:rPr>
            </w:pPr>
            <w:r w:rsidRPr="00ED38E9">
              <w:rPr>
                <w:rFonts w:eastAsia="MS Mincho" w:cs="Arial"/>
                <w:b/>
                <w:noProof w:val="0"/>
                <w:color w:val="000000"/>
                <w:sz w:val="20"/>
                <w:szCs w:val="20"/>
                <w:lang w:eastAsia="cs-CZ" w:bidi="ar-SA"/>
              </w:rPr>
              <w:t>4 195</w:t>
            </w:r>
          </w:p>
        </w:tc>
        <w:tc>
          <w:tcPr>
            <w:tcW w:w="2467" w:type="dxa"/>
            <w:shd w:val="clear" w:color="000000" w:fill="FFFFFF"/>
            <w:vAlign w:val="center"/>
            <w:hideMark/>
          </w:tcPr>
          <w:p w:rsidR="00ED5B2D" w:rsidRPr="00ED38E9" w:rsidRDefault="00ED5B2D" w:rsidP="001820AA">
            <w:pPr>
              <w:keepNext/>
              <w:jc w:val="center"/>
              <w:rPr>
                <w:rFonts w:eastAsia="MS Mincho" w:cs="Arial"/>
                <w:b/>
                <w:noProof w:val="0"/>
                <w:color w:val="000000"/>
                <w:sz w:val="20"/>
                <w:szCs w:val="20"/>
                <w:lang w:eastAsia="cs-CZ" w:bidi="ar-SA"/>
              </w:rPr>
            </w:pPr>
            <w:r w:rsidRPr="00ED38E9">
              <w:rPr>
                <w:rFonts w:eastAsia="MS Mincho" w:cs="Arial"/>
                <w:b/>
                <w:noProof w:val="0"/>
                <w:color w:val="000000"/>
                <w:sz w:val="20"/>
                <w:szCs w:val="20"/>
                <w:lang w:eastAsia="cs-CZ" w:bidi="ar-SA"/>
              </w:rPr>
              <w:t>100,00</w:t>
            </w:r>
            <w:r w:rsidR="007A0D35" w:rsidRPr="00ED38E9">
              <w:rPr>
                <w:rFonts w:eastAsia="MS Mincho" w:cs="Arial"/>
                <w:b/>
                <w:noProof w:val="0"/>
                <w:color w:val="000000"/>
                <w:sz w:val="20"/>
                <w:szCs w:val="20"/>
                <w:lang w:eastAsia="cs-CZ" w:bidi="ar-SA"/>
              </w:rPr>
              <w:t xml:space="preserve"> </w:t>
            </w:r>
            <w:r w:rsidRPr="00ED38E9">
              <w:rPr>
                <w:rFonts w:eastAsia="MS Mincho" w:cs="Arial"/>
                <w:b/>
                <w:noProof w:val="0"/>
                <w:color w:val="000000"/>
                <w:sz w:val="20"/>
                <w:szCs w:val="20"/>
                <w:lang w:eastAsia="cs-CZ" w:bidi="ar-SA"/>
              </w:rPr>
              <w:t>%</w:t>
            </w:r>
          </w:p>
        </w:tc>
      </w:tr>
    </w:tbl>
    <w:p w:rsidR="00ED5B2D" w:rsidRPr="00ED38E9" w:rsidRDefault="00ED5B2D" w:rsidP="001820AA">
      <w:pPr>
        <w:widowControl w:val="0"/>
        <w:spacing w:line="240" w:lineRule="auto"/>
        <w:rPr>
          <w:rFonts w:cs="Arial"/>
          <w:i/>
          <w:iCs/>
          <w:noProof w:val="0"/>
          <w:color w:val="000000"/>
          <w:sz w:val="20"/>
          <w:szCs w:val="20"/>
          <w:lang w:eastAsia="cs-CZ" w:bidi="ar-SA"/>
        </w:rPr>
      </w:pPr>
      <w:r w:rsidRPr="00ED38E9">
        <w:rPr>
          <w:rFonts w:cs="Arial"/>
          <w:i/>
          <w:iCs/>
          <w:noProof w:val="0"/>
          <w:color w:val="000000"/>
          <w:sz w:val="20"/>
          <w:szCs w:val="20"/>
          <w:lang w:eastAsia="cs-CZ" w:bidi="ar-SA"/>
        </w:rPr>
        <w:t xml:space="preserve">Zdroj: </w:t>
      </w:r>
      <w:r w:rsidR="00A56310" w:rsidRPr="00ED38E9">
        <w:rPr>
          <w:rFonts w:cs="Arial"/>
          <w:i/>
          <w:iCs/>
          <w:noProof w:val="0"/>
          <w:color w:val="000000"/>
          <w:sz w:val="20"/>
          <w:szCs w:val="20"/>
          <w:lang w:eastAsia="cs-CZ" w:bidi="ar-SA"/>
        </w:rPr>
        <w:t>MŽP</w:t>
      </w:r>
      <w:r w:rsidRPr="00ED38E9">
        <w:rPr>
          <w:rFonts w:cs="Arial"/>
          <w:i/>
          <w:iCs/>
          <w:noProof w:val="0"/>
          <w:color w:val="000000"/>
          <w:sz w:val="20"/>
          <w:szCs w:val="20"/>
          <w:lang w:eastAsia="cs-CZ" w:bidi="ar-SA"/>
        </w:rPr>
        <w:t xml:space="preserve"> 2014, EEIP, a.s.</w:t>
      </w:r>
    </w:p>
    <w:p w:rsidR="00ED5B2D" w:rsidRPr="00ED38E9" w:rsidRDefault="00ED5B2D" w:rsidP="006E0E3D">
      <w:pPr>
        <w:spacing w:before="120"/>
        <w:rPr>
          <w:rFonts w:eastAsia="Calibri" w:cs="Arial"/>
          <w:noProof w:val="0"/>
          <w:szCs w:val="22"/>
          <w:lang w:eastAsia="cs-CZ" w:bidi="ar-SA"/>
        </w:rPr>
      </w:pPr>
      <w:r w:rsidRPr="00ED38E9">
        <w:rPr>
          <w:rFonts w:eastAsia="Calibri" w:cs="Arial"/>
          <w:noProof w:val="0"/>
          <w:szCs w:val="22"/>
          <w:lang w:eastAsia="cs-CZ" w:bidi="ar-SA"/>
        </w:rPr>
        <w:t>Pro potřeby evidence jsou v současnosti elektrozařízení rozdělena do 10 skupin. Od</w:t>
      </w:r>
      <w:r w:rsidR="006E0E3D" w:rsidRPr="00ED38E9">
        <w:rPr>
          <w:rFonts w:eastAsia="Calibri" w:cs="Arial"/>
          <w:noProof w:val="0"/>
          <w:szCs w:val="22"/>
          <w:lang w:eastAsia="cs-CZ" w:bidi="ar-SA"/>
        </w:rPr>
        <w:t> </w:t>
      </w:r>
      <w:r w:rsidRPr="00ED38E9">
        <w:rPr>
          <w:rFonts w:eastAsia="Calibri" w:cs="Arial"/>
          <w:noProof w:val="0"/>
          <w:szCs w:val="22"/>
          <w:lang w:eastAsia="cs-CZ" w:bidi="ar-SA"/>
        </w:rPr>
        <w:t>15.</w:t>
      </w:r>
      <w:r w:rsidR="006E0E3D" w:rsidRPr="00ED38E9">
        <w:rPr>
          <w:rFonts w:eastAsia="Calibri" w:cs="Arial"/>
          <w:noProof w:val="0"/>
          <w:szCs w:val="22"/>
          <w:lang w:eastAsia="cs-CZ" w:bidi="ar-SA"/>
        </w:rPr>
        <w:t> </w:t>
      </w:r>
      <w:r w:rsidRPr="00ED38E9">
        <w:rPr>
          <w:rFonts w:eastAsia="Calibri" w:cs="Arial"/>
          <w:noProof w:val="0"/>
          <w:szCs w:val="22"/>
          <w:lang w:eastAsia="cs-CZ" w:bidi="ar-SA"/>
        </w:rPr>
        <w:t>8.</w:t>
      </w:r>
      <w:r w:rsidR="006E0E3D" w:rsidRPr="00ED38E9">
        <w:rPr>
          <w:rFonts w:eastAsia="Calibri" w:cs="Arial"/>
          <w:noProof w:val="0"/>
          <w:szCs w:val="22"/>
          <w:lang w:eastAsia="cs-CZ" w:bidi="ar-SA"/>
        </w:rPr>
        <w:t> </w:t>
      </w:r>
      <w:r w:rsidRPr="00ED38E9">
        <w:rPr>
          <w:rFonts w:eastAsia="Calibri" w:cs="Arial"/>
          <w:noProof w:val="0"/>
          <w:szCs w:val="22"/>
          <w:lang w:eastAsia="cs-CZ" w:bidi="ar-SA"/>
        </w:rPr>
        <w:t>2018, dle Směrnice Evropského parlamentu a Rady 2012/19/EU se toto rozdělení zruší a zařízení se budou evidovat pouze do skupin šesti (</w:t>
      </w:r>
      <w:r w:rsidR="00381FB7">
        <w:rPr>
          <w:rFonts w:eastAsia="Calibri" w:cs="Arial"/>
          <w:noProof w:val="0"/>
          <w:szCs w:val="22"/>
          <w:lang w:eastAsia="cs-CZ" w:bidi="ar-SA"/>
        </w:rPr>
        <w:fldChar w:fldCharType="begin"/>
      </w:r>
      <w:r w:rsidR="006C1859">
        <w:rPr>
          <w:rFonts w:eastAsia="Calibri" w:cs="Arial"/>
          <w:noProof w:val="0"/>
          <w:szCs w:val="22"/>
          <w:lang w:eastAsia="cs-CZ" w:bidi="ar-SA"/>
        </w:rPr>
        <w:instrText xml:space="preserve"> REF _Ref441061814 \h </w:instrText>
      </w:r>
      <w:r w:rsidR="00381FB7">
        <w:rPr>
          <w:rFonts w:eastAsia="Calibri" w:cs="Arial"/>
          <w:noProof w:val="0"/>
          <w:szCs w:val="22"/>
          <w:lang w:eastAsia="cs-CZ" w:bidi="ar-SA"/>
        </w:rPr>
      </w:r>
      <w:r w:rsidR="00381FB7">
        <w:rPr>
          <w:rFonts w:eastAsia="Calibri" w:cs="Arial"/>
          <w:noProof w:val="0"/>
          <w:szCs w:val="22"/>
          <w:lang w:eastAsia="cs-CZ" w:bidi="ar-SA"/>
        </w:rPr>
        <w:fldChar w:fldCharType="end"/>
      </w:r>
      <w:r w:rsidR="00381FB7">
        <w:rPr>
          <w:rFonts w:eastAsia="Calibri" w:cs="Arial"/>
          <w:noProof w:val="0"/>
          <w:szCs w:val="22"/>
          <w:lang w:eastAsia="cs-CZ" w:bidi="ar-SA"/>
        </w:rPr>
        <w:fldChar w:fldCharType="begin"/>
      </w:r>
      <w:r w:rsidR="006C1859">
        <w:rPr>
          <w:rFonts w:eastAsia="Calibri" w:cs="Arial"/>
          <w:noProof w:val="0"/>
          <w:szCs w:val="22"/>
          <w:lang w:eastAsia="cs-CZ" w:bidi="ar-SA"/>
        </w:rPr>
        <w:instrText xml:space="preserve"> REF _Ref402956753 \h </w:instrText>
      </w:r>
      <w:r w:rsidR="00381FB7">
        <w:rPr>
          <w:rFonts w:eastAsia="Calibri" w:cs="Arial"/>
          <w:noProof w:val="0"/>
          <w:szCs w:val="22"/>
          <w:lang w:eastAsia="cs-CZ" w:bidi="ar-SA"/>
        </w:rPr>
      </w:r>
      <w:r w:rsidR="00381FB7">
        <w:rPr>
          <w:rFonts w:eastAsia="Calibri" w:cs="Arial"/>
          <w:noProof w:val="0"/>
          <w:szCs w:val="22"/>
          <w:lang w:eastAsia="cs-CZ" w:bidi="ar-SA"/>
        </w:rPr>
        <w:fldChar w:fldCharType="separate"/>
      </w:r>
      <w:r w:rsidR="006C1859" w:rsidRPr="00ED38E9">
        <w:rPr>
          <w:rFonts w:cs="Arial"/>
          <w:lang w:eastAsia="cs-CZ" w:bidi="ar-SA"/>
        </w:rPr>
        <w:t xml:space="preserve">Tabulka </w:t>
      </w:r>
      <w:r w:rsidR="006C1859">
        <w:rPr>
          <w:rFonts w:cs="Arial"/>
          <w:lang w:eastAsia="cs-CZ" w:bidi="ar-SA"/>
        </w:rPr>
        <w:t>25</w:t>
      </w:r>
      <w:r w:rsidR="00381FB7">
        <w:rPr>
          <w:rFonts w:eastAsia="Calibri" w:cs="Arial"/>
          <w:noProof w:val="0"/>
          <w:szCs w:val="22"/>
          <w:lang w:eastAsia="cs-CZ" w:bidi="ar-SA"/>
        </w:rPr>
        <w:fldChar w:fldCharType="end"/>
      </w:r>
      <w:r w:rsidRPr="00ED38E9">
        <w:rPr>
          <w:rFonts w:eastAsia="Calibri" w:cs="Arial"/>
          <w:noProof w:val="0"/>
          <w:szCs w:val="22"/>
          <w:lang w:eastAsia="cs-CZ" w:bidi="ar-SA"/>
        </w:rPr>
        <w:t xml:space="preserve">). </w:t>
      </w:r>
    </w:p>
    <w:p w:rsidR="00ED5B2D" w:rsidRPr="00ED38E9" w:rsidRDefault="00ED5B2D" w:rsidP="001820AA">
      <w:pPr>
        <w:rPr>
          <w:rFonts w:cs="Arial"/>
          <w:b/>
          <w:bCs/>
          <w:noProof w:val="0"/>
          <w:color w:val="000000"/>
          <w:sz w:val="20"/>
          <w:szCs w:val="22"/>
          <w:lang w:eastAsia="cs-CZ" w:bidi="ar-SA"/>
        </w:rPr>
      </w:pPr>
      <w:r w:rsidRPr="00ED38E9">
        <w:rPr>
          <w:rFonts w:eastAsia="Calibri" w:cs="Arial"/>
          <w:noProof w:val="0"/>
          <w:szCs w:val="22"/>
          <w:lang w:bidi="ar-SA"/>
        </w:rPr>
        <w:t>Dále, zvláště pro potřeby financování, je potřeba rozlišit mezi elektrozařízeními a historickými elektrozařízeními</w:t>
      </w:r>
      <w:r w:rsidR="00580CF0">
        <w:rPr>
          <w:rFonts w:eastAsia="Calibri" w:cs="Arial"/>
          <w:noProof w:val="0"/>
          <w:szCs w:val="22"/>
          <w:lang w:bidi="ar-SA"/>
        </w:rPr>
        <w:t>. H</w:t>
      </w:r>
      <w:r w:rsidRPr="00ED38E9">
        <w:rPr>
          <w:rFonts w:eastAsia="Calibri" w:cs="Arial"/>
          <w:noProof w:val="0"/>
          <w:szCs w:val="22"/>
          <w:lang w:bidi="ar-SA"/>
        </w:rPr>
        <w:t xml:space="preserve">istorická elektrozařízení jsou elektrozařízení pocházející z domácností uvedená na trh do 13. 8. 2005. Historický elektroodpad jsou pak elektrozařízení nepocházející z domácností a uvedená na trh do 13. 8. 2005, která se </w:t>
      </w:r>
      <w:r w:rsidR="00580CF0" w:rsidRPr="00ED38E9">
        <w:rPr>
          <w:rFonts w:eastAsia="Calibri" w:cs="Arial"/>
          <w:noProof w:val="0"/>
          <w:szCs w:val="22"/>
          <w:lang w:bidi="ar-SA"/>
        </w:rPr>
        <w:t>stal</w:t>
      </w:r>
      <w:r w:rsidR="00580CF0">
        <w:rPr>
          <w:rFonts w:eastAsia="Calibri" w:cs="Arial"/>
          <w:noProof w:val="0"/>
          <w:szCs w:val="22"/>
          <w:lang w:bidi="ar-SA"/>
        </w:rPr>
        <w:t>a</w:t>
      </w:r>
      <w:r w:rsidR="00580CF0" w:rsidRPr="00ED38E9">
        <w:rPr>
          <w:rFonts w:eastAsia="Calibri" w:cs="Arial"/>
          <w:noProof w:val="0"/>
          <w:szCs w:val="22"/>
          <w:lang w:bidi="ar-SA"/>
        </w:rPr>
        <w:t xml:space="preserve"> </w:t>
      </w:r>
      <w:r w:rsidRPr="00ED38E9">
        <w:rPr>
          <w:rFonts w:eastAsia="Calibri" w:cs="Arial"/>
          <w:noProof w:val="0"/>
          <w:szCs w:val="22"/>
          <w:lang w:bidi="ar-SA"/>
        </w:rPr>
        <w:t xml:space="preserve">odpadem. Do 1. 10. 2014 bylo dovoleno vybírat PHE (poplatky za historická elektrozařízení) jen některým subjektům. Pro každou skupinu elektrozařízení tak měl zajistit financování nakládání s historickým elektrozařízením pouze jeden kolektivní systém, který byl vybrán na základě </w:t>
      </w:r>
      <w:r w:rsidR="00A977B6">
        <w:rPr>
          <w:rFonts w:eastAsia="Calibri" w:cs="Arial"/>
          <w:noProof w:val="0"/>
          <w:szCs w:val="22"/>
          <w:lang w:bidi="ar-SA"/>
        </w:rPr>
        <w:t>největšího</w:t>
      </w:r>
      <w:r w:rsidR="00A977B6" w:rsidRPr="00ED38E9">
        <w:rPr>
          <w:rFonts w:eastAsia="Calibri" w:cs="Arial"/>
          <w:noProof w:val="0"/>
          <w:szCs w:val="22"/>
          <w:lang w:bidi="ar-SA"/>
        </w:rPr>
        <w:t xml:space="preserve"> </w:t>
      </w:r>
      <w:r w:rsidRPr="00ED38E9">
        <w:rPr>
          <w:rFonts w:eastAsia="Calibri" w:cs="Arial"/>
          <w:noProof w:val="0"/>
          <w:szCs w:val="22"/>
          <w:lang w:bidi="ar-SA"/>
        </w:rPr>
        <w:t xml:space="preserve">podílu na trhu jeho výrobců. Uvedené neplatí pro skupinu 3, kde získaly v roce 2011 rozhodnutím </w:t>
      </w:r>
      <w:r w:rsidR="00A56310" w:rsidRPr="00ED38E9">
        <w:rPr>
          <w:rFonts w:eastAsia="Calibri" w:cs="Arial"/>
          <w:noProof w:val="0"/>
          <w:szCs w:val="22"/>
          <w:lang w:bidi="ar-SA"/>
        </w:rPr>
        <w:t>MŽP</w:t>
      </w:r>
      <w:r w:rsidRPr="00ED38E9">
        <w:rPr>
          <w:rFonts w:eastAsia="Calibri" w:cs="Arial"/>
          <w:noProof w:val="0"/>
          <w:szCs w:val="22"/>
          <w:lang w:bidi="ar-SA"/>
        </w:rPr>
        <w:t xml:space="preserve"> tuto možnost systémy tři (a</w:t>
      </w:r>
      <w:r w:rsidR="006E0E3D" w:rsidRPr="00ED38E9">
        <w:rPr>
          <w:rFonts w:eastAsia="Calibri" w:cs="Arial"/>
          <w:noProof w:val="0"/>
          <w:szCs w:val="22"/>
          <w:lang w:bidi="ar-SA"/>
        </w:rPr>
        <w:t> </w:t>
      </w:r>
      <w:r w:rsidRPr="00ED38E9">
        <w:rPr>
          <w:rFonts w:eastAsia="Calibri" w:cs="Arial"/>
          <w:noProof w:val="0"/>
          <w:szCs w:val="22"/>
          <w:lang w:bidi="ar-SA"/>
        </w:rPr>
        <w:t>to ty, kt</w:t>
      </w:r>
      <w:r w:rsidR="00FF0A24">
        <w:rPr>
          <w:rFonts w:eastAsia="Calibri" w:cs="Arial"/>
          <w:noProof w:val="0"/>
          <w:szCs w:val="22"/>
          <w:lang w:bidi="ar-SA"/>
        </w:rPr>
        <w:t>eré podaly v roce 2005 žádost o </w:t>
      </w:r>
      <w:r w:rsidRPr="00ED38E9">
        <w:rPr>
          <w:rFonts w:eastAsia="Calibri" w:cs="Arial"/>
          <w:noProof w:val="0"/>
          <w:szCs w:val="22"/>
          <w:lang w:bidi="ar-SA"/>
        </w:rPr>
        <w:t>zajišťování financování nakládání s HEEZ v této skupině). Od 1. 10. 2014 je umožněno vybírat poplatky za HEEZ všem kolektivním systémům.</w:t>
      </w:r>
      <w:r w:rsidRPr="00ED38E9">
        <w:rPr>
          <w:rFonts w:cs="Arial"/>
          <w:b/>
          <w:bCs/>
          <w:noProof w:val="0"/>
          <w:color w:val="000000"/>
          <w:sz w:val="20"/>
          <w:szCs w:val="22"/>
          <w:lang w:eastAsia="cs-CZ" w:bidi="ar-SA"/>
        </w:rPr>
        <w:t xml:space="preserve"> </w:t>
      </w:r>
    </w:p>
    <w:p w:rsidR="00ED5B2D" w:rsidRPr="00ED38E9" w:rsidRDefault="00ED5B2D" w:rsidP="001820AA">
      <w:pPr>
        <w:rPr>
          <w:rFonts w:eastAsia="Calibri" w:cs="Arial"/>
          <w:noProof w:val="0"/>
          <w:szCs w:val="22"/>
          <w:lang w:bidi="ar-SA"/>
        </w:rPr>
      </w:pPr>
      <w:r w:rsidRPr="00ED38E9">
        <w:rPr>
          <w:rFonts w:eastAsia="Calibri" w:cs="Arial"/>
          <w:noProof w:val="0"/>
          <w:szCs w:val="22"/>
          <w:lang w:bidi="ar-SA"/>
        </w:rPr>
        <w:t>Financování zpětného odběru a odděleného sběru závisí na tom, kdy bylo dané zboží uvedeno na trh – klíčové datum pro většinu elektrozařízení je 13. 8. 2005, pouze pro solární panely je to 1. 1. 2013. Pokud bylo elektrozařízení uvedeno na trh po datu 13. 8. 2005, výrobce financuje veškerý zpětný odběr, zpracování, využití a odstranění jeho elektrozařízení pocházející</w:t>
      </w:r>
      <w:r w:rsidR="00D178C8" w:rsidRPr="00ED38E9">
        <w:rPr>
          <w:rFonts w:eastAsia="Calibri" w:cs="Arial"/>
          <w:noProof w:val="0"/>
          <w:szCs w:val="22"/>
          <w:lang w:bidi="ar-SA"/>
        </w:rPr>
        <w:t>ch</w:t>
      </w:r>
      <w:r w:rsidRPr="00ED38E9">
        <w:rPr>
          <w:rFonts w:eastAsia="Calibri" w:cs="Arial"/>
          <w:noProof w:val="0"/>
          <w:szCs w:val="22"/>
          <w:lang w:bidi="ar-SA"/>
        </w:rPr>
        <w:t xml:space="preserve"> z domácností. Při uvedení produktu na trh je nutné tento proces finančně zajistit, a to formou účelově vázaného bankovního účtu nebo speciálním pojištěním</w:t>
      </w:r>
      <w:r w:rsidR="00373739">
        <w:rPr>
          <w:rFonts w:eastAsia="Calibri" w:cs="Arial"/>
          <w:noProof w:val="0"/>
          <w:szCs w:val="22"/>
          <w:lang w:bidi="ar-SA"/>
        </w:rPr>
        <w:t>, ledaže je výrobce zapojen do KS</w:t>
      </w:r>
      <w:r w:rsidRPr="00ED38E9">
        <w:rPr>
          <w:rFonts w:eastAsia="Calibri" w:cs="Arial"/>
          <w:noProof w:val="0"/>
          <w:szCs w:val="22"/>
          <w:lang w:bidi="ar-SA"/>
        </w:rPr>
        <w:t xml:space="preserve">. Byl-li produkt uveden na trh před 13. 8. 2005, musí všichni výrobci </w:t>
      </w:r>
      <w:r w:rsidR="00580CF0" w:rsidRPr="009E05C8">
        <w:rPr>
          <w:rFonts w:eastAsia="Calibri" w:cs="Arial"/>
          <w:noProof w:val="0"/>
          <w:szCs w:val="22"/>
          <w:lang w:bidi="ar-SA"/>
        </w:rPr>
        <w:t>činní</w:t>
      </w:r>
      <w:r w:rsidR="00580CF0" w:rsidRPr="000B7CBF">
        <w:rPr>
          <w:rFonts w:eastAsia="Calibri" w:cs="Arial"/>
          <w:noProof w:val="0"/>
          <w:szCs w:val="22"/>
          <w:lang w:bidi="ar-SA"/>
        </w:rPr>
        <w:t xml:space="preserve"> </w:t>
      </w:r>
      <w:r w:rsidRPr="00ED38E9">
        <w:rPr>
          <w:rFonts w:eastAsia="Calibri" w:cs="Arial"/>
          <w:noProof w:val="0"/>
          <w:szCs w:val="22"/>
          <w:lang w:bidi="ar-SA"/>
        </w:rPr>
        <w:t>na trhu vytvořit systém, do kterého přispívají dle svého podílu na trhu</w:t>
      </w:r>
      <w:r w:rsidR="00580CF0">
        <w:rPr>
          <w:rFonts w:eastAsia="Calibri" w:cs="Arial"/>
          <w:noProof w:val="0"/>
          <w:szCs w:val="22"/>
          <w:lang w:bidi="ar-SA"/>
        </w:rPr>
        <w:t>,</w:t>
      </w:r>
      <w:r w:rsidRPr="00ED38E9">
        <w:rPr>
          <w:rFonts w:eastAsia="Calibri" w:cs="Arial"/>
          <w:noProof w:val="0"/>
          <w:szCs w:val="22"/>
          <w:lang w:bidi="ar-SA"/>
        </w:rPr>
        <w:t xml:space="preserve"> a ze kterého bud</w:t>
      </w:r>
      <w:r w:rsidR="00373739">
        <w:rPr>
          <w:rFonts w:eastAsia="Calibri" w:cs="Arial"/>
          <w:noProof w:val="0"/>
          <w:szCs w:val="22"/>
          <w:lang w:bidi="ar-SA"/>
        </w:rPr>
        <w:t>ou</w:t>
      </w:r>
      <w:r w:rsidRPr="00ED38E9">
        <w:rPr>
          <w:rFonts w:eastAsia="Calibri" w:cs="Arial"/>
          <w:noProof w:val="0"/>
          <w:szCs w:val="22"/>
          <w:lang w:bidi="ar-SA"/>
        </w:rPr>
        <w:t xml:space="preserve"> zpětný odběr, zpracování, využití a odstranění financován</w:t>
      </w:r>
      <w:r w:rsidR="00373739">
        <w:rPr>
          <w:rFonts w:eastAsia="Calibri" w:cs="Arial"/>
          <w:noProof w:val="0"/>
          <w:szCs w:val="22"/>
          <w:lang w:bidi="ar-SA"/>
        </w:rPr>
        <w:t>y</w:t>
      </w:r>
      <w:r w:rsidRPr="00ED38E9">
        <w:rPr>
          <w:rFonts w:eastAsia="Calibri" w:cs="Arial"/>
          <w:noProof w:val="0"/>
          <w:szCs w:val="22"/>
          <w:lang w:bidi="ar-SA"/>
        </w:rPr>
        <w:t xml:space="preserve">. Jedná-li se o oddělený sběr </w:t>
      </w:r>
      <w:r w:rsidR="00373739">
        <w:rPr>
          <w:rFonts w:eastAsia="Calibri" w:cs="Arial"/>
          <w:noProof w:val="0"/>
          <w:szCs w:val="22"/>
          <w:lang w:bidi="ar-SA"/>
        </w:rPr>
        <w:t xml:space="preserve">elektroodpadu (tj. EEZ nepocházející z domácností) </w:t>
      </w:r>
      <w:r w:rsidRPr="00ED38E9">
        <w:rPr>
          <w:rFonts w:eastAsia="Calibri" w:cs="Arial"/>
          <w:noProof w:val="0"/>
          <w:szCs w:val="22"/>
          <w:lang w:bidi="ar-SA"/>
        </w:rPr>
        <w:t>pro výrobek uvedený na trh po 13. 8. 2005, výrobce zajišťuje jeho financování sám. Pro výrobek uvedený na trh před tímto datem záleží na tom, zda je elektrozařízení nahrazováno výrobky stejného typu. Pokud ano, financuje proces výrobce nového zařízení (do množství, které dodá). V případě, že nedochází k náhradě, financování je zajišťováno konečnými uživateli. Speciální kategorii tvoří solární panely. P</w:t>
      </w:r>
      <w:r w:rsidR="00373739">
        <w:rPr>
          <w:rFonts w:eastAsia="Calibri" w:cs="Arial"/>
          <w:noProof w:val="0"/>
          <w:szCs w:val="22"/>
          <w:lang w:bidi="ar-SA"/>
        </w:rPr>
        <w:t>r</w:t>
      </w:r>
      <w:r w:rsidRPr="00ED38E9">
        <w:rPr>
          <w:rFonts w:eastAsia="Calibri" w:cs="Arial"/>
          <w:noProof w:val="0"/>
          <w:szCs w:val="22"/>
          <w:lang w:bidi="ar-SA"/>
        </w:rPr>
        <w:t xml:space="preserve">o </w:t>
      </w:r>
      <w:r w:rsidR="00373739">
        <w:rPr>
          <w:rFonts w:eastAsia="Calibri" w:cs="Arial"/>
          <w:noProof w:val="0"/>
          <w:szCs w:val="22"/>
          <w:lang w:bidi="ar-SA"/>
        </w:rPr>
        <w:t xml:space="preserve">panely uvedené na trh po </w:t>
      </w:r>
      <w:r w:rsidRPr="00ED38E9">
        <w:rPr>
          <w:rFonts w:eastAsia="Calibri" w:cs="Arial"/>
          <w:noProof w:val="0"/>
          <w:szCs w:val="22"/>
          <w:lang w:bidi="ar-SA"/>
        </w:rPr>
        <w:t>1. 1. 2013 individuálně plnící výrobce ukládá obnos potřebný pro finanční zajištění na účelově vázaný bankovní účet ještě před uvedením solárního panelu na trh, aby nedošlo k podfinancování procesu. Za finanční zajištění solárních panelů uvedených na trh před 1. 1. 2013 jsou odpovědní jejich provozovatelé, resp. provozovatelé solárních elektráren.</w:t>
      </w:r>
    </w:p>
    <w:p w:rsidR="00ED5B2D" w:rsidRPr="00ED38E9" w:rsidRDefault="00ED5B2D" w:rsidP="001820AA">
      <w:pPr>
        <w:rPr>
          <w:rFonts w:eastAsia="Calibri" w:cs="Arial"/>
          <w:noProof w:val="0"/>
          <w:szCs w:val="22"/>
          <w:lang w:bidi="ar-SA"/>
        </w:rPr>
      </w:pPr>
      <w:r w:rsidRPr="00ED38E9">
        <w:rPr>
          <w:rFonts w:eastAsia="Calibri" w:cs="Arial"/>
          <w:noProof w:val="0"/>
          <w:szCs w:val="22"/>
          <w:lang w:bidi="ar-SA"/>
        </w:rPr>
        <w:t xml:space="preserve">Systém zpětného odběru je tedy financován prostřednictvím recyklačních </w:t>
      </w:r>
      <w:r w:rsidR="00373739">
        <w:rPr>
          <w:rFonts w:eastAsia="Calibri" w:cs="Arial"/>
          <w:noProof w:val="0"/>
          <w:szCs w:val="22"/>
          <w:lang w:bidi="ar-SA"/>
        </w:rPr>
        <w:t>příspěvků</w:t>
      </w:r>
      <w:r w:rsidRPr="00ED38E9">
        <w:rPr>
          <w:rFonts w:eastAsia="Calibri" w:cs="Arial"/>
          <w:noProof w:val="0"/>
          <w:szCs w:val="22"/>
          <w:lang w:bidi="ar-SA"/>
        </w:rPr>
        <w:t xml:space="preserve">. Současná právní úprava neumožnuje dostatečnou kontrolu nakládání s vybranými prostředky. Jedním z vedlejších cílů navrhované právní úpravy, který se odráží i v rámci samotného </w:t>
      </w:r>
      <w:r w:rsidRPr="00ED38E9">
        <w:rPr>
          <w:rFonts w:eastAsia="Calibri" w:cs="Arial"/>
          <w:noProof w:val="0"/>
          <w:szCs w:val="22"/>
          <w:lang w:bidi="ar-SA"/>
        </w:rPr>
        <w:lastRenderedPageBreak/>
        <w:t>Hodnocení dopadů regulace, je zajištění dostatečných finančních zdrojů pro nakládání s </w:t>
      </w:r>
      <w:r w:rsidR="00373739">
        <w:rPr>
          <w:rFonts w:eastAsia="Calibri" w:cs="Arial"/>
          <w:noProof w:val="0"/>
          <w:szCs w:val="22"/>
          <w:lang w:bidi="ar-SA"/>
        </w:rPr>
        <w:t>OEEZ</w:t>
      </w:r>
      <w:r w:rsidRPr="00ED38E9">
        <w:rPr>
          <w:rFonts w:eastAsia="Calibri" w:cs="Arial"/>
          <w:noProof w:val="0"/>
          <w:szCs w:val="22"/>
          <w:lang w:bidi="ar-SA"/>
        </w:rPr>
        <w:t xml:space="preserve"> v souladu se zákonem stanovenými požadavky při efektivním využívání vybraných prostředků. K naplnění tohoto cíle by mělo pomoci zefektivnění kontrolní činnosti veřejné správy.</w:t>
      </w:r>
    </w:p>
    <w:tbl>
      <w:tblPr>
        <w:tblW w:w="8575" w:type="dxa"/>
        <w:tblCellMar>
          <w:left w:w="70" w:type="dxa"/>
          <w:right w:w="70" w:type="dxa"/>
        </w:tblCellMar>
        <w:tblLook w:val="04A0" w:firstRow="1" w:lastRow="0" w:firstColumn="1" w:lastColumn="0" w:noHBand="0" w:noVBand="1"/>
      </w:tblPr>
      <w:tblGrid>
        <w:gridCol w:w="9212"/>
      </w:tblGrid>
      <w:tr w:rsidR="00ED5B2D" w:rsidRPr="000B7CBF" w:rsidTr="00ED38E9">
        <w:trPr>
          <w:trHeight w:val="6672"/>
        </w:trPr>
        <w:tc>
          <w:tcPr>
            <w:tcW w:w="8575" w:type="dxa"/>
            <w:tcBorders>
              <w:top w:val="nil"/>
              <w:left w:val="nil"/>
              <w:bottom w:val="nil"/>
              <w:right w:val="nil"/>
            </w:tcBorders>
            <w:shd w:val="clear" w:color="auto" w:fill="auto"/>
            <w:vAlign w:val="center"/>
            <w:hideMark/>
          </w:tcPr>
          <w:p w:rsidR="00ED5B2D" w:rsidRPr="00ED38E9" w:rsidRDefault="00ED5B2D" w:rsidP="005140E5">
            <w:pPr>
              <w:pStyle w:val="Titulek"/>
              <w:rPr>
                <w:rFonts w:cs="Arial"/>
                <w:lang w:eastAsia="cs-CZ" w:bidi="ar-SA"/>
              </w:rPr>
            </w:pPr>
            <w:bookmarkStart w:id="43" w:name="_Ref402956753"/>
            <w:bookmarkStart w:id="44" w:name="_Ref441061814"/>
            <w:r w:rsidRPr="00ED38E9">
              <w:rPr>
                <w:rFonts w:cs="Arial"/>
                <w:lang w:eastAsia="cs-CZ" w:bidi="ar-SA"/>
              </w:rPr>
              <w:t xml:space="preserve">Tabulka </w:t>
            </w:r>
            <w:r w:rsidR="00381FB7" w:rsidRPr="00ED38E9">
              <w:rPr>
                <w:rFonts w:cs="Arial"/>
                <w:lang w:eastAsia="cs-CZ" w:bidi="ar-SA"/>
              </w:rPr>
              <w:fldChar w:fldCharType="begin"/>
            </w:r>
            <w:r w:rsidRPr="00ED38E9">
              <w:rPr>
                <w:rFonts w:cs="Arial"/>
                <w:lang w:eastAsia="cs-CZ" w:bidi="ar-SA"/>
              </w:rPr>
              <w:instrText xml:space="preserve"> SEQ Tabulka \* ARABIC </w:instrText>
            </w:r>
            <w:r w:rsidR="00381FB7" w:rsidRPr="00ED38E9">
              <w:rPr>
                <w:rFonts w:cs="Arial"/>
                <w:lang w:eastAsia="cs-CZ" w:bidi="ar-SA"/>
              </w:rPr>
              <w:fldChar w:fldCharType="separate"/>
            </w:r>
            <w:r w:rsidR="00FD5E92">
              <w:rPr>
                <w:rFonts w:cs="Arial"/>
                <w:lang w:eastAsia="cs-CZ" w:bidi="ar-SA"/>
              </w:rPr>
              <w:t>25</w:t>
            </w:r>
            <w:r w:rsidR="00381FB7" w:rsidRPr="00ED38E9">
              <w:rPr>
                <w:rFonts w:cs="Arial"/>
                <w:lang w:eastAsia="cs-CZ" w:bidi="ar-SA"/>
              </w:rPr>
              <w:fldChar w:fldCharType="end"/>
            </w:r>
            <w:bookmarkEnd w:id="43"/>
            <w:r w:rsidRPr="00ED38E9">
              <w:rPr>
                <w:rFonts w:cs="Arial"/>
                <w:lang w:eastAsia="cs-CZ" w:bidi="ar-SA"/>
              </w:rPr>
              <w:t>: Skupiny elektrozařízení</w:t>
            </w:r>
            <w:bookmarkEnd w:id="44"/>
          </w:p>
          <w:tbl>
            <w:tblPr>
              <w:tblW w:w="9067" w:type="dxa"/>
              <w:tblCellMar>
                <w:left w:w="70" w:type="dxa"/>
                <w:right w:w="70" w:type="dxa"/>
              </w:tblCellMar>
              <w:tblLook w:val="04A0" w:firstRow="1" w:lastRow="0" w:firstColumn="1" w:lastColumn="0" w:noHBand="0" w:noVBand="1"/>
            </w:tblPr>
            <w:tblGrid>
              <w:gridCol w:w="2056"/>
              <w:gridCol w:w="141"/>
              <w:gridCol w:w="6865"/>
            </w:tblGrid>
            <w:tr w:rsidR="00ED5B2D" w:rsidRPr="000B7CBF" w:rsidTr="00112FE8">
              <w:trPr>
                <w:trHeight w:val="314"/>
              </w:trPr>
              <w:tc>
                <w:tcPr>
                  <w:tcW w:w="2198" w:type="dxa"/>
                  <w:gridSpan w:val="2"/>
                  <w:tcBorders>
                    <w:top w:val="single" w:sz="4" w:space="0" w:color="auto"/>
                    <w:left w:val="single" w:sz="4" w:space="0" w:color="auto"/>
                    <w:bottom w:val="single" w:sz="4" w:space="0" w:color="auto"/>
                  </w:tcBorders>
                  <w:shd w:val="clear" w:color="000000" w:fill="FFFFFF"/>
                  <w:noWrap/>
                  <w:vAlign w:val="bottom"/>
                  <w:hideMark/>
                </w:tcPr>
                <w:p w:rsidR="00ED5B2D" w:rsidRPr="00ED38E9" w:rsidRDefault="00ED5B2D" w:rsidP="00ED5B2D">
                  <w:pPr>
                    <w:keepNext/>
                    <w:spacing w:before="60" w:after="60" w:line="240" w:lineRule="auto"/>
                    <w:jc w:val="left"/>
                    <w:rPr>
                      <w:rFonts w:eastAsia="MS Mincho" w:cs="Arial"/>
                      <w:b/>
                      <w:noProof w:val="0"/>
                      <w:sz w:val="18"/>
                      <w:szCs w:val="20"/>
                      <w:lang w:eastAsia="cs-CZ" w:bidi="ar-SA"/>
                    </w:rPr>
                  </w:pPr>
                  <w:r w:rsidRPr="00ED38E9">
                    <w:rPr>
                      <w:rFonts w:eastAsia="MS Mincho" w:cs="Arial"/>
                      <w:b/>
                      <w:noProof w:val="0"/>
                      <w:sz w:val="18"/>
                      <w:szCs w:val="20"/>
                      <w:lang w:eastAsia="cs-CZ" w:bidi="ar-SA"/>
                    </w:rPr>
                    <w:t>Platné do 15. 8. 2018</w:t>
                  </w:r>
                </w:p>
              </w:tc>
              <w:tc>
                <w:tcPr>
                  <w:tcW w:w="6869" w:type="dxa"/>
                  <w:tcBorders>
                    <w:top w:val="single" w:sz="4" w:space="0" w:color="auto"/>
                    <w:bottom w:val="single" w:sz="4" w:space="0" w:color="auto"/>
                    <w:right w:val="single" w:sz="4" w:space="0" w:color="auto"/>
                  </w:tcBorders>
                  <w:shd w:val="clear" w:color="000000" w:fill="FFFFFF"/>
                  <w:noWrap/>
                  <w:vAlign w:val="bottom"/>
                  <w:hideMark/>
                </w:tcPr>
                <w:p w:rsidR="00ED5B2D" w:rsidRPr="00ED38E9" w:rsidRDefault="00ED5B2D" w:rsidP="00ED5B2D">
                  <w:pPr>
                    <w:keepNext/>
                    <w:widowControl w:val="0"/>
                    <w:spacing w:line="240" w:lineRule="auto"/>
                    <w:jc w:val="left"/>
                    <w:rPr>
                      <w:rFonts w:cs="Arial"/>
                      <w:b/>
                      <w:bCs/>
                      <w:noProof w:val="0"/>
                      <w:color w:val="000000"/>
                      <w:sz w:val="20"/>
                      <w:szCs w:val="20"/>
                      <w:lang w:eastAsia="cs-CZ" w:bidi="ar-SA"/>
                    </w:rPr>
                  </w:pPr>
                  <w:r w:rsidRPr="00ED38E9">
                    <w:rPr>
                      <w:rFonts w:cs="Arial"/>
                      <w:b/>
                      <w:bCs/>
                      <w:noProof w:val="0"/>
                      <w:color w:val="000000"/>
                      <w:sz w:val="20"/>
                      <w:szCs w:val="20"/>
                      <w:lang w:eastAsia="cs-CZ" w:bidi="ar-SA"/>
                    </w:rPr>
                    <w:t> </w:t>
                  </w:r>
                </w:p>
              </w:tc>
            </w:tr>
            <w:tr w:rsidR="00ED5B2D" w:rsidRPr="000B7CBF" w:rsidTr="00ED38E9">
              <w:trPr>
                <w:trHeight w:val="510"/>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2907BD" w:rsidP="006E0E3D">
                  <w:pPr>
                    <w:keepNext/>
                    <w:jc w:val="center"/>
                    <w:rPr>
                      <w:rFonts w:eastAsia="MS Mincho" w:cs="Arial"/>
                      <w:b/>
                      <w:noProof w:val="0"/>
                      <w:sz w:val="18"/>
                      <w:szCs w:val="20"/>
                      <w:lang w:eastAsia="cs-CZ" w:bidi="ar-SA"/>
                    </w:rPr>
                  </w:pPr>
                  <w:r>
                    <w:rPr>
                      <w:rFonts w:eastAsia="MS Mincho" w:cs="Arial"/>
                      <w:b/>
                      <w:noProof w:val="0"/>
                      <w:sz w:val="18"/>
                      <w:szCs w:val="20"/>
                      <w:lang w:eastAsia="cs-CZ" w:bidi="ar-SA"/>
                    </w:rPr>
                    <w:t>Skupina</w:t>
                  </w:r>
                </w:p>
              </w:tc>
              <w:tc>
                <w:tcPr>
                  <w:tcW w:w="70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6E0E3D">
                  <w:pPr>
                    <w:keepNext/>
                    <w:jc w:val="left"/>
                    <w:rPr>
                      <w:rFonts w:eastAsia="MS Mincho" w:cs="Arial"/>
                      <w:b/>
                      <w:noProof w:val="0"/>
                      <w:sz w:val="18"/>
                      <w:szCs w:val="20"/>
                      <w:lang w:eastAsia="cs-CZ" w:bidi="ar-SA"/>
                    </w:rPr>
                  </w:pPr>
                  <w:r w:rsidRPr="00ED38E9">
                    <w:rPr>
                      <w:rFonts w:eastAsia="MS Mincho" w:cs="Arial"/>
                      <w:b/>
                      <w:noProof w:val="0"/>
                      <w:sz w:val="18"/>
                      <w:szCs w:val="20"/>
                      <w:lang w:eastAsia="cs-CZ" w:bidi="ar-SA"/>
                    </w:rPr>
                    <w:t>Elektrozařízení</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Velké domácí spotřebiče (pračky, mikrovlnné trouby, klimatizační zařízení,…)</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Malé domácí spotřebiče (vysavače, fritézy, elektrické kartáčky na zuby,…)</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3.</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Zařízení informačních technologií a telekomunikační zařízení (tiskárny, telefonní přístroje, notebooky,…)</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4.</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 xml:space="preserve">Spotřebitelské zařízení a solární panely (rozhlasové přijímače, hudební nástroje, </w:t>
                  </w:r>
                  <w:proofErr w:type="spellStart"/>
                  <w:r w:rsidRPr="00ED38E9">
                    <w:rPr>
                      <w:rFonts w:eastAsia="MS Mincho" w:cs="Arial"/>
                      <w:noProof w:val="0"/>
                      <w:sz w:val="18"/>
                      <w:szCs w:val="20"/>
                      <w:lang w:eastAsia="cs-CZ" w:bidi="ar-SA"/>
                    </w:rPr>
                    <w:t>fotovoltaické</w:t>
                  </w:r>
                  <w:proofErr w:type="spellEnd"/>
                  <w:r w:rsidRPr="00ED38E9">
                    <w:rPr>
                      <w:rFonts w:eastAsia="MS Mincho" w:cs="Arial"/>
                      <w:noProof w:val="0"/>
                      <w:sz w:val="18"/>
                      <w:szCs w:val="20"/>
                      <w:lang w:eastAsia="cs-CZ" w:bidi="ar-SA"/>
                    </w:rPr>
                    <w:t xml:space="preserve"> panely,…)</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Osvětlovací zařízení (kompaktní zářivky, nízkotlaké sodíkové výbojky, přímé (trubicové) zářivky,…)</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6.</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Elektrické a elektronické nástroje s výjimkou velkých stacionárních průmyslových nástrojů (vrtačky, šicí stroje, pily,…)</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7.</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Hračky, vybavení pro volný čas a sporty (videohry, elektrické vláčky, výherní mincovní automaty,…)</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Lékařské přístroje s výjimkou všech implantovaných a infikovaných výrobků (kardiologická zařízení, přístroje nukleární medicíny, mrazící zařízení,…)</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9.</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Přístroje pro monitorování a kontrolu (termostaty, detektory kouře, regulační ventily topení,…)</w:t>
                  </w:r>
                </w:p>
              </w:tc>
            </w:tr>
            <w:tr w:rsidR="00ED5B2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10.</w:t>
                  </w:r>
                </w:p>
              </w:tc>
              <w:tc>
                <w:tcPr>
                  <w:tcW w:w="7010"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ED5B2D" w:rsidRPr="00ED38E9" w:rsidRDefault="00ED5B2D" w:rsidP="006E0E3D">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Výdejní automaty (automaty na horké nápoje, automaty na pevné výrobky, automaty na peníze,…)</w:t>
                  </w:r>
                </w:p>
              </w:tc>
            </w:tr>
          </w:tbl>
          <w:p w:rsidR="00ED5B2D" w:rsidRPr="00ED38E9" w:rsidRDefault="00ED5B2D" w:rsidP="00ED5B2D">
            <w:pPr>
              <w:keepNext/>
              <w:widowControl w:val="0"/>
              <w:spacing w:line="240" w:lineRule="auto"/>
              <w:jc w:val="left"/>
              <w:rPr>
                <w:rFonts w:cs="Arial"/>
                <w:i/>
                <w:iCs/>
                <w:noProof w:val="0"/>
                <w:color w:val="000000"/>
                <w:sz w:val="20"/>
                <w:szCs w:val="20"/>
                <w:lang w:eastAsia="cs-CZ" w:bidi="ar-SA"/>
              </w:rPr>
            </w:pPr>
          </w:p>
        </w:tc>
      </w:tr>
    </w:tbl>
    <w:p w:rsidR="00ED5B2D" w:rsidRPr="00ED38E9" w:rsidRDefault="00ED5B2D" w:rsidP="001820AA">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Zákon č. 185/2001 Sb. o odpadech a o změně některých dalších zákonů, Směrnice Evropského parlamentu a rady 2012/19/EU</w:t>
      </w:r>
    </w:p>
    <w:p w:rsidR="002740C3" w:rsidRPr="00ED38E9" w:rsidRDefault="002740C3" w:rsidP="002740C3">
      <w:pPr>
        <w:pStyle w:val="Titulek"/>
        <w:rPr>
          <w:rFonts w:cs="Arial"/>
        </w:rPr>
      </w:pPr>
      <w:r w:rsidRPr="00ED38E9">
        <w:rPr>
          <w:rFonts w:cs="Arial"/>
        </w:rPr>
        <w:lastRenderedPageBreak/>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26</w:t>
      </w:r>
      <w:r w:rsidR="00381FB7" w:rsidRPr="00ED38E9">
        <w:rPr>
          <w:rFonts w:cs="Arial"/>
        </w:rPr>
        <w:fldChar w:fldCharType="end"/>
      </w:r>
      <w:r w:rsidRPr="00ED38E9">
        <w:rPr>
          <w:rFonts w:cs="Arial"/>
        </w:rPr>
        <w:t>: Skupiny elektrozařízení platné od 15. 8. 2018</w:t>
      </w:r>
    </w:p>
    <w:tbl>
      <w:tblPr>
        <w:tblW w:w="9142" w:type="dxa"/>
        <w:tblCellMar>
          <w:left w:w="70" w:type="dxa"/>
          <w:right w:w="70" w:type="dxa"/>
        </w:tblCellMar>
        <w:tblLook w:val="04A0" w:firstRow="1" w:lastRow="0" w:firstColumn="1" w:lastColumn="0" w:noHBand="0" w:noVBand="1"/>
      </w:tblPr>
      <w:tblGrid>
        <w:gridCol w:w="2057"/>
        <w:gridCol w:w="141"/>
        <w:gridCol w:w="6944"/>
      </w:tblGrid>
      <w:tr w:rsidR="006E0E3D" w:rsidRPr="000B7CBF" w:rsidTr="00112FE8">
        <w:trPr>
          <w:trHeight w:val="314"/>
        </w:trPr>
        <w:tc>
          <w:tcPr>
            <w:tcW w:w="2198" w:type="dxa"/>
            <w:gridSpan w:val="2"/>
            <w:tcBorders>
              <w:top w:val="single" w:sz="4" w:space="0" w:color="auto"/>
              <w:left w:val="single" w:sz="4" w:space="0" w:color="auto"/>
              <w:bottom w:val="single" w:sz="4" w:space="0" w:color="auto"/>
            </w:tcBorders>
            <w:shd w:val="clear" w:color="000000" w:fill="FFFFFF"/>
            <w:noWrap/>
            <w:vAlign w:val="bottom"/>
            <w:hideMark/>
          </w:tcPr>
          <w:p w:rsidR="006E0E3D" w:rsidRPr="00ED38E9" w:rsidRDefault="006E0E3D" w:rsidP="007A0D35">
            <w:pPr>
              <w:keepNext/>
              <w:spacing w:before="60" w:after="60" w:line="240" w:lineRule="auto"/>
              <w:jc w:val="left"/>
              <w:rPr>
                <w:rFonts w:eastAsia="MS Mincho" w:cs="Arial"/>
                <w:b/>
                <w:noProof w:val="0"/>
                <w:sz w:val="18"/>
                <w:szCs w:val="20"/>
                <w:lang w:eastAsia="cs-CZ" w:bidi="ar-SA"/>
              </w:rPr>
            </w:pPr>
            <w:r w:rsidRPr="00ED38E9">
              <w:rPr>
                <w:rFonts w:eastAsia="MS Mincho" w:cs="Arial"/>
                <w:b/>
                <w:noProof w:val="0"/>
                <w:sz w:val="18"/>
                <w:szCs w:val="20"/>
                <w:lang w:eastAsia="cs-CZ" w:bidi="ar-SA"/>
              </w:rPr>
              <w:t>Platné od 15. 8. 2018</w:t>
            </w:r>
          </w:p>
        </w:tc>
        <w:tc>
          <w:tcPr>
            <w:tcW w:w="6944" w:type="dxa"/>
            <w:tcBorders>
              <w:top w:val="single" w:sz="4" w:space="0" w:color="auto"/>
              <w:bottom w:val="single" w:sz="4" w:space="0" w:color="auto"/>
              <w:right w:val="single" w:sz="4" w:space="0" w:color="auto"/>
            </w:tcBorders>
            <w:shd w:val="clear" w:color="000000" w:fill="FFFFFF"/>
            <w:noWrap/>
            <w:vAlign w:val="bottom"/>
            <w:hideMark/>
          </w:tcPr>
          <w:p w:rsidR="006E0E3D" w:rsidRPr="00ED38E9" w:rsidRDefault="006E0E3D" w:rsidP="007A0D35">
            <w:pPr>
              <w:keepNext/>
              <w:widowControl w:val="0"/>
              <w:spacing w:line="240" w:lineRule="auto"/>
              <w:jc w:val="left"/>
              <w:rPr>
                <w:rFonts w:cs="Arial"/>
                <w:b/>
                <w:bCs/>
                <w:noProof w:val="0"/>
                <w:color w:val="000000"/>
                <w:sz w:val="20"/>
                <w:szCs w:val="20"/>
                <w:lang w:eastAsia="cs-CZ" w:bidi="ar-SA"/>
              </w:rPr>
            </w:pPr>
            <w:r w:rsidRPr="00ED38E9">
              <w:rPr>
                <w:rFonts w:cs="Arial"/>
                <w:b/>
                <w:bCs/>
                <w:noProof w:val="0"/>
                <w:color w:val="000000"/>
                <w:sz w:val="20"/>
                <w:szCs w:val="20"/>
                <w:lang w:eastAsia="cs-CZ" w:bidi="ar-SA"/>
              </w:rPr>
              <w:t> </w:t>
            </w:r>
          </w:p>
        </w:tc>
      </w:tr>
      <w:tr w:rsidR="006E0E3D" w:rsidRPr="000B7CBF" w:rsidTr="00ED38E9">
        <w:trPr>
          <w:trHeight w:val="510"/>
        </w:trPr>
        <w:tc>
          <w:tcPr>
            <w:tcW w:w="20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3D" w:rsidRPr="00ED38E9" w:rsidRDefault="006E0E3D" w:rsidP="007A0D35">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Skupina</w:t>
            </w:r>
          </w:p>
        </w:tc>
        <w:tc>
          <w:tcPr>
            <w:tcW w:w="70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0E3D" w:rsidRPr="00ED38E9" w:rsidRDefault="006E0E3D" w:rsidP="007A0D35">
            <w:pPr>
              <w:keepNext/>
              <w:jc w:val="left"/>
              <w:rPr>
                <w:rFonts w:eastAsia="MS Mincho" w:cs="Arial"/>
                <w:b/>
                <w:noProof w:val="0"/>
                <w:sz w:val="18"/>
                <w:szCs w:val="20"/>
                <w:lang w:eastAsia="cs-CZ" w:bidi="ar-SA"/>
              </w:rPr>
            </w:pPr>
            <w:r w:rsidRPr="00ED38E9">
              <w:rPr>
                <w:rFonts w:eastAsia="MS Mincho" w:cs="Arial"/>
                <w:b/>
                <w:noProof w:val="0"/>
                <w:sz w:val="18"/>
                <w:szCs w:val="20"/>
                <w:lang w:eastAsia="cs-CZ" w:bidi="ar-SA"/>
              </w:rPr>
              <w:t>Elektrozařízení</w:t>
            </w:r>
          </w:p>
        </w:tc>
      </w:tr>
      <w:tr w:rsidR="006E0E3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center"/>
              <w:rPr>
                <w:rFonts w:eastAsia="MS Mincho" w:cs="Arial"/>
                <w:noProof w:val="0"/>
                <w:sz w:val="18"/>
                <w:szCs w:val="20"/>
                <w:lang w:eastAsia="cs-CZ" w:bidi="ar-SA"/>
              </w:rPr>
            </w:pPr>
            <w:r w:rsidRPr="00ED38E9">
              <w:rPr>
                <w:rFonts w:eastAsia="MS Mincho" w:cs="Arial"/>
                <w:noProof w:val="0"/>
                <w:sz w:val="18"/>
                <w:szCs w:val="20"/>
                <w:lang w:eastAsia="cs-CZ" w:bidi="ar-SA"/>
              </w:rPr>
              <w:t>1.</w:t>
            </w:r>
          </w:p>
        </w:tc>
        <w:tc>
          <w:tcPr>
            <w:tcW w:w="70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left"/>
              <w:rPr>
                <w:rFonts w:eastAsia="MS Mincho" w:cs="Arial"/>
                <w:noProof w:val="0"/>
                <w:sz w:val="18"/>
                <w:szCs w:val="20"/>
                <w:lang w:eastAsia="cs-CZ" w:bidi="ar-SA"/>
              </w:rPr>
            </w:pPr>
            <w:r w:rsidRPr="00ED38E9">
              <w:rPr>
                <w:rFonts w:eastAsia="MS Mincho" w:cs="Arial"/>
                <w:noProof w:val="0"/>
                <w:sz w:val="18"/>
                <w:szCs w:val="20"/>
                <w:lang w:eastAsia="cs-CZ" w:bidi="ar-SA"/>
              </w:rPr>
              <w:t>Zařízení pro tepelnou výměnu</w:t>
            </w:r>
          </w:p>
        </w:tc>
      </w:tr>
      <w:tr w:rsidR="006E0E3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center"/>
              <w:rPr>
                <w:rFonts w:eastAsia="MS Mincho" w:cs="Arial"/>
                <w:noProof w:val="0"/>
                <w:sz w:val="18"/>
                <w:szCs w:val="20"/>
                <w:lang w:eastAsia="cs-CZ" w:bidi="ar-SA"/>
              </w:rPr>
            </w:pPr>
            <w:r w:rsidRPr="00ED38E9">
              <w:rPr>
                <w:rFonts w:eastAsia="MS Mincho" w:cs="Arial"/>
                <w:noProof w:val="0"/>
                <w:sz w:val="18"/>
                <w:szCs w:val="20"/>
                <w:lang w:eastAsia="cs-CZ" w:bidi="ar-SA"/>
              </w:rPr>
              <w:t>2.</w:t>
            </w:r>
          </w:p>
        </w:tc>
        <w:tc>
          <w:tcPr>
            <w:tcW w:w="70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left"/>
              <w:rPr>
                <w:rFonts w:eastAsia="MS Mincho" w:cs="Arial"/>
                <w:noProof w:val="0"/>
                <w:sz w:val="18"/>
                <w:szCs w:val="20"/>
                <w:lang w:eastAsia="cs-CZ" w:bidi="ar-SA"/>
              </w:rPr>
            </w:pPr>
            <w:r w:rsidRPr="00ED38E9">
              <w:rPr>
                <w:rFonts w:eastAsia="MS Mincho" w:cs="Arial"/>
                <w:noProof w:val="0"/>
                <w:sz w:val="18"/>
                <w:szCs w:val="20"/>
                <w:lang w:eastAsia="cs-CZ" w:bidi="ar-SA"/>
              </w:rPr>
              <w:t>Obrazovky, monitory a zařízení obsahující obrazovky o ploše větší než 100 cm</w:t>
            </w:r>
            <w:r w:rsidRPr="00ED38E9">
              <w:rPr>
                <w:rFonts w:eastAsia="MS Mincho" w:cs="Arial"/>
                <w:noProof w:val="0"/>
                <w:sz w:val="18"/>
                <w:szCs w:val="20"/>
                <w:vertAlign w:val="superscript"/>
                <w:lang w:eastAsia="cs-CZ" w:bidi="ar-SA"/>
              </w:rPr>
              <w:t>2</w:t>
            </w:r>
          </w:p>
        </w:tc>
      </w:tr>
      <w:tr w:rsidR="006E0E3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center"/>
              <w:rPr>
                <w:rFonts w:eastAsia="MS Mincho" w:cs="Arial"/>
                <w:noProof w:val="0"/>
                <w:sz w:val="18"/>
                <w:szCs w:val="20"/>
                <w:lang w:eastAsia="cs-CZ" w:bidi="ar-SA"/>
              </w:rPr>
            </w:pPr>
            <w:r w:rsidRPr="00ED38E9">
              <w:rPr>
                <w:rFonts w:eastAsia="MS Mincho" w:cs="Arial"/>
                <w:noProof w:val="0"/>
                <w:sz w:val="18"/>
                <w:szCs w:val="20"/>
                <w:lang w:eastAsia="cs-CZ" w:bidi="ar-SA"/>
              </w:rPr>
              <w:t>3.</w:t>
            </w:r>
          </w:p>
        </w:tc>
        <w:tc>
          <w:tcPr>
            <w:tcW w:w="70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left"/>
              <w:rPr>
                <w:rFonts w:eastAsia="MS Mincho" w:cs="Arial"/>
                <w:noProof w:val="0"/>
                <w:sz w:val="18"/>
                <w:szCs w:val="20"/>
                <w:lang w:eastAsia="cs-CZ" w:bidi="ar-SA"/>
              </w:rPr>
            </w:pPr>
            <w:r w:rsidRPr="00ED38E9">
              <w:rPr>
                <w:rFonts w:eastAsia="MS Mincho" w:cs="Arial"/>
                <w:noProof w:val="0"/>
                <w:sz w:val="18"/>
                <w:szCs w:val="20"/>
                <w:lang w:eastAsia="cs-CZ" w:bidi="ar-SA"/>
              </w:rPr>
              <w:t>Světelné zdroje</w:t>
            </w:r>
          </w:p>
        </w:tc>
      </w:tr>
      <w:tr w:rsidR="006E0E3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center"/>
              <w:rPr>
                <w:rFonts w:eastAsia="MS Mincho" w:cs="Arial"/>
                <w:noProof w:val="0"/>
                <w:sz w:val="18"/>
                <w:szCs w:val="20"/>
                <w:lang w:eastAsia="cs-CZ" w:bidi="ar-SA"/>
              </w:rPr>
            </w:pPr>
            <w:r w:rsidRPr="00ED38E9">
              <w:rPr>
                <w:rFonts w:eastAsia="MS Mincho" w:cs="Arial"/>
                <w:noProof w:val="0"/>
                <w:sz w:val="18"/>
                <w:szCs w:val="20"/>
                <w:lang w:eastAsia="cs-CZ" w:bidi="ar-SA"/>
              </w:rPr>
              <w:t>4.</w:t>
            </w:r>
          </w:p>
        </w:tc>
        <w:tc>
          <w:tcPr>
            <w:tcW w:w="70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left"/>
              <w:rPr>
                <w:rFonts w:eastAsia="MS Mincho" w:cs="Arial"/>
                <w:noProof w:val="0"/>
                <w:sz w:val="18"/>
                <w:szCs w:val="20"/>
                <w:lang w:eastAsia="cs-CZ" w:bidi="ar-SA"/>
              </w:rPr>
            </w:pPr>
            <w:r w:rsidRPr="00ED38E9">
              <w:rPr>
                <w:rFonts w:eastAsia="MS Mincho" w:cs="Arial"/>
                <w:noProof w:val="0"/>
                <w:sz w:val="18"/>
                <w:szCs w:val="20"/>
                <w:lang w:eastAsia="cs-CZ" w:bidi="ar-SA"/>
              </w:rPr>
              <w:t>Velká zařízení (kterýkoliv vnější rozměr větší než 50 cm) zahrnující mimo jiné: domácí spotřebiče; zařízení informačních technologií a telekomunikační zařízení; spotřební elektroniku; světelné zdroje; zařízení reprodukující zvuk či obraz, hudební zařízení; elektrické a elektronické nástroje; hračky, vybavení pro volný čas a sporty; zdravotnické prostředky; přístroje pro monitorování a kontrolu; výdejní automaty; zařízení pro výrobu elektrického proudu. Do této kategorie nepatří zařízení kategorií 1, 2, a 3.</w:t>
            </w:r>
          </w:p>
        </w:tc>
      </w:tr>
      <w:tr w:rsidR="006E0E3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center"/>
              <w:rPr>
                <w:rFonts w:eastAsia="MS Mincho" w:cs="Arial"/>
                <w:noProof w:val="0"/>
                <w:sz w:val="18"/>
                <w:szCs w:val="20"/>
                <w:lang w:eastAsia="cs-CZ" w:bidi="ar-SA"/>
              </w:rPr>
            </w:pPr>
            <w:r w:rsidRPr="00ED38E9">
              <w:rPr>
                <w:rFonts w:eastAsia="MS Mincho" w:cs="Arial"/>
                <w:noProof w:val="0"/>
                <w:sz w:val="18"/>
                <w:szCs w:val="20"/>
                <w:lang w:eastAsia="cs-CZ" w:bidi="ar-SA"/>
              </w:rPr>
              <w:t>5.</w:t>
            </w:r>
          </w:p>
        </w:tc>
        <w:tc>
          <w:tcPr>
            <w:tcW w:w="70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left"/>
              <w:rPr>
                <w:rFonts w:eastAsia="MS Mincho" w:cs="Arial"/>
                <w:noProof w:val="0"/>
                <w:sz w:val="18"/>
                <w:szCs w:val="20"/>
                <w:lang w:eastAsia="cs-CZ" w:bidi="ar-SA"/>
              </w:rPr>
            </w:pPr>
            <w:r w:rsidRPr="00ED38E9">
              <w:rPr>
                <w:rFonts w:eastAsia="MS Mincho" w:cs="Arial"/>
                <w:noProof w:val="0"/>
                <w:sz w:val="18"/>
                <w:szCs w:val="20"/>
                <w:lang w:eastAsia="cs-CZ" w:bidi="ar-SA"/>
              </w:rPr>
              <w:t>Malá zařízení (žádný vnější rozměr není větší než 50 cm) zahrnující mimo jiné: domácí spotřebiče; spotřební elektroniku; svítidla; zařízení reprodukující zvuk či obraz, hudební zařízení; elektrické a elektronické nástroje; hračky, vybavení pro volný čas a sporty; zdravotnické prostředky; přístroje pro monitorování a kontrolu; výdejní automaty; zařízení pro výrobou elektrického proudu. Do této kategorie nepatří zařízení kategorií 1 až 3 a 6.</w:t>
            </w:r>
          </w:p>
        </w:tc>
      </w:tr>
      <w:tr w:rsidR="006E0E3D" w:rsidRPr="000B7CBF" w:rsidTr="00112FE8">
        <w:trPr>
          <w:trHeight w:val="510"/>
        </w:trPr>
        <w:tc>
          <w:tcPr>
            <w:tcW w:w="205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center"/>
              <w:rPr>
                <w:rFonts w:eastAsia="MS Mincho" w:cs="Arial"/>
                <w:noProof w:val="0"/>
                <w:sz w:val="18"/>
                <w:szCs w:val="20"/>
                <w:lang w:eastAsia="cs-CZ" w:bidi="ar-SA"/>
              </w:rPr>
            </w:pPr>
            <w:r w:rsidRPr="00ED38E9">
              <w:rPr>
                <w:rFonts w:eastAsia="MS Mincho" w:cs="Arial"/>
                <w:noProof w:val="0"/>
                <w:sz w:val="18"/>
                <w:szCs w:val="20"/>
                <w:lang w:eastAsia="cs-CZ" w:bidi="ar-SA"/>
              </w:rPr>
              <w:t>6.</w:t>
            </w:r>
          </w:p>
        </w:tc>
        <w:tc>
          <w:tcPr>
            <w:tcW w:w="7085"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6E0E3D" w:rsidRPr="00ED38E9" w:rsidRDefault="006E0E3D" w:rsidP="007A0D35">
            <w:pPr>
              <w:keepNext/>
              <w:spacing w:before="60" w:after="60" w:line="240" w:lineRule="auto"/>
              <w:jc w:val="left"/>
              <w:rPr>
                <w:rFonts w:eastAsia="MS Mincho" w:cs="Arial"/>
                <w:noProof w:val="0"/>
                <w:sz w:val="18"/>
                <w:szCs w:val="20"/>
                <w:lang w:eastAsia="cs-CZ" w:bidi="ar-SA"/>
              </w:rPr>
            </w:pPr>
            <w:r w:rsidRPr="00ED38E9">
              <w:rPr>
                <w:rFonts w:eastAsia="MS Mincho" w:cs="Arial"/>
                <w:noProof w:val="0"/>
                <w:sz w:val="18"/>
                <w:szCs w:val="20"/>
                <w:lang w:eastAsia="cs-CZ" w:bidi="ar-SA"/>
              </w:rPr>
              <w:t>Malá zařízení informačních technologií a telekomunikační zařízení (žádný vnější rozměr není větší než 50 cm)</w:t>
            </w:r>
          </w:p>
        </w:tc>
      </w:tr>
    </w:tbl>
    <w:p w:rsidR="006E0E3D" w:rsidRPr="00ED38E9" w:rsidRDefault="006E0E3D" w:rsidP="006E0E3D">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Zákon č. 185/2001 Sb. o odpadech a o změně některých dalších zákonů, Směrnice Evropského parlamentu a rady 2012/19/EU</w:t>
      </w:r>
    </w:p>
    <w:p w:rsidR="00ED5B2D" w:rsidRPr="00ED38E9" w:rsidRDefault="00ED5B2D" w:rsidP="006E0E3D">
      <w:pPr>
        <w:spacing w:before="120"/>
        <w:rPr>
          <w:rFonts w:eastAsia="Calibri" w:cs="Arial"/>
          <w:noProof w:val="0"/>
          <w:szCs w:val="22"/>
          <w:lang w:bidi="ar-SA"/>
        </w:rPr>
      </w:pPr>
      <w:r w:rsidRPr="00ED38E9">
        <w:rPr>
          <w:rFonts w:eastAsia="Calibri" w:cs="Arial"/>
          <w:noProof w:val="0"/>
          <w:szCs w:val="22"/>
          <w:lang w:bidi="ar-SA"/>
        </w:rPr>
        <w:t xml:space="preserve">Z dat </w:t>
      </w:r>
      <w:r w:rsidR="00A56310" w:rsidRPr="00ED38E9">
        <w:rPr>
          <w:rFonts w:eastAsia="Calibri" w:cs="Arial"/>
          <w:noProof w:val="0"/>
          <w:szCs w:val="22"/>
          <w:lang w:bidi="ar-SA"/>
        </w:rPr>
        <w:t>MŽP</w:t>
      </w:r>
      <w:r w:rsidRPr="00ED38E9">
        <w:rPr>
          <w:rFonts w:eastAsia="Calibri" w:cs="Arial"/>
          <w:noProof w:val="0"/>
          <w:szCs w:val="22"/>
          <w:lang w:bidi="ar-SA"/>
        </w:rPr>
        <w:t xml:space="preserve"> vyplývá (</w:t>
      </w:r>
      <w:r w:rsidR="00381FB7">
        <w:fldChar w:fldCharType="begin"/>
      </w:r>
      <w:r w:rsidR="006C1859">
        <w:rPr>
          <w:rFonts w:eastAsia="Calibri" w:cs="Arial"/>
          <w:noProof w:val="0"/>
          <w:szCs w:val="22"/>
          <w:lang w:bidi="ar-SA"/>
        </w:rPr>
        <w:instrText xml:space="preserve"> REF _Ref402956812 \h </w:instrText>
      </w:r>
      <w:r w:rsidR="00381FB7">
        <w:fldChar w:fldCharType="separate"/>
      </w:r>
      <w:r w:rsidR="006C1859" w:rsidRPr="00ED38E9">
        <w:rPr>
          <w:rFonts w:cs="Arial"/>
          <w:lang w:eastAsia="cs-CZ" w:bidi="ar-SA"/>
        </w:rPr>
        <w:t xml:space="preserve">Tabulka </w:t>
      </w:r>
      <w:r w:rsidR="006C1859">
        <w:rPr>
          <w:rFonts w:cs="Arial"/>
          <w:lang w:eastAsia="cs-CZ" w:bidi="ar-SA"/>
        </w:rPr>
        <w:t>27</w:t>
      </w:r>
      <w:r w:rsidR="00381FB7">
        <w:fldChar w:fldCharType="end"/>
      </w:r>
      <w:r w:rsidRPr="00ED38E9">
        <w:rPr>
          <w:rFonts w:eastAsia="Calibri" w:cs="Arial"/>
          <w:noProof w:val="0"/>
          <w:szCs w:val="22"/>
          <w:lang w:bidi="ar-SA"/>
        </w:rPr>
        <w:t xml:space="preserve">), že podíl vybraného elektroodpadu na zboží uvedeném na trh se obecně zvyšuje. Od roku 2006 se tento podíl zvýšil téměř třikrát. Tento pozitivní trend lze sledovat i po vyjádření míry zpětného odběru a odděleného sběru elektroodpadu v kilogramech na obyvatele za jeden rok, kde se ukazatel zvýšil od roku 2006 do roku 2013 z 2,2 na 5,2 kg na obyvatele za rok. Ve srovnání s požadavky EU, která požaduje pro rok 2016 45% míru úrovně sběru, ale </w:t>
      </w:r>
      <w:r w:rsidR="000C7029" w:rsidRPr="00213983">
        <w:rPr>
          <w:rFonts w:eastAsia="Calibri" w:cs="Arial"/>
          <w:noProof w:val="0"/>
          <w:szCs w:val="22"/>
          <w:lang w:bidi="ar-SA"/>
        </w:rPr>
        <w:t xml:space="preserve">nejsou </w:t>
      </w:r>
      <w:r w:rsidRPr="00ED38E9">
        <w:rPr>
          <w:rFonts w:eastAsia="Calibri" w:cs="Arial"/>
          <w:noProof w:val="0"/>
          <w:szCs w:val="22"/>
          <w:lang w:bidi="ar-SA"/>
        </w:rPr>
        <w:t>podíly stále dostačující. ČR však má spolu s dalšími státy udělenou dočasnou výjimku a k požadavkům EU se postupně přibližuje. Do</w:t>
      </w:r>
      <w:r w:rsidR="006E0E3D" w:rsidRPr="00ED38E9">
        <w:rPr>
          <w:rFonts w:eastAsia="Calibri" w:cs="Arial"/>
          <w:noProof w:val="0"/>
          <w:szCs w:val="22"/>
          <w:lang w:bidi="ar-SA"/>
        </w:rPr>
        <w:t> </w:t>
      </w:r>
      <w:r w:rsidRPr="00ED38E9">
        <w:rPr>
          <w:rFonts w:eastAsia="Calibri" w:cs="Arial"/>
          <w:noProof w:val="0"/>
          <w:szCs w:val="22"/>
          <w:lang w:bidi="ar-SA"/>
        </w:rPr>
        <w:t>14. 8. 2016 platí, že ČR může dosáhnout úrovně sběru nižší než 45 %, ale musí být vyšší než 40 % průměrné hmotnosti EEZ uvedených na trh v předchozích třech letech.</w:t>
      </w:r>
    </w:p>
    <w:p w:rsidR="00ED5B2D" w:rsidRPr="00ED38E9" w:rsidRDefault="00ED5B2D" w:rsidP="005140E5">
      <w:pPr>
        <w:pStyle w:val="Titulek"/>
        <w:rPr>
          <w:rFonts w:cs="Arial"/>
          <w:lang w:eastAsia="cs-CZ" w:bidi="ar-SA"/>
        </w:rPr>
      </w:pPr>
      <w:bookmarkStart w:id="45" w:name="_Ref402956812"/>
      <w:r w:rsidRPr="00ED38E9">
        <w:rPr>
          <w:rFonts w:cs="Arial"/>
          <w:lang w:eastAsia="cs-CZ" w:bidi="ar-SA"/>
        </w:rPr>
        <w:lastRenderedPageBreak/>
        <w:t xml:space="preserve">Tabulka </w:t>
      </w:r>
      <w:r w:rsidR="00381FB7" w:rsidRPr="00ED38E9">
        <w:rPr>
          <w:rFonts w:cs="Arial"/>
          <w:lang w:eastAsia="cs-CZ" w:bidi="ar-SA"/>
        </w:rPr>
        <w:fldChar w:fldCharType="begin"/>
      </w:r>
      <w:r w:rsidRPr="00ED38E9">
        <w:rPr>
          <w:rFonts w:cs="Arial"/>
          <w:lang w:eastAsia="cs-CZ" w:bidi="ar-SA"/>
        </w:rPr>
        <w:instrText xml:space="preserve"> SEQ Tabulka \* ARABIC </w:instrText>
      </w:r>
      <w:r w:rsidR="00381FB7" w:rsidRPr="00ED38E9">
        <w:rPr>
          <w:rFonts w:cs="Arial"/>
          <w:lang w:eastAsia="cs-CZ" w:bidi="ar-SA"/>
        </w:rPr>
        <w:fldChar w:fldCharType="separate"/>
      </w:r>
      <w:r w:rsidR="00FD5E92">
        <w:rPr>
          <w:rFonts w:cs="Arial"/>
          <w:lang w:eastAsia="cs-CZ" w:bidi="ar-SA"/>
        </w:rPr>
        <w:t>27</w:t>
      </w:r>
      <w:r w:rsidR="00381FB7" w:rsidRPr="00ED38E9">
        <w:rPr>
          <w:rFonts w:cs="Arial"/>
          <w:lang w:eastAsia="cs-CZ" w:bidi="ar-SA"/>
        </w:rPr>
        <w:fldChar w:fldCharType="end"/>
      </w:r>
      <w:bookmarkEnd w:id="45"/>
      <w:r w:rsidRPr="00ED38E9">
        <w:rPr>
          <w:rFonts w:cs="Arial"/>
          <w:lang w:eastAsia="cs-CZ" w:bidi="ar-SA"/>
        </w:rPr>
        <w:t>: Vývoj zpětného odběru a odděleného sběru v letech 2006 až 2012 v ČR</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7"/>
        <w:gridCol w:w="1286"/>
        <w:gridCol w:w="1210"/>
        <w:gridCol w:w="1210"/>
        <w:gridCol w:w="1225"/>
        <w:gridCol w:w="1572"/>
        <w:gridCol w:w="1572"/>
      </w:tblGrid>
      <w:tr w:rsidR="00ED5B2D" w:rsidRPr="000B7CBF" w:rsidTr="00ED38E9">
        <w:trPr>
          <w:trHeight w:val="1749"/>
        </w:trPr>
        <w:tc>
          <w:tcPr>
            <w:tcW w:w="1137" w:type="dxa"/>
            <w:shd w:val="clear" w:color="auto" w:fill="auto"/>
            <w:noWrap/>
            <w:vAlign w:val="center"/>
            <w:hideMark/>
          </w:tcPr>
          <w:p w:rsidR="00ED5B2D" w:rsidRPr="00ED38E9" w:rsidRDefault="00ED5B2D" w:rsidP="001820AA">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Ohlašovací rok</w:t>
            </w:r>
          </w:p>
        </w:tc>
        <w:tc>
          <w:tcPr>
            <w:tcW w:w="1286" w:type="dxa"/>
            <w:shd w:val="clear" w:color="auto" w:fill="auto"/>
            <w:noWrap/>
            <w:vAlign w:val="center"/>
            <w:hideMark/>
          </w:tcPr>
          <w:p w:rsidR="00ED5B2D" w:rsidRPr="00ED38E9" w:rsidRDefault="00ED5B2D" w:rsidP="001820AA">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Uvedené na trh [t]</w:t>
            </w:r>
          </w:p>
        </w:tc>
        <w:tc>
          <w:tcPr>
            <w:tcW w:w="1210" w:type="dxa"/>
            <w:shd w:val="clear" w:color="auto" w:fill="auto"/>
            <w:vAlign w:val="center"/>
            <w:hideMark/>
          </w:tcPr>
          <w:p w:rsidR="00ED5B2D" w:rsidRPr="00ED38E9" w:rsidRDefault="00ED5B2D" w:rsidP="001820AA">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Zpětný odběr [t]</w:t>
            </w:r>
          </w:p>
        </w:tc>
        <w:tc>
          <w:tcPr>
            <w:tcW w:w="1210" w:type="dxa"/>
            <w:shd w:val="clear" w:color="auto" w:fill="auto"/>
            <w:vAlign w:val="center"/>
            <w:hideMark/>
          </w:tcPr>
          <w:p w:rsidR="00ED5B2D" w:rsidRPr="00ED38E9" w:rsidRDefault="00ED5B2D" w:rsidP="001820AA">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Oddělený sběr [t]</w:t>
            </w:r>
          </w:p>
        </w:tc>
        <w:tc>
          <w:tcPr>
            <w:tcW w:w="1225" w:type="dxa"/>
            <w:shd w:val="clear" w:color="auto" w:fill="auto"/>
            <w:vAlign w:val="center"/>
            <w:hideMark/>
          </w:tcPr>
          <w:p w:rsidR="00ED5B2D" w:rsidRPr="00ED38E9" w:rsidRDefault="00ED5B2D" w:rsidP="001820AA">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Celkem (zpětný odběr + oddělený sběr) [t]</w:t>
            </w:r>
          </w:p>
        </w:tc>
        <w:tc>
          <w:tcPr>
            <w:tcW w:w="1572" w:type="dxa"/>
            <w:shd w:val="clear" w:color="auto" w:fill="auto"/>
            <w:vAlign w:val="center"/>
            <w:hideMark/>
          </w:tcPr>
          <w:p w:rsidR="00ED5B2D" w:rsidRPr="00ED38E9" w:rsidRDefault="00ED5B2D" w:rsidP="001820AA">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Úroveň zpětného odběru a odděleného sběru elektroodpadů [%]</w:t>
            </w:r>
          </w:p>
        </w:tc>
        <w:tc>
          <w:tcPr>
            <w:tcW w:w="1572" w:type="dxa"/>
            <w:shd w:val="clear" w:color="auto" w:fill="auto"/>
            <w:vAlign w:val="center"/>
            <w:hideMark/>
          </w:tcPr>
          <w:p w:rsidR="00ED5B2D" w:rsidRPr="00ED38E9" w:rsidRDefault="00ED5B2D" w:rsidP="001820AA">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Úroveň zpětného odběru a odděleného sběru elektroodpadů [kg/obyv./rok]</w:t>
            </w:r>
          </w:p>
        </w:tc>
      </w:tr>
      <w:tr w:rsidR="00ED5B2D" w:rsidRPr="000B7CBF" w:rsidTr="00112FE8">
        <w:trPr>
          <w:trHeight w:val="340"/>
        </w:trPr>
        <w:tc>
          <w:tcPr>
            <w:tcW w:w="1137" w:type="dxa"/>
            <w:shd w:val="clear" w:color="000000" w:fill="FFFFFF"/>
            <w:vAlign w:val="center"/>
            <w:hideMark/>
          </w:tcPr>
          <w:p w:rsidR="00ED5B2D" w:rsidRPr="00ED38E9" w:rsidRDefault="00ED5B2D" w:rsidP="00706DE7">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2006</w:t>
            </w:r>
          </w:p>
        </w:tc>
        <w:tc>
          <w:tcPr>
            <w:tcW w:w="1286" w:type="dxa"/>
            <w:shd w:val="clear" w:color="000000" w:fill="FFFFFF"/>
            <w:vAlign w:val="center"/>
            <w:hideMark/>
          </w:tcPr>
          <w:p w:rsidR="00ED5B2D" w:rsidRPr="00ED38E9" w:rsidRDefault="00ED5B2D" w:rsidP="00706DE7">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196 967</w:t>
            </w:r>
          </w:p>
        </w:tc>
        <w:tc>
          <w:tcPr>
            <w:tcW w:w="1210" w:type="dxa"/>
            <w:shd w:val="clear" w:color="000000" w:fill="FFFFFF"/>
            <w:vAlign w:val="center"/>
            <w:hideMark/>
          </w:tcPr>
          <w:p w:rsidR="00ED5B2D" w:rsidRPr="00ED38E9" w:rsidRDefault="00ED5B2D" w:rsidP="00706DE7">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21 138</w:t>
            </w:r>
          </w:p>
        </w:tc>
        <w:tc>
          <w:tcPr>
            <w:tcW w:w="1210" w:type="dxa"/>
            <w:shd w:val="clear" w:color="000000" w:fill="FFFFFF"/>
            <w:vAlign w:val="center"/>
            <w:hideMark/>
          </w:tcPr>
          <w:p w:rsidR="00ED5B2D" w:rsidRPr="00ED38E9" w:rsidRDefault="00ED5B2D" w:rsidP="00706DE7">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1 032</w:t>
            </w:r>
          </w:p>
        </w:tc>
        <w:tc>
          <w:tcPr>
            <w:tcW w:w="1225" w:type="dxa"/>
            <w:shd w:val="clear" w:color="000000" w:fill="FFFFFF"/>
            <w:vAlign w:val="center"/>
            <w:hideMark/>
          </w:tcPr>
          <w:p w:rsidR="00ED5B2D" w:rsidRPr="00ED38E9" w:rsidRDefault="00ED5B2D" w:rsidP="00706DE7">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22 170</w:t>
            </w:r>
          </w:p>
        </w:tc>
        <w:tc>
          <w:tcPr>
            <w:tcW w:w="1572" w:type="dxa"/>
            <w:shd w:val="clear" w:color="000000" w:fill="FFFFFF"/>
            <w:vAlign w:val="center"/>
            <w:hideMark/>
          </w:tcPr>
          <w:p w:rsidR="00ED5B2D" w:rsidRPr="00ED38E9" w:rsidRDefault="00ED5B2D" w:rsidP="00706DE7">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11,3</w:t>
            </w:r>
          </w:p>
        </w:tc>
        <w:tc>
          <w:tcPr>
            <w:tcW w:w="1572" w:type="dxa"/>
            <w:shd w:val="clear" w:color="000000" w:fill="FFFFFF"/>
            <w:vAlign w:val="center"/>
            <w:hideMark/>
          </w:tcPr>
          <w:p w:rsidR="00ED5B2D" w:rsidRPr="00ED38E9" w:rsidRDefault="00ED5B2D" w:rsidP="00706DE7">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2,2</w:t>
            </w:r>
          </w:p>
        </w:tc>
      </w:tr>
      <w:tr w:rsidR="00ED5B2D" w:rsidRPr="000B7CBF" w:rsidTr="00112FE8">
        <w:trPr>
          <w:trHeight w:val="340"/>
        </w:trPr>
        <w:tc>
          <w:tcPr>
            <w:tcW w:w="1137"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2007</w:t>
            </w:r>
          </w:p>
        </w:tc>
        <w:tc>
          <w:tcPr>
            <w:tcW w:w="1286"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199 857</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31 581</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1 348</w:t>
            </w:r>
          </w:p>
        </w:tc>
        <w:tc>
          <w:tcPr>
            <w:tcW w:w="1225"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32 929</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16,5</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3,2</w:t>
            </w:r>
          </w:p>
        </w:tc>
      </w:tr>
      <w:tr w:rsidR="00ED5B2D" w:rsidRPr="000B7CBF" w:rsidTr="00112FE8">
        <w:trPr>
          <w:trHeight w:val="340"/>
        </w:trPr>
        <w:tc>
          <w:tcPr>
            <w:tcW w:w="1137"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2008</w:t>
            </w:r>
          </w:p>
        </w:tc>
        <w:tc>
          <w:tcPr>
            <w:tcW w:w="1286"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207 207</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43 858</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676</w:t>
            </w:r>
          </w:p>
        </w:tc>
        <w:tc>
          <w:tcPr>
            <w:tcW w:w="1225"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44 534</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21,5</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4,3</w:t>
            </w:r>
          </w:p>
        </w:tc>
      </w:tr>
      <w:tr w:rsidR="00ED5B2D" w:rsidRPr="000B7CBF" w:rsidTr="00112FE8">
        <w:trPr>
          <w:trHeight w:val="340"/>
        </w:trPr>
        <w:tc>
          <w:tcPr>
            <w:tcW w:w="1137"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2009</w:t>
            </w:r>
          </w:p>
        </w:tc>
        <w:tc>
          <w:tcPr>
            <w:tcW w:w="1286"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181 844</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56 643</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1 563</w:t>
            </w:r>
          </w:p>
        </w:tc>
        <w:tc>
          <w:tcPr>
            <w:tcW w:w="1225"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58 206</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32</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5,5</w:t>
            </w:r>
          </w:p>
        </w:tc>
      </w:tr>
      <w:tr w:rsidR="00ED5B2D" w:rsidRPr="000B7CBF" w:rsidTr="00112FE8">
        <w:trPr>
          <w:trHeight w:val="340"/>
        </w:trPr>
        <w:tc>
          <w:tcPr>
            <w:tcW w:w="1137"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2010</w:t>
            </w:r>
          </w:p>
        </w:tc>
        <w:tc>
          <w:tcPr>
            <w:tcW w:w="1286"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166 063</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52 119</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870</w:t>
            </w:r>
          </w:p>
        </w:tc>
        <w:tc>
          <w:tcPr>
            <w:tcW w:w="1225"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52 989</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31,9</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w:t>
            </w:r>
          </w:p>
        </w:tc>
      </w:tr>
      <w:tr w:rsidR="00ED5B2D" w:rsidRPr="000B7CBF" w:rsidTr="00112FE8">
        <w:trPr>
          <w:trHeight w:val="340"/>
        </w:trPr>
        <w:tc>
          <w:tcPr>
            <w:tcW w:w="1137"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2011</w:t>
            </w:r>
          </w:p>
        </w:tc>
        <w:tc>
          <w:tcPr>
            <w:tcW w:w="1286"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182 324</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54 818</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620</w:t>
            </w:r>
          </w:p>
        </w:tc>
        <w:tc>
          <w:tcPr>
            <w:tcW w:w="1225"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55 438</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30,4</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5,3</w:t>
            </w:r>
          </w:p>
        </w:tc>
      </w:tr>
      <w:tr w:rsidR="00ED5B2D" w:rsidRPr="000B7CBF" w:rsidTr="00112FE8">
        <w:trPr>
          <w:trHeight w:val="340"/>
        </w:trPr>
        <w:tc>
          <w:tcPr>
            <w:tcW w:w="1137"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2012</w:t>
            </w:r>
          </w:p>
        </w:tc>
        <w:tc>
          <w:tcPr>
            <w:tcW w:w="1286"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168 840</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51 972</w:t>
            </w:r>
          </w:p>
        </w:tc>
        <w:tc>
          <w:tcPr>
            <w:tcW w:w="1210"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1 713</w:t>
            </w:r>
          </w:p>
        </w:tc>
        <w:tc>
          <w:tcPr>
            <w:tcW w:w="1225"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53 685</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31,8</w:t>
            </w:r>
          </w:p>
        </w:tc>
        <w:tc>
          <w:tcPr>
            <w:tcW w:w="1572" w:type="dxa"/>
            <w:shd w:val="clear" w:color="000000" w:fill="FFFFFF"/>
            <w:vAlign w:val="center"/>
            <w:hideMark/>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5,1</w:t>
            </w:r>
          </w:p>
        </w:tc>
      </w:tr>
      <w:tr w:rsidR="00ED5B2D" w:rsidRPr="000B7CBF" w:rsidTr="00112FE8">
        <w:trPr>
          <w:trHeight w:val="340"/>
        </w:trPr>
        <w:tc>
          <w:tcPr>
            <w:tcW w:w="1137" w:type="dxa"/>
            <w:shd w:val="clear" w:color="000000" w:fill="FFFFFF"/>
            <w:vAlign w:val="center"/>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2013</w:t>
            </w:r>
          </w:p>
        </w:tc>
        <w:tc>
          <w:tcPr>
            <w:tcW w:w="1286" w:type="dxa"/>
            <w:shd w:val="clear" w:color="000000" w:fill="FFFFFF"/>
            <w:vAlign w:val="center"/>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195 858</w:t>
            </w:r>
          </w:p>
        </w:tc>
        <w:tc>
          <w:tcPr>
            <w:tcW w:w="1210" w:type="dxa"/>
            <w:shd w:val="clear" w:color="000000" w:fill="FFFFFF"/>
            <w:vAlign w:val="center"/>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w:t>
            </w:r>
          </w:p>
        </w:tc>
        <w:tc>
          <w:tcPr>
            <w:tcW w:w="1210" w:type="dxa"/>
            <w:shd w:val="clear" w:color="000000" w:fill="FFFFFF"/>
            <w:vAlign w:val="center"/>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w:t>
            </w:r>
          </w:p>
        </w:tc>
        <w:tc>
          <w:tcPr>
            <w:tcW w:w="1225" w:type="dxa"/>
            <w:shd w:val="clear" w:color="000000" w:fill="FFFFFF"/>
            <w:vAlign w:val="center"/>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54 215</w:t>
            </w:r>
          </w:p>
        </w:tc>
        <w:tc>
          <w:tcPr>
            <w:tcW w:w="1572" w:type="dxa"/>
            <w:shd w:val="clear" w:color="000000" w:fill="FFFFFF"/>
            <w:vAlign w:val="center"/>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27,7</w:t>
            </w:r>
          </w:p>
        </w:tc>
        <w:tc>
          <w:tcPr>
            <w:tcW w:w="1572" w:type="dxa"/>
            <w:shd w:val="clear" w:color="000000" w:fill="FFFFFF"/>
            <w:vAlign w:val="center"/>
          </w:tcPr>
          <w:p w:rsidR="00ED5B2D" w:rsidRPr="00ED38E9" w:rsidRDefault="00ED5B2D" w:rsidP="001820AA">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5,2</w:t>
            </w:r>
          </w:p>
        </w:tc>
      </w:tr>
    </w:tbl>
    <w:p w:rsidR="00ED5B2D" w:rsidRPr="00ED38E9" w:rsidRDefault="00ED5B2D" w:rsidP="00ED5B2D">
      <w:pPr>
        <w:widowControl w:val="0"/>
        <w:spacing w:before="120" w:after="240" w:line="240" w:lineRule="auto"/>
        <w:rPr>
          <w:rFonts w:cs="Arial"/>
          <w:i/>
          <w:iCs/>
          <w:noProof w:val="0"/>
          <w:color w:val="000000"/>
          <w:sz w:val="20"/>
          <w:szCs w:val="20"/>
          <w:lang w:eastAsia="cs-CZ" w:bidi="ar-SA"/>
        </w:rPr>
      </w:pPr>
      <w:r w:rsidRPr="00ED38E9">
        <w:rPr>
          <w:rFonts w:cs="Arial"/>
          <w:i/>
          <w:iCs/>
          <w:noProof w:val="0"/>
          <w:color w:val="000000"/>
          <w:sz w:val="20"/>
          <w:szCs w:val="20"/>
          <w:lang w:eastAsia="cs-CZ" w:bidi="ar-SA"/>
        </w:rPr>
        <w:t xml:space="preserve">Zdroj: </w:t>
      </w:r>
      <w:r w:rsidR="00A56310" w:rsidRPr="00ED38E9">
        <w:rPr>
          <w:rFonts w:cs="Arial"/>
          <w:i/>
          <w:iCs/>
          <w:noProof w:val="0"/>
          <w:color w:val="000000"/>
          <w:sz w:val="20"/>
          <w:szCs w:val="20"/>
          <w:lang w:eastAsia="cs-CZ" w:bidi="ar-SA"/>
        </w:rPr>
        <w:t>MŽP</w:t>
      </w:r>
      <w:r w:rsidRPr="00ED38E9">
        <w:rPr>
          <w:rFonts w:cs="Arial"/>
          <w:i/>
          <w:iCs/>
          <w:noProof w:val="0"/>
          <w:color w:val="000000"/>
          <w:sz w:val="20"/>
          <w:szCs w:val="20"/>
          <w:lang w:eastAsia="cs-CZ" w:bidi="ar-SA"/>
        </w:rPr>
        <w:t xml:space="preserve"> 2014</w:t>
      </w:r>
    </w:p>
    <w:p w:rsidR="00ED5B2D" w:rsidRPr="00ED38E9" w:rsidRDefault="00ED5B2D" w:rsidP="001E1F3C">
      <w:pPr>
        <w:rPr>
          <w:rFonts w:eastAsia="Calibri" w:cs="Arial"/>
          <w:noProof w:val="0"/>
          <w:szCs w:val="22"/>
          <w:lang w:bidi="ar-SA"/>
        </w:rPr>
      </w:pPr>
      <w:r w:rsidRPr="00ED38E9">
        <w:rPr>
          <w:rFonts w:eastAsia="Calibri" w:cs="Arial"/>
          <w:noProof w:val="0"/>
          <w:szCs w:val="22"/>
          <w:lang w:bidi="ar-SA"/>
        </w:rPr>
        <w:t xml:space="preserve">Poskytnutá data rovněž zahrnují rozdělení zpětného odběru mezi jednotlivé skupiny elektrozařízení a jednotlivé systémy odběru. </w:t>
      </w:r>
      <w:r w:rsidR="00FD0108">
        <w:fldChar w:fldCharType="begin"/>
      </w:r>
      <w:r w:rsidR="00FD0108">
        <w:instrText xml:space="preserve"> REF _Ref402956943 \h  \* MERGEFORMAT </w:instrText>
      </w:r>
      <w:r w:rsidR="00FD0108">
        <w:fldChar w:fldCharType="separate"/>
      </w:r>
      <w:r w:rsidR="002A3964" w:rsidRPr="00ED38E9">
        <w:rPr>
          <w:rFonts w:eastAsia="Calibri" w:cs="Arial"/>
          <w:noProof w:val="0"/>
          <w:szCs w:val="22"/>
          <w:lang w:bidi="ar-SA"/>
        </w:rPr>
        <w:t>Graf 1</w:t>
      </w:r>
      <w:r w:rsidR="00FD0108">
        <w:fldChar w:fldCharType="end"/>
      </w:r>
      <w:r w:rsidRPr="00ED38E9">
        <w:rPr>
          <w:rFonts w:eastAsia="Calibri" w:cs="Arial"/>
          <w:noProof w:val="0"/>
          <w:szCs w:val="22"/>
          <w:lang w:bidi="ar-SA"/>
        </w:rPr>
        <w:t xml:space="preserve"> ukazuje, že nejvýznamnější podíl na zpětně vybraných výrobcích měly v roce 2012 skupiny 1 (Velké domácí spotřebiče) a skupiny 3 a 4 (Zařízení informačních technologií a telekomunikační zařízení a Spotřebitelské zařízení a solární panely) následované skupinou 2 (Malé domácí spotřebiče). Podíl ostatních skupin byl marginální. </w:t>
      </w:r>
    </w:p>
    <w:p w:rsidR="00ED5B2D" w:rsidRPr="00ED38E9" w:rsidRDefault="00ED5B2D" w:rsidP="005140E5">
      <w:pPr>
        <w:pStyle w:val="Titulek"/>
        <w:rPr>
          <w:rFonts w:cs="Arial"/>
          <w:noProof w:val="0"/>
          <w:lang w:eastAsia="cs-CZ" w:bidi="ar-SA"/>
        </w:rPr>
      </w:pPr>
      <w:bookmarkStart w:id="46" w:name="_Ref402956943"/>
      <w:r w:rsidRPr="00ED38E9">
        <w:rPr>
          <w:rFonts w:cs="Arial"/>
          <w:noProof w:val="0"/>
          <w:lang w:eastAsia="cs-CZ" w:bidi="ar-SA"/>
        </w:rPr>
        <w:t xml:space="preserve">Graf </w:t>
      </w:r>
      <w:r w:rsidR="00381FB7" w:rsidRPr="00ED38E9">
        <w:rPr>
          <w:rFonts w:cs="Arial"/>
          <w:noProof w:val="0"/>
          <w:lang w:eastAsia="cs-CZ" w:bidi="ar-SA"/>
        </w:rPr>
        <w:fldChar w:fldCharType="begin"/>
      </w:r>
      <w:r w:rsidRPr="00ED38E9">
        <w:rPr>
          <w:rFonts w:cs="Arial"/>
          <w:noProof w:val="0"/>
          <w:lang w:eastAsia="cs-CZ" w:bidi="ar-SA"/>
        </w:rPr>
        <w:instrText xml:space="preserve"> SEQ Graf \* ARABIC </w:instrText>
      </w:r>
      <w:r w:rsidR="00381FB7" w:rsidRPr="00ED38E9">
        <w:rPr>
          <w:rFonts w:cs="Arial"/>
          <w:noProof w:val="0"/>
          <w:lang w:eastAsia="cs-CZ" w:bidi="ar-SA"/>
        </w:rPr>
        <w:fldChar w:fldCharType="separate"/>
      </w:r>
      <w:r w:rsidR="002A3964" w:rsidRPr="00ED38E9">
        <w:rPr>
          <w:rFonts w:cs="Arial"/>
          <w:lang w:eastAsia="cs-CZ" w:bidi="ar-SA"/>
        </w:rPr>
        <w:t>1</w:t>
      </w:r>
      <w:r w:rsidR="00381FB7" w:rsidRPr="00ED38E9">
        <w:rPr>
          <w:rFonts w:cs="Arial"/>
          <w:lang w:eastAsia="cs-CZ" w:bidi="ar-SA"/>
        </w:rPr>
        <w:fldChar w:fldCharType="end"/>
      </w:r>
      <w:bookmarkEnd w:id="46"/>
      <w:r w:rsidRPr="00ED38E9">
        <w:rPr>
          <w:rFonts w:cs="Arial"/>
          <w:noProof w:val="0"/>
          <w:lang w:eastAsia="cs-CZ" w:bidi="ar-SA"/>
        </w:rPr>
        <w:t>:</w:t>
      </w:r>
      <w:r w:rsidRPr="00ED38E9">
        <w:rPr>
          <w:rFonts w:cs="Arial"/>
          <w:lang w:eastAsia="cs-CZ" w:bidi="ar-SA"/>
        </w:rPr>
        <w:t xml:space="preserve"> Podíl jednotlivých skupin elektrospotřebičů na zpětně odebraných a odděleně sebraných výrobků v roce 2012 dle jejich hmotnosti</w:t>
      </w:r>
    </w:p>
    <w:p w:rsidR="00ED5B2D" w:rsidRPr="00ED38E9" w:rsidRDefault="00ED5B2D" w:rsidP="00ED5B2D">
      <w:pPr>
        <w:keepNext/>
        <w:spacing w:before="120" w:after="120"/>
        <w:rPr>
          <w:rFonts w:eastAsia="Calibri" w:cs="Arial"/>
          <w:noProof w:val="0"/>
          <w:szCs w:val="20"/>
          <w:lang w:bidi="ar-SA"/>
        </w:rPr>
      </w:pPr>
      <w:r w:rsidRPr="00ED38E9">
        <w:rPr>
          <w:rFonts w:eastAsia="Calibri" w:cs="Arial"/>
          <w:szCs w:val="22"/>
          <w:lang w:eastAsia="cs-CZ" w:bidi="ar-SA"/>
        </w:rPr>
        <w:drawing>
          <wp:inline distT="0" distB="0" distL="0" distR="0" wp14:anchorId="631D3D02" wp14:editId="73BA6CB6">
            <wp:extent cx="5715000" cy="2590800"/>
            <wp:effectExtent l="0" t="0" r="19050" b="1905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D5B2D" w:rsidRPr="00ED38E9" w:rsidRDefault="00ED5B2D" w:rsidP="001E1F3C">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 xml:space="preserve">Zdroj: </w:t>
      </w:r>
      <w:r w:rsidR="00A56310" w:rsidRPr="00ED38E9">
        <w:rPr>
          <w:rFonts w:cs="Arial"/>
          <w:i/>
          <w:iCs/>
          <w:noProof w:val="0"/>
          <w:color w:val="000000"/>
          <w:sz w:val="20"/>
          <w:szCs w:val="20"/>
          <w:lang w:eastAsia="cs-CZ" w:bidi="ar-SA"/>
        </w:rPr>
        <w:t>MŽP</w:t>
      </w:r>
      <w:r w:rsidRPr="00ED38E9">
        <w:rPr>
          <w:rFonts w:cs="Arial"/>
          <w:i/>
          <w:iCs/>
          <w:noProof w:val="0"/>
          <w:color w:val="000000"/>
          <w:sz w:val="20"/>
          <w:szCs w:val="20"/>
          <w:lang w:eastAsia="cs-CZ" w:bidi="ar-SA"/>
        </w:rPr>
        <w:t xml:space="preserve"> 2014</w:t>
      </w:r>
    </w:p>
    <w:p w:rsidR="00ED5B2D" w:rsidRPr="00ED38E9" w:rsidRDefault="00FD0108" w:rsidP="00112FE8">
      <w:pPr>
        <w:spacing w:before="120"/>
        <w:rPr>
          <w:rFonts w:eastAsia="Calibri" w:cs="Arial"/>
          <w:noProof w:val="0"/>
          <w:szCs w:val="22"/>
          <w:lang w:bidi="ar-SA"/>
        </w:rPr>
      </w:pPr>
      <w:r>
        <w:fldChar w:fldCharType="begin"/>
      </w:r>
      <w:r>
        <w:instrText xml:space="preserve"> REF _Ref402957082 \h  \* MERGEFORMAT </w:instrText>
      </w:r>
      <w:r>
        <w:fldChar w:fldCharType="separate"/>
      </w:r>
      <w:r w:rsidR="002A3964" w:rsidRPr="00ED38E9">
        <w:rPr>
          <w:rFonts w:eastAsia="Calibri" w:cs="Arial"/>
          <w:noProof w:val="0"/>
          <w:szCs w:val="22"/>
          <w:lang w:bidi="ar-SA"/>
        </w:rPr>
        <w:t>Graf 2</w:t>
      </w:r>
      <w:r>
        <w:fldChar w:fldCharType="end"/>
      </w:r>
      <w:r w:rsidR="00ED5B2D" w:rsidRPr="00ED38E9">
        <w:rPr>
          <w:rFonts w:eastAsia="Calibri" w:cs="Arial"/>
          <w:noProof w:val="0"/>
          <w:szCs w:val="22"/>
          <w:lang w:bidi="ar-SA"/>
        </w:rPr>
        <w:t xml:space="preserve"> ukazuje, jak velký podíl na zpětně </w:t>
      </w:r>
      <w:r w:rsidR="00A8771C">
        <w:rPr>
          <w:rFonts w:eastAsia="Calibri" w:cs="Arial"/>
          <w:noProof w:val="0"/>
          <w:szCs w:val="22"/>
          <w:lang w:bidi="ar-SA"/>
        </w:rPr>
        <w:t>ode</w:t>
      </w:r>
      <w:r w:rsidR="00ED5B2D" w:rsidRPr="00ED38E9">
        <w:rPr>
          <w:rFonts w:eastAsia="Calibri" w:cs="Arial"/>
          <w:noProof w:val="0"/>
          <w:szCs w:val="22"/>
          <w:lang w:bidi="ar-SA"/>
        </w:rPr>
        <w:t xml:space="preserve">braných a odděleně sebraných výrobcích měly v roce 2012 jednotlivé systémy sběru. Individuální a solidární systémy měly na celkově odebraných výrobcích hmotnostní podíl velmi malý, téměř všechen </w:t>
      </w:r>
      <w:r w:rsidR="00A8771C">
        <w:rPr>
          <w:rFonts w:eastAsia="Calibri" w:cs="Arial"/>
          <w:noProof w:val="0"/>
          <w:szCs w:val="22"/>
          <w:lang w:bidi="ar-SA"/>
        </w:rPr>
        <w:t xml:space="preserve">zpětný </w:t>
      </w:r>
      <w:r w:rsidR="00ED5B2D" w:rsidRPr="00ED38E9">
        <w:rPr>
          <w:rFonts w:eastAsia="Calibri" w:cs="Arial"/>
          <w:noProof w:val="0"/>
          <w:szCs w:val="22"/>
          <w:lang w:bidi="ar-SA"/>
        </w:rPr>
        <w:t xml:space="preserve">odběr a </w:t>
      </w:r>
      <w:r w:rsidR="00A8771C">
        <w:rPr>
          <w:rFonts w:eastAsia="Calibri" w:cs="Arial"/>
          <w:noProof w:val="0"/>
          <w:szCs w:val="22"/>
          <w:lang w:bidi="ar-SA"/>
        </w:rPr>
        <w:t xml:space="preserve">oddělený </w:t>
      </w:r>
      <w:r w:rsidR="00ED5B2D" w:rsidRPr="00ED38E9">
        <w:rPr>
          <w:rFonts w:eastAsia="Calibri" w:cs="Arial"/>
          <w:noProof w:val="0"/>
          <w:szCs w:val="22"/>
          <w:lang w:bidi="ar-SA"/>
        </w:rPr>
        <w:lastRenderedPageBreak/>
        <w:t xml:space="preserve">sběr je připisován kolektivním systémům. Nejvyšší podíl zde má společnost </w:t>
      </w:r>
      <w:proofErr w:type="spellStart"/>
      <w:r w:rsidR="00ED5B2D" w:rsidRPr="00ED38E9">
        <w:rPr>
          <w:rFonts w:eastAsia="Calibri" w:cs="Arial"/>
          <w:noProof w:val="0"/>
          <w:szCs w:val="22"/>
          <w:lang w:bidi="ar-SA"/>
        </w:rPr>
        <w:t>Elektrowin</w:t>
      </w:r>
      <w:proofErr w:type="spellEnd"/>
      <w:r w:rsidR="00ED5B2D" w:rsidRPr="00ED38E9">
        <w:rPr>
          <w:rFonts w:eastAsia="Calibri" w:cs="Arial"/>
          <w:noProof w:val="0"/>
          <w:szCs w:val="22"/>
          <w:lang w:bidi="ar-SA"/>
        </w:rPr>
        <w:t xml:space="preserve"> a.s. (provozující především kolektivní sběr malých a velkých spotřebičů) následovaná společností ASEKOL s.r.o. Podíly těchto dvou kolektivních systémů dohromady tvoří téměř 80 % veškerého zpětného odběru a odděleného sběru.</w:t>
      </w:r>
    </w:p>
    <w:p w:rsidR="00ED5B2D" w:rsidRPr="00ED38E9" w:rsidRDefault="00ED5B2D" w:rsidP="005140E5">
      <w:pPr>
        <w:pStyle w:val="Titulek"/>
        <w:rPr>
          <w:rFonts w:cs="Arial"/>
          <w:lang w:eastAsia="cs-CZ" w:bidi="ar-SA"/>
        </w:rPr>
      </w:pPr>
      <w:bookmarkStart w:id="47" w:name="_Ref402957082"/>
      <w:r w:rsidRPr="00ED38E9">
        <w:rPr>
          <w:rFonts w:cs="Arial"/>
          <w:lang w:eastAsia="cs-CZ" w:bidi="ar-SA"/>
        </w:rPr>
        <w:t xml:space="preserve">Graf </w:t>
      </w:r>
      <w:r w:rsidR="00381FB7" w:rsidRPr="00ED38E9">
        <w:rPr>
          <w:rFonts w:cs="Arial"/>
          <w:lang w:eastAsia="cs-CZ" w:bidi="ar-SA"/>
        </w:rPr>
        <w:fldChar w:fldCharType="begin"/>
      </w:r>
      <w:r w:rsidRPr="00ED38E9">
        <w:rPr>
          <w:rFonts w:cs="Arial"/>
          <w:lang w:eastAsia="cs-CZ" w:bidi="ar-SA"/>
        </w:rPr>
        <w:instrText xml:space="preserve"> SEQ Graf \* ARABIC </w:instrText>
      </w:r>
      <w:r w:rsidR="00381FB7" w:rsidRPr="00ED38E9">
        <w:rPr>
          <w:rFonts w:cs="Arial"/>
          <w:lang w:eastAsia="cs-CZ" w:bidi="ar-SA"/>
        </w:rPr>
        <w:fldChar w:fldCharType="separate"/>
      </w:r>
      <w:r w:rsidR="002A3964" w:rsidRPr="00ED38E9">
        <w:rPr>
          <w:rFonts w:cs="Arial"/>
          <w:lang w:eastAsia="cs-CZ" w:bidi="ar-SA"/>
        </w:rPr>
        <w:t>2</w:t>
      </w:r>
      <w:r w:rsidR="00381FB7" w:rsidRPr="00ED38E9">
        <w:rPr>
          <w:rFonts w:cs="Arial"/>
          <w:lang w:eastAsia="cs-CZ" w:bidi="ar-SA"/>
        </w:rPr>
        <w:fldChar w:fldCharType="end"/>
      </w:r>
      <w:bookmarkEnd w:id="47"/>
      <w:r w:rsidRPr="00ED38E9">
        <w:rPr>
          <w:rFonts w:cs="Arial"/>
          <w:lang w:eastAsia="cs-CZ" w:bidi="ar-SA"/>
        </w:rPr>
        <w:t>: Podíl jednotlivých systémů na zpětně odebraných a odděleně sebraných výrobcích v roce 2012 dle jejich hmotnosti</w:t>
      </w:r>
    </w:p>
    <w:p w:rsidR="00ED5B2D" w:rsidRPr="00ED38E9" w:rsidRDefault="00ED5B2D" w:rsidP="00ED5B2D">
      <w:pPr>
        <w:keepNext/>
        <w:spacing w:before="120" w:after="120"/>
        <w:rPr>
          <w:rFonts w:eastAsia="Calibri" w:cs="Arial"/>
          <w:noProof w:val="0"/>
          <w:szCs w:val="22"/>
          <w:lang w:bidi="ar-SA"/>
        </w:rPr>
      </w:pPr>
      <w:r w:rsidRPr="00ED38E9">
        <w:rPr>
          <w:rFonts w:eastAsia="Calibri" w:cs="Arial"/>
          <w:szCs w:val="22"/>
          <w:lang w:eastAsia="cs-CZ" w:bidi="ar-SA"/>
        </w:rPr>
        <w:drawing>
          <wp:inline distT="0" distB="0" distL="0" distR="0" wp14:anchorId="51E96D0A" wp14:editId="0308FA45">
            <wp:extent cx="5762625" cy="2314575"/>
            <wp:effectExtent l="0" t="0" r="9525" b="9525"/>
            <wp:docPr id="44"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D5B2D" w:rsidRPr="00ED38E9" w:rsidRDefault="00ED5B2D" w:rsidP="001E1F3C">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 xml:space="preserve">Zdroj: </w:t>
      </w:r>
      <w:r w:rsidR="00A56310" w:rsidRPr="00ED38E9">
        <w:rPr>
          <w:rFonts w:cs="Arial"/>
          <w:i/>
          <w:iCs/>
          <w:noProof w:val="0"/>
          <w:color w:val="000000"/>
          <w:sz w:val="20"/>
          <w:szCs w:val="20"/>
          <w:lang w:eastAsia="cs-CZ" w:bidi="ar-SA"/>
        </w:rPr>
        <w:t>MŽP</w:t>
      </w:r>
    </w:p>
    <w:p w:rsidR="00ED5B2D" w:rsidRPr="00ED38E9" w:rsidRDefault="00ED5B2D" w:rsidP="005140E5">
      <w:pPr>
        <w:pStyle w:val="Titulek"/>
        <w:rPr>
          <w:rFonts w:cs="Arial"/>
          <w:lang w:eastAsia="cs-CZ" w:bidi="ar-SA"/>
        </w:rPr>
      </w:pPr>
      <w:bookmarkStart w:id="48" w:name="_Ref403032761"/>
      <w:r w:rsidRPr="00ED38E9">
        <w:rPr>
          <w:rFonts w:cs="Arial"/>
          <w:lang w:eastAsia="cs-CZ" w:bidi="ar-SA"/>
        </w:rPr>
        <w:t xml:space="preserve">Graf </w:t>
      </w:r>
      <w:r w:rsidR="00381FB7" w:rsidRPr="00ED38E9">
        <w:rPr>
          <w:rFonts w:cs="Arial"/>
          <w:lang w:eastAsia="cs-CZ" w:bidi="ar-SA"/>
        </w:rPr>
        <w:fldChar w:fldCharType="begin"/>
      </w:r>
      <w:r w:rsidRPr="00ED38E9">
        <w:rPr>
          <w:rFonts w:cs="Arial"/>
          <w:lang w:eastAsia="cs-CZ" w:bidi="ar-SA"/>
        </w:rPr>
        <w:instrText xml:space="preserve"> SEQ Graf \* ARABIC </w:instrText>
      </w:r>
      <w:r w:rsidR="00381FB7" w:rsidRPr="00ED38E9">
        <w:rPr>
          <w:rFonts w:cs="Arial"/>
          <w:lang w:eastAsia="cs-CZ" w:bidi="ar-SA"/>
        </w:rPr>
        <w:fldChar w:fldCharType="separate"/>
      </w:r>
      <w:r w:rsidR="002A3964" w:rsidRPr="00ED38E9">
        <w:rPr>
          <w:rFonts w:cs="Arial"/>
          <w:lang w:eastAsia="cs-CZ" w:bidi="ar-SA"/>
        </w:rPr>
        <w:t>3</w:t>
      </w:r>
      <w:r w:rsidR="00381FB7" w:rsidRPr="00ED38E9">
        <w:rPr>
          <w:rFonts w:cs="Arial"/>
          <w:lang w:eastAsia="cs-CZ" w:bidi="ar-SA"/>
        </w:rPr>
        <w:fldChar w:fldCharType="end"/>
      </w:r>
      <w:bookmarkEnd w:id="48"/>
      <w:r w:rsidRPr="00ED38E9">
        <w:rPr>
          <w:rFonts w:cs="Arial"/>
          <w:lang w:eastAsia="cs-CZ" w:bidi="ar-SA"/>
        </w:rPr>
        <w:t>: Úroveň zpětného odběru a odděleného sběru pro jednotlivé KS za rok 2012</w:t>
      </w:r>
    </w:p>
    <w:p w:rsidR="00ED5B2D" w:rsidRPr="00ED38E9" w:rsidRDefault="00ED5B2D" w:rsidP="00ED5B2D">
      <w:pPr>
        <w:keepNext/>
        <w:spacing w:before="120" w:after="120"/>
        <w:rPr>
          <w:rFonts w:eastAsia="Calibri" w:cs="Arial"/>
          <w:i/>
          <w:iCs/>
          <w:noProof w:val="0"/>
          <w:color w:val="000000"/>
          <w:szCs w:val="22"/>
          <w:lang w:eastAsia="cs-CZ" w:bidi="ar-SA"/>
        </w:rPr>
      </w:pPr>
      <w:r w:rsidRPr="00ED38E9">
        <w:rPr>
          <w:rFonts w:eastAsia="Calibri" w:cs="Arial"/>
          <w:szCs w:val="22"/>
          <w:lang w:eastAsia="cs-CZ" w:bidi="ar-SA"/>
        </w:rPr>
        <w:drawing>
          <wp:inline distT="0" distB="0" distL="0" distR="0" wp14:anchorId="0A75D02F" wp14:editId="64C04782">
            <wp:extent cx="5455920" cy="2788920"/>
            <wp:effectExtent l="0" t="0" r="11430" b="1143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D5B2D" w:rsidRPr="00ED38E9" w:rsidRDefault="00ED5B2D" w:rsidP="001E1F3C">
      <w:pPr>
        <w:widowControl w:val="0"/>
        <w:rPr>
          <w:rFonts w:eastAsia="Calibri" w:cs="Arial"/>
          <w:i/>
          <w:iCs/>
          <w:noProof w:val="0"/>
          <w:color w:val="000000"/>
          <w:sz w:val="20"/>
          <w:szCs w:val="20"/>
          <w:lang w:eastAsia="cs-CZ" w:bidi="ar-SA"/>
        </w:rPr>
      </w:pPr>
      <w:r w:rsidRPr="00ED38E9">
        <w:rPr>
          <w:rFonts w:eastAsia="Calibri" w:cs="Arial"/>
          <w:i/>
          <w:iCs/>
          <w:noProof w:val="0"/>
          <w:color w:val="000000"/>
          <w:sz w:val="20"/>
          <w:szCs w:val="20"/>
          <w:lang w:eastAsia="cs-CZ" w:bidi="ar-SA"/>
        </w:rPr>
        <w:t xml:space="preserve">Zdroj: </w:t>
      </w:r>
      <w:r w:rsidR="00A56310" w:rsidRPr="00ED38E9">
        <w:rPr>
          <w:rFonts w:eastAsia="Calibri" w:cs="Arial"/>
          <w:i/>
          <w:iCs/>
          <w:noProof w:val="0"/>
          <w:color w:val="000000"/>
          <w:sz w:val="20"/>
          <w:szCs w:val="20"/>
          <w:lang w:eastAsia="cs-CZ" w:bidi="ar-SA"/>
        </w:rPr>
        <w:t>MŽP</w:t>
      </w:r>
      <w:r w:rsidRPr="00ED38E9">
        <w:rPr>
          <w:rFonts w:eastAsia="Calibri" w:cs="Arial"/>
          <w:i/>
          <w:iCs/>
          <w:noProof w:val="0"/>
          <w:color w:val="000000"/>
          <w:sz w:val="20"/>
          <w:szCs w:val="20"/>
          <w:lang w:eastAsia="cs-CZ" w:bidi="ar-SA"/>
        </w:rPr>
        <w:t>, EEIP, a.s.</w:t>
      </w:r>
    </w:p>
    <w:p w:rsidR="00ED5B2D" w:rsidRPr="00ED38E9" w:rsidRDefault="00FD0108" w:rsidP="00112FE8">
      <w:pPr>
        <w:spacing w:before="120"/>
        <w:rPr>
          <w:rFonts w:eastAsia="Calibri" w:cs="Arial"/>
          <w:noProof w:val="0"/>
          <w:szCs w:val="22"/>
          <w:lang w:bidi="ar-SA"/>
        </w:rPr>
      </w:pPr>
      <w:r>
        <w:fldChar w:fldCharType="begin"/>
      </w:r>
      <w:r>
        <w:instrText xml:space="preserve"> REF _Ref403032761 \h  \* MERGEFORMAT </w:instrText>
      </w:r>
      <w:r>
        <w:fldChar w:fldCharType="separate"/>
      </w:r>
      <w:r w:rsidR="002A3964" w:rsidRPr="00ED38E9">
        <w:rPr>
          <w:rFonts w:eastAsia="Calibri" w:cs="Arial"/>
          <w:noProof w:val="0"/>
          <w:szCs w:val="22"/>
          <w:lang w:bidi="ar-SA"/>
        </w:rPr>
        <w:t>Graf 3</w:t>
      </w:r>
      <w:r>
        <w:fldChar w:fldCharType="end"/>
      </w:r>
      <w:r w:rsidR="00ED5B2D" w:rsidRPr="00ED38E9">
        <w:rPr>
          <w:rFonts w:eastAsia="Calibri" w:cs="Arial"/>
          <w:noProof w:val="0"/>
          <w:szCs w:val="22"/>
          <w:lang w:bidi="ar-SA"/>
        </w:rPr>
        <w:t xml:space="preserve"> ukazuje úrovně sběru jednotlivých kolektivních systémů působících na českém trhu v roce 2012 v oblasti elektrozařízení v  porovnání s průměrem dosaženým v rámci celé ČR v roce 2012 a s cílem stanoveným EU pro rok 2016. V roce 2012 Česká republika dosahovala 31,8 % úrovně zpětného odběru a odděleného sběru. Úroveň dosažená v roce 2012 je pod úrovní stanového cíle evropskou směrnicí pro rok 2016. V roce 2012 pouze kolektivní systém ASEKOL dosáhl úrovně zpětného odběru a odděleného sběru převyšující požadovanou úroveň EU pro rok 2016. Oproti kolektivním systémům REMA Systém a</w:t>
      </w:r>
      <w:r w:rsidR="00112FE8" w:rsidRPr="00ED38E9">
        <w:rPr>
          <w:rFonts w:eastAsia="Calibri" w:cs="Arial"/>
          <w:noProof w:val="0"/>
          <w:szCs w:val="22"/>
          <w:lang w:bidi="ar-SA"/>
        </w:rPr>
        <w:t> </w:t>
      </w:r>
      <w:r w:rsidR="00ED5B2D" w:rsidRPr="00ED38E9">
        <w:rPr>
          <w:rFonts w:eastAsia="Calibri" w:cs="Arial"/>
          <w:noProof w:val="0"/>
          <w:szCs w:val="22"/>
          <w:lang w:bidi="ar-SA"/>
        </w:rPr>
        <w:t xml:space="preserve">RETELA kolektivní </w:t>
      </w:r>
      <w:r w:rsidR="00ED5B2D" w:rsidRPr="00ED38E9">
        <w:rPr>
          <w:rFonts w:eastAsia="Calibri" w:cs="Arial"/>
          <w:noProof w:val="0"/>
          <w:szCs w:val="22"/>
          <w:lang w:bidi="ar-SA"/>
        </w:rPr>
        <w:lastRenderedPageBreak/>
        <w:t>systém ASEKOL v roce 2012 nezajišťoval kolektivní plnění pro všechny skupiny elektrozařízení.</w:t>
      </w:r>
    </w:p>
    <w:p w:rsidR="00ED5B2D" w:rsidRPr="00ED38E9" w:rsidRDefault="00ED5B2D" w:rsidP="00743CDF">
      <w:pPr>
        <w:pStyle w:val="Titulek"/>
        <w:rPr>
          <w:rFonts w:cs="Arial"/>
          <w:lang w:eastAsia="cs-CZ" w:bidi="ar-SA"/>
        </w:rPr>
      </w:pPr>
      <w:bookmarkStart w:id="49" w:name="_Ref403033696"/>
      <w:r w:rsidRPr="00ED38E9">
        <w:rPr>
          <w:rFonts w:cs="Arial"/>
          <w:lang w:eastAsia="cs-CZ" w:bidi="ar-SA"/>
        </w:rPr>
        <w:t xml:space="preserve">Graf </w:t>
      </w:r>
      <w:r w:rsidR="00381FB7" w:rsidRPr="00ED38E9">
        <w:rPr>
          <w:rFonts w:cs="Arial"/>
          <w:lang w:eastAsia="cs-CZ" w:bidi="ar-SA"/>
        </w:rPr>
        <w:fldChar w:fldCharType="begin"/>
      </w:r>
      <w:r w:rsidRPr="00ED38E9">
        <w:rPr>
          <w:rFonts w:cs="Arial"/>
          <w:lang w:eastAsia="cs-CZ" w:bidi="ar-SA"/>
        </w:rPr>
        <w:instrText xml:space="preserve"> SEQ Graf \* ARABIC </w:instrText>
      </w:r>
      <w:r w:rsidR="00381FB7" w:rsidRPr="00ED38E9">
        <w:rPr>
          <w:rFonts w:cs="Arial"/>
          <w:lang w:eastAsia="cs-CZ" w:bidi="ar-SA"/>
        </w:rPr>
        <w:fldChar w:fldCharType="separate"/>
      </w:r>
      <w:r w:rsidR="002A3964" w:rsidRPr="00ED38E9">
        <w:rPr>
          <w:rFonts w:cs="Arial"/>
          <w:lang w:eastAsia="cs-CZ" w:bidi="ar-SA"/>
        </w:rPr>
        <w:t>4</w:t>
      </w:r>
      <w:r w:rsidR="00381FB7" w:rsidRPr="00ED38E9">
        <w:rPr>
          <w:rFonts w:cs="Arial"/>
          <w:lang w:eastAsia="cs-CZ" w:bidi="ar-SA"/>
        </w:rPr>
        <w:fldChar w:fldCharType="end"/>
      </w:r>
      <w:bookmarkEnd w:id="49"/>
      <w:r w:rsidRPr="00ED38E9">
        <w:rPr>
          <w:rFonts w:cs="Arial"/>
          <w:lang w:eastAsia="cs-CZ" w:bidi="ar-SA"/>
        </w:rPr>
        <w:t>: Podíl jednotlivých subjektů dle množství výrobků uváděných na trh v roce 2012</w:t>
      </w:r>
    </w:p>
    <w:p w:rsidR="00ED5B2D" w:rsidRPr="00ED38E9" w:rsidRDefault="00ED5B2D" w:rsidP="00ED5B2D">
      <w:pPr>
        <w:keepNext/>
        <w:widowControl w:val="0"/>
        <w:spacing w:before="120" w:after="240" w:line="240" w:lineRule="auto"/>
        <w:rPr>
          <w:rFonts w:cs="Arial"/>
          <w:i/>
          <w:iCs/>
          <w:noProof w:val="0"/>
          <w:color w:val="000000"/>
          <w:sz w:val="20"/>
          <w:szCs w:val="20"/>
          <w:lang w:eastAsia="cs-CZ" w:bidi="ar-SA"/>
        </w:rPr>
      </w:pPr>
      <w:r w:rsidRPr="00ED38E9">
        <w:rPr>
          <w:rFonts w:cs="Arial"/>
          <w:i/>
          <w:iCs/>
          <w:color w:val="000000"/>
          <w:sz w:val="20"/>
          <w:szCs w:val="20"/>
          <w:lang w:eastAsia="cs-CZ" w:bidi="ar-SA"/>
        </w:rPr>
        <w:drawing>
          <wp:inline distT="0" distB="0" distL="0" distR="0" wp14:anchorId="3F842C0C" wp14:editId="4C9A8D25">
            <wp:extent cx="5760720" cy="2965450"/>
            <wp:effectExtent l="0" t="0" r="11430" b="25400"/>
            <wp:docPr id="63" name="Graf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D38E9">
        <w:rPr>
          <w:rFonts w:cs="Arial"/>
          <w:i/>
          <w:iCs/>
          <w:noProof w:val="0"/>
          <w:color w:val="000000"/>
          <w:sz w:val="20"/>
          <w:szCs w:val="20"/>
          <w:lang w:eastAsia="cs-CZ" w:bidi="ar-SA"/>
        </w:rPr>
        <w:t xml:space="preserve">Pozn. Kolektivní systém ZENTEK CZ </w:t>
      </w:r>
      <w:r w:rsidR="0024251A" w:rsidRPr="00ED38E9">
        <w:rPr>
          <w:rFonts w:cs="Arial"/>
          <w:i/>
          <w:iCs/>
          <w:noProof w:val="0"/>
          <w:color w:val="000000"/>
          <w:sz w:val="20"/>
          <w:szCs w:val="20"/>
          <w:lang w:eastAsia="cs-CZ" w:bidi="ar-SA"/>
        </w:rPr>
        <w:t>s.r.o.</w:t>
      </w:r>
      <w:r w:rsidRPr="00ED38E9">
        <w:rPr>
          <w:rFonts w:cs="Arial"/>
          <w:i/>
          <w:iCs/>
          <w:noProof w:val="0"/>
          <w:color w:val="000000"/>
          <w:sz w:val="20"/>
          <w:szCs w:val="20"/>
          <w:lang w:eastAsia="cs-CZ" w:bidi="ar-SA"/>
        </w:rPr>
        <w:t xml:space="preserve"> ukončil v průběhu roku 2013 svoji činnost.</w:t>
      </w:r>
    </w:p>
    <w:p w:rsidR="00ED5B2D" w:rsidRPr="00ED38E9" w:rsidRDefault="00ED5B2D" w:rsidP="001E1F3C">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MŽP, EEIP</w:t>
      </w:r>
    </w:p>
    <w:p w:rsidR="00ED5B2D" w:rsidRPr="00ED38E9" w:rsidRDefault="00ED5B2D" w:rsidP="001E1F3C">
      <w:pPr>
        <w:rPr>
          <w:rFonts w:eastAsia="Calibri" w:cs="Arial"/>
          <w:noProof w:val="0"/>
          <w:szCs w:val="22"/>
          <w:lang w:bidi="ar-SA"/>
        </w:rPr>
      </w:pPr>
      <w:r w:rsidRPr="00ED38E9">
        <w:rPr>
          <w:rFonts w:eastAsia="Calibri" w:cs="Arial"/>
          <w:noProof w:val="0"/>
          <w:szCs w:val="22"/>
          <w:lang w:bidi="ar-SA"/>
        </w:rPr>
        <w:t>Pro analýzu tržního postavení jednotlivých kolektivních systémů v rámci skupin elektrozařízení byl zvolen přístup odhadu tržního podílu dle podílu výrobků uvedených na trh výrobci z daného kolektivního systému v roce 2012 (</w:t>
      </w:r>
      <w:r w:rsidR="00FD0108">
        <w:fldChar w:fldCharType="begin"/>
      </w:r>
      <w:r w:rsidR="00FD0108">
        <w:instrText xml:space="preserve"> REF _Ref403033696 \h  \* MERGEFORMAT </w:instrText>
      </w:r>
      <w:r w:rsidR="00FD0108">
        <w:fldChar w:fldCharType="separate"/>
      </w:r>
      <w:r w:rsidR="002A3964" w:rsidRPr="00ED38E9">
        <w:rPr>
          <w:rFonts w:eastAsia="Calibri" w:cs="Arial"/>
          <w:noProof w:val="0"/>
          <w:szCs w:val="22"/>
          <w:lang w:bidi="ar-SA"/>
        </w:rPr>
        <w:t>Graf 4</w:t>
      </w:r>
      <w:r w:rsidR="00FD0108">
        <w:fldChar w:fldCharType="end"/>
      </w:r>
      <w:r w:rsidRPr="00ED38E9">
        <w:rPr>
          <w:rFonts w:eastAsia="Calibri" w:cs="Arial"/>
          <w:noProof w:val="0"/>
          <w:szCs w:val="22"/>
          <w:lang w:bidi="ar-SA"/>
        </w:rPr>
        <w:t xml:space="preserve">). Z Grafu je patrné, že kolektivní systém </w:t>
      </w:r>
      <w:proofErr w:type="spellStart"/>
      <w:r w:rsidRPr="00ED38E9">
        <w:rPr>
          <w:rFonts w:eastAsia="Calibri" w:cs="Arial"/>
          <w:noProof w:val="0"/>
          <w:szCs w:val="22"/>
          <w:lang w:bidi="ar-SA"/>
        </w:rPr>
        <w:t>Elektrowin</w:t>
      </w:r>
      <w:proofErr w:type="spellEnd"/>
      <w:r w:rsidRPr="00ED38E9">
        <w:rPr>
          <w:rFonts w:eastAsia="Calibri" w:cs="Arial"/>
          <w:noProof w:val="0"/>
          <w:szCs w:val="22"/>
          <w:lang w:bidi="ar-SA"/>
        </w:rPr>
        <w:t xml:space="preserve"> měl dominantní podíl dle výrobků uvedených na trh ve skupině 1 (velké domácí spotřebiče) a skupině 2 (malé domácí spotřebiče). Ve skupině 3 (IT a telekomunikačních zařízení) patřily mezi nejvýznamnější hráče kolektivní systémy ASEKOL (41 %) a REMA systém (49 %). Dominantního postavení docílil kolektivní systém ASEKOL ve skupině 4 (spotřebitelská zařízení a solární panely). Kolektivní systém EKOLAMP vykazoval dominantní postavení v rámci skupiny 5 (osvětlovací zařízení). V rámci elektrických a elektronických nástrojů (skupina 6) patřily mezi nejvýznamnější hráče kolektivní systém RETELA (54 %) a kolektivní systém </w:t>
      </w:r>
      <w:proofErr w:type="spellStart"/>
      <w:r w:rsidRPr="00ED38E9">
        <w:rPr>
          <w:rFonts w:eastAsia="Calibri" w:cs="Arial"/>
          <w:noProof w:val="0"/>
          <w:szCs w:val="22"/>
          <w:lang w:bidi="ar-SA"/>
        </w:rPr>
        <w:t>Elektrowin</w:t>
      </w:r>
      <w:proofErr w:type="spellEnd"/>
      <w:r w:rsidRPr="00ED38E9">
        <w:rPr>
          <w:rFonts w:eastAsia="Calibri" w:cs="Arial"/>
          <w:noProof w:val="0"/>
          <w:szCs w:val="22"/>
          <w:lang w:bidi="ar-SA"/>
        </w:rPr>
        <w:t xml:space="preserve"> (34 %). Ve skupině 7 (vybavení pro volný čas a sporty) sdružoval výrobce s největším podílem na uvedených výrobcích v dané skupině kolektivní systém ASEKOL (57 %) následovaný kolektivním systémem RETELA (27 %). Ve skupině 8 resp. 9 uvedli na trh nejvíce výrobci z kolektivních systémů RETELA a REMA Systém. Kolektivní systém RETELA měl dominantní postavení ve skupině 10 (Výdejní automaty).</w:t>
      </w:r>
    </w:p>
    <w:p w:rsidR="00ED5B2D" w:rsidRPr="00ED38E9" w:rsidRDefault="00ED5B2D" w:rsidP="001E1F3C">
      <w:pPr>
        <w:rPr>
          <w:rFonts w:eastAsia="Calibri" w:cs="Arial"/>
          <w:noProof w:val="0"/>
          <w:szCs w:val="22"/>
          <w:lang w:bidi="ar-SA"/>
        </w:rPr>
      </w:pPr>
      <w:r w:rsidRPr="00ED38E9">
        <w:rPr>
          <w:rFonts w:eastAsia="Calibri" w:cs="Arial"/>
          <w:noProof w:val="0"/>
          <w:szCs w:val="22"/>
          <w:lang w:bidi="ar-SA"/>
        </w:rPr>
        <w:t>Na problematiku stávající legislativy spojenou s možnými negativními dopady na hospodářskou soutěž již v minulosti upozorňoval Úřad pro ochranu hospodářské soutěže. V rámci příslušných věcných okruhů se této problematice věnujeme podrobněji.</w:t>
      </w:r>
    </w:p>
    <w:p w:rsidR="00ED5B2D" w:rsidRPr="00ED38E9" w:rsidRDefault="00ED5B2D" w:rsidP="001E1F3C">
      <w:pPr>
        <w:rPr>
          <w:rFonts w:eastAsia="Calibri" w:cs="Arial"/>
          <w:noProof w:val="0"/>
          <w:szCs w:val="22"/>
          <w:lang w:bidi="ar-SA"/>
        </w:rPr>
      </w:pPr>
      <w:r w:rsidRPr="00ED38E9">
        <w:rPr>
          <w:rFonts w:eastAsia="Calibri" w:cs="Arial"/>
          <w:noProof w:val="0"/>
          <w:szCs w:val="22"/>
          <w:lang w:bidi="ar-SA"/>
        </w:rPr>
        <w:t xml:space="preserve">Přehled podílu jednotlivých kolektivních systémů dle úrovně zpětného odběru a odděleného sběru v rámci dané skupiny za rok 2012 představuje </w:t>
      </w:r>
      <w:r w:rsidR="00FD0108">
        <w:fldChar w:fldCharType="begin"/>
      </w:r>
      <w:r w:rsidR="00FD0108">
        <w:instrText xml:space="preserve"> REF _Ref403052520 \h  \* MERGEFORMAT </w:instrText>
      </w:r>
      <w:r w:rsidR="00FD0108">
        <w:fldChar w:fldCharType="separate"/>
      </w:r>
      <w:r w:rsidR="002A3964" w:rsidRPr="00ED38E9">
        <w:rPr>
          <w:rFonts w:eastAsia="Calibri" w:cs="Arial"/>
          <w:noProof w:val="0"/>
          <w:szCs w:val="22"/>
          <w:lang w:bidi="ar-SA"/>
        </w:rPr>
        <w:t>Graf 5</w:t>
      </w:r>
      <w:r w:rsidR="00FD0108">
        <w:fldChar w:fldCharType="end"/>
      </w:r>
      <w:r w:rsidRPr="00ED38E9">
        <w:rPr>
          <w:rFonts w:eastAsia="Calibri" w:cs="Arial"/>
          <w:noProof w:val="0"/>
          <w:szCs w:val="22"/>
          <w:lang w:bidi="ar-SA"/>
        </w:rPr>
        <w:t xml:space="preserve">. Z Grafů 4 a 5 je patrné, že v rámci některých skupin je postavení kolektivního systému za rok 2012 rozdílné v závislosti </w:t>
      </w:r>
      <w:r w:rsidRPr="00ED38E9">
        <w:rPr>
          <w:rFonts w:eastAsia="Calibri" w:cs="Arial"/>
          <w:noProof w:val="0"/>
          <w:szCs w:val="22"/>
          <w:lang w:bidi="ar-SA"/>
        </w:rPr>
        <w:lastRenderedPageBreak/>
        <w:t>na zvoleném přístupu (dle podílů výrobků uvedených na trh výrobci z daného KS vs. úroveň zpětného odběru a odděleného sběru daného KS).</w:t>
      </w:r>
    </w:p>
    <w:p w:rsidR="00ED5B2D" w:rsidRPr="00ED38E9" w:rsidRDefault="00ED5B2D" w:rsidP="005140E5">
      <w:pPr>
        <w:pStyle w:val="Titulek"/>
        <w:rPr>
          <w:rFonts w:cs="Arial"/>
          <w:lang w:eastAsia="cs-CZ" w:bidi="ar-SA"/>
        </w:rPr>
      </w:pPr>
      <w:bookmarkStart w:id="50" w:name="_Ref403052520"/>
      <w:r w:rsidRPr="00ED38E9">
        <w:rPr>
          <w:rFonts w:cs="Arial"/>
          <w:lang w:eastAsia="cs-CZ" w:bidi="ar-SA"/>
        </w:rPr>
        <w:t xml:space="preserve">Graf </w:t>
      </w:r>
      <w:r w:rsidR="00381FB7" w:rsidRPr="00ED38E9">
        <w:rPr>
          <w:rFonts w:cs="Arial"/>
          <w:lang w:eastAsia="cs-CZ" w:bidi="ar-SA"/>
        </w:rPr>
        <w:fldChar w:fldCharType="begin"/>
      </w:r>
      <w:r w:rsidRPr="00ED38E9">
        <w:rPr>
          <w:rFonts w:cs="Arial"/>
          <w:lang w:eastAsia="cs-CZ" w:bidi="ar-SA"/>
        </w:rPr>
        <w:instrText xml:space="preserve"> SEQ Graf \* ARABIC </w:instrText>
      </w:r>
      <w:r w:rsidR="00381FB7" w:rsidRPr="00ED38E9">
        <w:rPr>
          <w:rFonts w:cs="Arial"/>
          <w:lang w:eastAsia="cs-CZ" w:bidi="ar-SA"/>
        </w:rPr>
        <w:fldChar w:fldCharType="separate"/>
      </w:r>
      <w:r w:rsidR="002A3964" w:rsidRPr="00ED38E9">
        <w:rPr>
          <w:rFonts w:cs="Arial"/>
          <w:lang w:eastAsia="cs-CZ" w:bidi="ar-SA"/>
        </w:rPr>
        <w:t>5</w:t>
      </w:r>
      <w:r w:rsidR="00381FB7" w:rsidRPr="00ED38E9">
        <w:rPr>
          <w:rFonts w:cs="Arial"/>
          <w:lang w:eastAsia="cs-CZ" w:bidi="ar-SA"/>
        </w:rPr>
        <w:fldChar w:fldCharType="end"/>
      </w:r>
      <w:bookmarkEnd w:id="50"/>
      <w:r w:rsidRPr="00ED38E9">
        <w:rPr>
          <w:rFonts w:cs="Arial"/>
          <w:lang w:eastAsia="cs-CZ" w:bidi="ar-SA"/>
        </w:rPr>
        <w:t>: Podíl jednotlivých KS na úrovni zpětného odběru a odděleného sběru v dané skupině v roce 2012</w:t>
      </w:r>
    </w:p>
    <w:p w:rsidR="00ED5B2D" w:rsidRPr="00ED38E9" w:rsidRDefault="00ED5B2D" w:rsidP="00ED5B2D">
      <w:pPr>
        <w:keepNext/>
        <w:widowControl w:val="0"/>
        <w:spacing w:before="120" w:after="120" w:line="240" w:lineRule="auto"/>
        <w:rPr>
          <w:rFonts w:eastAsia="Calibri" w:cs="Arial"/>
          <w:noProof w:val="0"/>
          <w:szCs w:val="20"/>
          <w:lang w:bidi="ar-SA"/>
        </w:rPr>
      </w:pPr>
      <w:r w:rsidRPr="00ED38E9">
        <w:rPr>
          <w:rFonts w:eastAsia="Calibri" w:cs="Arial"/>
          <w:szCs w:val="22"/>
          <w:lang w:eastAsia="cs-CZ" w:bidi="ar-SA"/>
        </w:rPr>
        <w:drawing>
          <wp:inline distT="0" distB="0" distL="0" distR="0" wp14:anchorId="6025948A" wp14:editId="1CC052A5">
            <wp:extent cx="5760720" cy="2884035"/>
            <wp:effectExtent l="0" t="0" r="11430" b="12065"/>
            <wp:docPr id="256" name="Graf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D5B2D" w:rsidRPr="00ED38E9" w:rsidRDefault="00ED5B2D" w:rsidP="00597B1F">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MŽP</w:t>
      </w:r>
    </w:p>
    <w:p w:rsidR="00ED5B2D" w:rsidRPr="00ED38E9" w:rsidRDefault="00ED5B2D" w:rsidP="00112FE8">
      <w:pPr>
        <w:spacing w:before="120"/>
        <w:rPr>
          <w:rFonts w:eastAsia="Calibri" w:cs="Arial"/>
          <w:noProof w:val="0"/>
          <w:szCs w:val="22"/>
          <w:lang w:bidi="ar-SA"/>
        </w:rPr>
      </w:pPr>
      <w:r w:rsidRPr="00ED38E9">
        <w:rPr>
          <w:rFonts w:eastAsia="Calibri" w:cs="Arial"/>
          <w:noProof w:val="0"/>
          <w:szCs w:val="22"/>
          <w:lang w:bidi="ar-SA"/>
        </w:rPr>
        <w:t xml:space="preserve">Po zpracování zpětně odebraného a odděleně sebraného elektroodpadu dochází částečně k jeho druhotnému využití. Pro využívání elektroodpadu jsou zákonem zavedeny limity vycházející z požadavků Evropské unie. Využívání elektroodpadů i zákonné a skutečné míry jsou uvedeny v Tabulce </w:t>
      </w:r>
      <w:r w:rsidR="00381FB7">
        <w:rPr>
          <w:rFonts w:eastAsia="Calibri" w:cs="Arial"/>
          <w:noProof w:val="0"/>
          <w:szCs w:val="22"/>
          <w:lang w:bidi="ar-SA"/>
        </w:rPr>
        <w:fldChar w:fldCharType="begin"/>
      </w:r>
      <w:r w:rsidR="00CC5248">
        <w:rPr>
          <w:rFonts w:eastAsia="Calibri" w:cs="Arial"/>
          <w:noProof w:val="0"/>
          <w:szCs w:val="22"/>
          <w:lang w:bidi="ar-SA"/>
        </w:rPr>
        <w:instrText xml:space="preserve"> REF _Ref441062043 \h </w:instrText>
      </w:r>
      <w:r w:rsidR="00381FB7">
        <w:rPr>
          <w:rFonts w:eastAsia="Calibri" w:cs="Arial"/>
          <w:noProof w:val="0"/>
          <w:szCs w:val="22"/>
          <w:lang w:bidi="ar-SA"/>
        </w:rPr>
      </w:r>
      <w:r w:rsidR="00381FB7">
        <w:rPr>
          <w:rFonts w:eastAsia="Calibri" w:cs="Arial"/>
          <w:noProof w:val="0"/>
          <w:szCs w:val="22"/>
          <w:lang w:bidi="ar-SA"/>
        </w:rPr>
        <w:fldChar w:fldCharType="separate"/>
      </w:r>
      <w:r w:rsidR="00CC5248">
        <w:rPr>
          <w:rFonts w:cs="Arial"/>
          <w:lang w:eastAsia="cs-CZ" w:bidi="ar-SA"/>
        </w:rPr>
        <w:t>28</w:t>
      </w:r>
      <w:r w:rsidR="00381FB7">
        <w:rPr>
          <w:rFonts w:eastAsia="Calibri" w:cs="Arial"/>
          <w:noProof w:val="0"/>
          <w:szCs w:val="22"/>
          <w:lang w:bidi="ar-SA"/>
        </w:rPr>
        <w:fldChar w:fldCharType="end"/>
      </w:r>
      <w:r w:rsidRPr="00ED38E9">
        <w:rPr>
          <w:rFonts w:eastAsia="Calibri" w:cs="Arial"/>
          <w:noProof w:val="0"/>
          <w:szCs w:val="22"/>
          <w:lang w:bidi="ar-SA"/>
        </w:rPr>
        <w:t xml:space="preserve">. Tabulka indikuje, že v roce 2012 byly v rámci každé skupiny elektrozařízení splněny zákonné limity jak pro míru využití elektroodpadu, tak pro míru jeho opětovného a materiálového využití. Míra, s jakou byla tato povinnost splňována, je navíc více než dostatečně vysoká. Míra využití a míra opětovného a materiálového využití </w:t>
      </w:r>
      <w:r w:rsidR="00C22D1C" w:rsidRPr="00ED38E9">
        <w:rPr>
          <w:rFonts w:eastAsia="Calibri" w:cs="Arial"/>
          <w:noProof w:val="0"/>
          <w:szCs w:val="22"/>
          <w:lang w:bidi="ar-SA"/>
        </w:rPr>
        <w:t>dosa</w:t>
      </w:r>
      <w:r w:rsidR="00C22D1C">
        <w:rPr>
          <w:rFonts w:eastAsia="Calibri" w:cs="Arial"/>
          <w:noProof w:val="0"/>
          <w:szCs w:val="22"/>
          <w:lang w:bidi="ar-SA"/>
        </w:rPr>
        <w:t>žená</w:t>
      </w:r>
      <w:r w:rsidR="00C22D1C" w:rsidRPr="00ED38E9">
        <w:rPr>
          <w:rFonts w:eastAsia="Calibri" w:cs="Arial"/>
          <w:noProof w:val="0"/>
          <w:szCs w:val="22"/>
          <w:lang w:bidi="ar-SA"/>
        </w:rPr>
        <w:t xml:space="preserve"> </w:t>
      </w:r>
      <w:r w:rsidRPr="00ED38E9">
        <w:rPr>
          <w:rFonts w:eastAsia="Calibri" w:cs="Arial"/>
          <w:noProof w:val="0"/>
          <w:szCs w:val="22"/>
          <w:lang w:bidi="ar-SA"/>
        </w:rPr>
        <w:t>v roce 2012 splňovala cíle stanovené evropskou směrnicí i pro období 13. 8. 2012 – 14. 8. 2015 a období 15.</w:t>
      </w:r>
      <w:r w:rsidR="00112FE8" w:rsidRPr="00ED38E9">
        <w:rPr>
          <w:rFonts w:eastAsia="Calibri" w:cs="Arial"/>
          <w:noProof w:val="0"/>
          <w:szCs w:val="22"/>
          <w:lang w:bidi="ar-SA"/>
        </w:rPr>
        <w:t xml:space="preserve"> </w:t>
      </w:r>
      <w:r w:rsidRPr="00ED38E9">
        <w:rPr>
          <w:rFonts w:eastAsia="Calibri" w:cs="Arial"/>
          <w:noProof w:val="0"/>
          <w:szCs w:val="22"/>
          <w:lang w:bidi="ar-SA"/>
        </w:rPr>
        <w:t>8.</w:t>
      </w:r>
      <w:r w:rsidR="00112FE8" w:rsidRPr="00ED38E9">
        <w:rPr>
          <w:rFonts w:eastAsia="Calibri" w:cs="Arial"/>
          <w:noProof w:val="0"/>
          <w:szCs w:val="22"/>
          <w:lang w:bidi="ar-SA"/>
        </w:rPr>
        <w:t xml:space="preserve"> </w:t>
      </w:r>
      <w:r w:rsidRPr="00ED38E9">
        <w:rPr>
          <w:rFonts w:eastAsia="Calibri" w:cs="Arial"/>
          <w:noProof w:val="0"/>
          <w:szCs w:val="22"/>
          <w:lang w:bidi="ar-SA"/>
        </w:rPr>
        <w:t>2015 – 14. 8. 2018. Jedinou výjimkou byla míra využití u</w:t>
      </w:r>
      <w:r w:rsidR="00112FE8" w:rsidRPr="00ED38E9">
        <w:rPr>
          <w:rFonts w:eastAsia="Calibri" w:cs="Arial"/>
          <w:noProof w:val="0"/>
          <w:szCs w:val="22"/>
          <w:lang w:bidi="ar-SA"/>
        </w:rPr>
        <w:t> </w:t>
      </w:r>
      <w:r w:rsidRPr="00ED38E9">
        <w:rPr>
          <w:rFonts w:eastAsia="Calibri" w:cs="Arial"/>
          <w:noProof w:val="0"/>
          <w:szCs w:val="22"/>
          <w:lang w:bidi="ar-SA"/>
        </w:rPr>
        <w:t>skupiny 10, která dosahovala v roce 2012 83,18 %, což je dostačující pro cíl za období do</w:t>
      </w:r>
      <w:r w:rsidR="00112FE8" w:rsidRPr="00ED38E9">
        <w:rPr>
          <w:rFonts w:eastAsia="Calibri" w:cs="Arial"/>
          <w:noProof w:val="0"/>
          <w:szCs w:val="22"/>
          <w:lang w:bidi="ar-SA"/>
        </w:rPr>
        <w:t> </w:t>
      </w:r>
      <w:r w:rsidRPr="00ED38E9">
        <w:rPr>
          <w:rFonts w:eastAsia="Calibri" w:cs="Arial"/>
          <w:noProof w:val="0"/>
          <w:szCs w:val="22"/>
          <w:lang w:bidi="ar-SA"/>
        </w:rPr>
        <w:t>14. 8. 2015, ale nikoliv pro cíl v období 15.</w:t>
      </w:r>
      <w:r w:rsidR="00112FE8" w:rsidRPr="00ED38E9">
        <w:rPr>
          <w:rFonts w:eastAsia="Calibri" w:cs="Arial"/>
          <w:noProof w:val="0"/>
          <w:szCs w:val="22"/>
          <w:lang w:bidi="ar-SA"/>
        </w:rPr>
        <w:t xml:space="preserve"> </w:t>
      </w:r>
      <w:r w:rsidRPr="00ED38E9">
        <w:rPr>
          <w:rFonts w:eastAsia="Calibri" w:cs="Arial"/>
          <w:noProof w:val="0"/>
          <w:szCs w:val="22"/>
          <w:lang w:bidi="ar-SA"/>
        </w:rPr>
        <w:t>8.</w:t>
      </w:r>
      <w:r w:rsidR="00112FE8" w:rsidRPr="00ED38E9">
        <w:rPr>
          <w:rFonts w:eastAsia="Calibri" w:cs="Arial"/>
          <w:noProof w:val="0"/>
          <w:szCs w:val="22"/>
          <w:lang w:bidi="ar-SA"/>
        </w:rPr>
        <w:t xml:space="preserve"> </w:t>
      </w:r>
      <w:r w:rsidRPr="00ED38E9">
        <w:rPr>
          <w:rFonts w:eastAsia="Calibri" w:cs="Arial"/>
          <w:noProof w:val="0"/>
          <w:szCs w:val="22"/>
          <w:lang w:bidi="ar-SA"/>
        </w:rPr>
        <w:t>2015 – 14. 8. 2018, který je 85 %.</w:t>
      </w:r>
    </w:p>
    <w:p w:rsidR="00ED5B2D" w:rsidRPr="00ED38E9" w:rsidRDefault="00ED5B2D" w:rsidP="00ED5B2D">
      <w:pPr>
        <w:spacing w:line="240" w:lineRule="auto"/>
        <w:jc w:val="left"/>
        <w:rPr>
          <w:rFonts w:cs="Arial"/>
          <w:b/>
          <w:bCs/>
          <w:noProof w:val="0"/>
          <w:color w:val="000000"/>
          <w:sz w:val="20"/>
          <w:szCs w:val="20"/>
          <w:lang w:eastAsia="cs-CZ" w:bidi="ar-SA"/>
        </w:rPr>
      </w:pPr>
    </w:p>
    <w:p w:rsidR="00ED5B2D" w:rsidRPr="00ED38E9" w:rsidRDefault="00ED5B2D" w:rsidP="00ED5B2D">
      <w:pPr>
        <w:widowControl w:val="0"/>
        <w:spacing w:before="120" w:line="240" w:lineRule="auto"/>
        <w:jc w:val="left"/>
        <w:rPr>
          <w:rFonts w:cs="Arial"/>
          <w:b/>
          <w:bCs/>
          <w:noProof w:val="0"/>
          <w:color w:val="000000"/>
          <w:sz w:val="20"/>
          <w:szCs w:val="20"/>
          <w:lang w:eastAsia="cs-CZ" w:bidi="ar-SA"/>
        </w:rPr>
        <w:sectPr w:rsidR="00ED5B2D" w:rsidRPr="00ED38E9" w:rsidSect="00924300">
          <w:headerReference w:type="even" r:id="rId31"/>
          <w:headerReference w:type="default" r:id="rId32"/>
          <w:footerReference w:type="default" r:id="rId33"/>
          <w:headerReference w:type="first" r:id="rId34"/>
          <w:pgSz w:w="11906" w:h="16838"/>
          <w:pgMar w:top="1417" w:right="1417" w:bottom="1417" w:left="1417" w:header="708" w:footer="708" w:gutter="0"/>
          <w:pgNumType w:fmt="numberInDash"/>
          <w:cols w:space="708"/>
          <w:docGrid w:linePitch="360"/>
        </w:sectPr>
      </w:pPr>
    </w:p>
    <w:p w:rsidR="00ED5B2D" w:rsidRPr="00ED38E9" w:rsidRDefault="00ED5B2D" w:rsidP="005140E5">
      <w:pPr>
        <w:pStyle w:val="Titulek"/>
        <w:rPr>
          <w:rFonts w:cs="Arial"/>
          <w:lang w:eastAsia="cs-CZ" w:bidi="ar-SA"/>
        </w:rPr>
      </w:pPr>
      <w:bookmarkStart w:id="51" w:name="_Ref441062043"/>
      <w:r w:rsidRPr="00ED38E9">
        <w:rPr>
          <w:rFonts w:cs="Arial"/>
          <w:lang w:eastAsia="cs-CZ" w:bidi="ar-SA"/>
        </w:rPr>
        <w:lastRenderedPageBreak/>
        <w:t xml:space="preserve">Tabulka </w:t>
      </w:r>
      <w:r w:rsidR="00381FB7" w:rsidRPr="00ED38E9">
        <w:rPr>
          <w:rFonts w:cs="Arial"/>
          <w:lang w:eastAsia="cs-CZ" w:bidi="ar-SA"/>
        </w:rPr>
        <w:fldChar w:fldCharType="begin"/>
      </w:r>
      <w:r w:rsidRPr="00ED38E9">
        <w:rPr>
          <w:rFonts w:cs="Arial"/>
          <w:lang w:eastAsia="cs-CZ" w:bidi="ar-SA"/>
        </w:rPr>
        <w:instrText xml:space="preserve"> SEQ Tabulka \* ARABIC </w:instrText>
      </w:r>
      <w:r w:rsidR="00381FB7" w:rsidRPr="00ED38E9">
        <w:rPr>
          <w:rFonts w:cs="Arial"/>
          <w:lang w:eastAsia="cs-CZ" w:bidi="ar-SA"/>
        </w:rPr>
        <w:fldChar w:fldCharType="separate"/>
      </w:r>
      <w:r w:rsidR="00FD5E92">
        <w:rPr>
          <w:rFonts w:cs="Arial"/>
          <w:lang w:eastAsia="cs-CZ" w:bidi="ar-SA"/>
        </w:rPr>
        <w:t>28</w:t>
      </w:r>
      <w:r w:rsidR="00381FB7" w:rsidRPr="00ED38E9">
        <w:rPr>
          <w:rFonts w:cs="Arial"/>
          <w:lang w:eastAsia="cs-CZ" w:bidi="ar-SA"/>
        </w:rPr>
        <w:fldChar w:fldCharType="end"/>
      </w:r>
      <w:bookmarkEnd w:id="51"/>
      <w:r w:rsidRPr="00ED38E9">
        <w:rPr>
          <w:rFonts w:cs="Arial"/>
          <w:lang w:eastAsia="cs-CZ" w:bidi="ar-SA"/>
        </w:rPr>
        <w:t>: Přehled využití elektroodpadu a porovnání se zákonnými požadavky za rok 2012</w:t>
      </w:r>
    </w:p>
    <w:tbl>
      <w:tblPr>
        <w:tblW w:w="15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63"/>
        <w:gridCol w:w="2001"/>
        <w:gridCol w:w="1701"/>
        <w:gridCol w:w="717"/>
        <w:gridCol w:w="1310"/>
        <w:gridCol w:w="1310"/>
        <w:gridCol w:w="1199"/>
        <w:gridCol w:w="1842"/>
        <w:gridCol w:w="889"/>
        <w:gridCol w:w="1310"/>
        <w:gridCol w:w="1062"/>
        <w:gridCol w:w="1559"/>
      </w:tblGrid>
      <w:tr w:rsidR="00112FE8" w:rsidRPr="000B7CBF" w:rsidTr="00ED38E9">
        <w:trPr>
          <w:trHeight w:val="784"/>
        </w:trPr>
        <w:tc>
          <w:tcPr>
            <w:tcW w:w="763"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Skupina</w:t>
            </w:r>
          </w:p>
        </w:tc>
        <w:tc>
          <w:tcPr>
            <w:tcW w:w="2001"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Zpracovávané množství (nakládání s elektroodpady + elektrozařízeními – mimo zůstatky na skladu)</w:t>
            </w:r>
          </w:p>
        </w:tc>
        <w:tc>
          <w:tcPr>
            <w:tcW w:w="1701"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Využití (materiálové + energetické + vývoz do/mimo EU + jiný způsob nakl.)</w:t>
            </w:r>
          </w:p>
        </w:tc>
        <w:tc>
          <w:tcPr>
            <w:tcW w:w="717"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Míra využití</w:t>
            </w:r>
          </w:p>
        </w:tc>
        <w:tc>
          <w:tcPr>
            <w:tcW w:w="1310"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Míra využití dle zákona o odpadech</w:t>
            </w:r>
          </w:p>
        </w:tc>
        <w:tc>
          <w:tcPr>
            <w:tcW w:w="1310"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Opětovné použití</w:t>
            </w:r>
          </w:p>
        </w:tc>
        <w:tc>
          <w:tcPr>
            <w:tcW w:w="1199"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Míra opětovného použití</w:t>
            </w:r>
          </w:p>
        </w:tc>
        <w:tc>
          <w:tcPr>
            <w:tcW w:w="1842"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Materiálové využití (materiálové využití + vývoz do/mimo EU + jiný způsob nakl.)</w:t>
            </w:r>
          </w:p>
        </w:tc>
        <w:tc>
          <w:tcPr>
            <w:tcW w:w="889"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Míra materiálového využití</w:t>
            </w:r>
          </w:p>
        </w:tc>
        <w:tc>
          <w:tcPr>
            <w:tcW w:w="1310"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Opětovné + materiálové využití</w:t>
            </w:r>
          </w:p>
        </w:tc>
        <w:tc>
          <w:tcPr>
            <w:tcW w:w="1062"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Míra opětovného + materiálového využití</w:t>
            </w:r>
          </w:p>
        </w:tc>
        <w:tc>
          <w:tcPr>
            <w:tcW w:w="1559"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Míra opětovného + materiálového využití dle zákona o odpadech</w:t>
            </w:r>
          </w:p>
        </w:tc>
      </w:tr>
      <w:tr w:rsidR="00112FE8" w:rsidRPr="000B7CBF" w:rsidTr="00ED38E9">
        <w:trPr>
          <w:trHeight w:val="340"/>
        </w:trPr>
        <w:tc>
          <w:tcPr>
            <w:tcW w:w="763"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p>
        </w:tc>
        <w:tc>
          <w:tcPr>
            <w:tcW w:w="2001"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t</w:t>
            </w:r>
          </w:p>
        </w:tc>
        <w:tc>
          <w:tcPr>
            <w:tcW w:w="1701"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t</w:t>
            </w:r>
          </w:p>
        </w:tc>
        <w:tc>
          <w:tcPr>
            <w:tcW w:w="717"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w:t>
            </w:r>
          </w:p>
        </w:tc>
        <w:tc>
          <w:tcPr>
            <w:tcW w:w="1310"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w:t>
            </w:r>
          </w:p>
        </w:tc>
        <w:tc>
          <w:tcPr>
            <w:tcW w:w="1310"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t</w:t>
            </w:r>
          </w:p>
        </w:tc>
        <w:tc>
          <w:tcPr>
            <w:tcW w:w="1199"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w:t>
            </w:r>
          </w:p>
        </w:tc>
        <w:tc>
          <w:tcPr>
            <w:tcW w:w="1842"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t</w:t>
            </w:r>
          </w:p>
        </w:tc>
        <w:tc>
          <w:tcPr>
            <w:tcW w:w="889"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w:t>
            </w:r>
          </w:p>
        </w:tc>
        <w:tc>
          <w:tcPr>
            <w:tcW w:w="1310"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t</w:t>
            </w:r>
          </w:p>
        </w:tc>
        <w:tc>
          <w:tcPr>
            <w:tcW w:w="1062"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w:t>
            </w:r>
          </w:p>
        </w:tc>
        <w:tc>
          <w:tcPr>
            <w:tcW w:w="1559" w:type="dxa"/>
            <w:shd w:val="clear" w:color="auto" w:fill="auto"/>
            <w:vAlign w:val="center"/>
            <w:hideMark/>
          </w:tcPr>
          <w:p w:rsidR="00ED5B2D" w:rsidRPr="00ED38E9" w:rsidRDefault="00ED5B2D" w:rsidP="00597B1F">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22 741,47</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20 284,06</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89,19</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19 698,25</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86,62</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19 698,25</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86,62</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75</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2.</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2 550,77</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2 377,68</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93,21</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70</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0,04</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2 376,21</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93,16</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2 376,25</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93,16</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50</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3.</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8 119,86</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6 863,91</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84,53</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75</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955,4</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11,77</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6 815,39</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83,93</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7 770,79</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95,7</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65</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4.</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12 842,71</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11 696,67</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91,08</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75</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11 359,70</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88,45</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11 359,70</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88,45</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65</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1 033,73</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969,23</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93,76</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70</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964,23</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93,28</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964,23</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93,28</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50</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6.</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688,29</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627,48</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91,17</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70</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8,14</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1,18</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573,17</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83,27</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581,31</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84,46</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50</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331,83</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306,6</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92,39</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70</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20,86</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6,29</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306,58</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92,39</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327,44</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98,68</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50</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47,99</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45,13</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94,03</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45,13</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94,03</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45,13</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94,03</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84,05</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82,29</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97,9</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70</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0,1</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0,12</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82,28</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97,9</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82,38</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98,02</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50</w:t>
            </w:r>
          </w:p>
        </w:tc>
      </w:tr>
      <w:tr w:rsidR="00112FE8" w:rsidRPr="000B7CBF" w:rsidTr="00112FE8">
        <w:trPr>
          <w:trHeight w:val="340"/>
        </w:trPr>
        <w:tc>
          <w:tcPr>
            <w:tcW w:w="763"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10.</w:t>
            </w:r>
          </w:p>
        </w:tc>
        <w:tc>
          <w:tcPr>
            <w:tcW w:w="20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53,14</w:t>
            </w:r>
          </w:p>
        </w:tc>
        <w:tc>
          <w:tcPr>
            <w:tcW w:w="1701"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44,2</w:t>
            </w:r>
          </w:p>
        </w:tc>
        <w:tc>
          <w:tcPr>
            <w:tcW w:w="717"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83,18</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8,04</w:t>
            </w:r>
          </w:p>
        </w:tc>
        <w:tc>
          <w:tcPr>
            <w:tcW w:w="119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15,13</w:t>
            </w:r>
          </w:p>
        </w:tc>
        <w:tc>
          <w:tcPr>
            <w:tcW w:w="184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44,2</w:t>
            </w:r>
          </w:p>
        </w:tc>
        <w:tc>
          <w:tcPr>
            <w:tcW w:w="88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83,18</w:t>
            </w:r>
          </w:p>
        </w:tc>
        <w:tc>
          <w:tcPr>
            <w:tcW w:w="1310"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52,24</w:t>
            </w:r>
          </w:p>
        </w:tc>
        <w:tc>
          <w:tcPr>
            <w:tcW w:w="1062"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98,31</w:t>
            </w:r>
          </w:p>
        </w:tc>
        <w:tc>
          <w:tcPr>
            <w:tcW w:w="1559" w:type="dxa"/>
            <w:shd w:val="clear" w:color="000000" w:fill="FFFFFF"/>
            <w:vAlign w:val="center"/>
            <w:hideMark/>
          </w:tcPr>
          <w:p w:rsidR="00ED5B2D" w:rsidRPr="00ED38E9" w:rsidRDefault="00ED5B2D" w:rsidP="00597B1F">
            <w:pPr>
              <w:keepNext/>
              <w:spacing w:line="23" w:lineRule="atLeast"/>
              <w:jc w:val="center"/>
              <w:rPr>
                <w:rFonts w:eastAsia="MS Mincho" w:cs="Arial"/>
                <w:noProof w:val="0"/>
                <w:sz w:val="18"/>
                <w:szCs w:val="20"/>
                <w:lang w:eastAsia="cs-CZ" w:bidi="ar-SA"/>
              </w:rPr>
            </w:pPr>
            <w:r w:rsidRPr="00ED38E9">
              <w:rPr>
                <w:rFonts w:eastAsia="MS Mincho" w:cs="Arial"/>
                <w:noProof w:val="0"/>
                <w:sz w:val="18"/>
                <w:szCs w:val="20"/>
                <w:lang w:eastAsia="cs-CZ" w:bidi="ar-SA"/>
              </w:rPr>
              <w:t>75</w:t>
            </w:r>
          </w:p>
        </w:tc>
      </w:tr>
    </w:tbl>
    <w:p w:rsidR="00ED5B2D" w:rsidRPr="00ED38E9" w:rsidRDefault="00ED5B2D" w:rsidP="00597B1F">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 xml:space="preserve">Zdroj: </w:t>
      </w:r>
      <w:r w:rsidR="00A56310" w:rsidRPr="00ED38E9">
        <w:rPr>
          <w:rFonts w:cs="Arial"/>
          <w:i/>
          <w:iCs/>
          <w:noProof w:val="0"/>
          <w:color w:val="000000"/>
          <w:sz w:val="20"/>
          <w:szCs w:val="20"/>
          <w:lang w:eastAsia="cs-CZ" w:bidi="ar-SA"/>
        </w:rPr>
        <w:t>MŽP</w:t>
      </w:r>
      <w:r w:rsidRPr="00ED38E9">
        <w:rPr>
          <w:rFonts w:cs="Arial"/>
          <w:i/>
          <w:iCs/>
          <w:noProof w:val="0"/>
          <w:color w:val="000000"/>
          <w:sz w:val="20"/>
          <w:szCs w:val="20"/>
          <w:lang w:eastAsia="cs-CZ" w:bidi="ar-SA"/>
        </w:rPr>
        <w:t xml:space="preserve"> 2014</w:t>
      </w:r>
    </w:p>
    <w:p w:rsidR="00ED5B2D" w:rsidRPr="00ED38E9" w:rsidRDefault="00ED5B2D" w:rsidP="00ED5B2D">
      <w:pPr>
        <w:widowControl w:val="0"/>
        <w:spacing w:before="120" w:after="240" w:line="240" w:lineRule="auto"/>
        <w:rPr>
          <w:rFonts w:cs="Arial"/>
          <w:i/>
          <w:iCs/>
          <w:noProof w:val="0"/>
          <w:color w:val="000000"/>
          <w:sz w:val="20"/>
          <w:szCs w:val="20"/>
          <w:lang w:eastAsia="cs-CZ" w:bidi="ar-SA"/>
        </w:rPr>
        <w:sectPr w:rsidR="00ED5B2D" w:rsidRPr="00ED38E9" w:rsidSect="00962E44">
          <w:pgSz w:w="16838" w:h="11906" w:orient="landscape"/>
          <w:pgMar w:top="720" w:right="720" w:bottom="720" w:left="720" w:header="709" w:footer="709" w:gutter="0"/>
          <w:pgNumType w:fmt="numberInDash"/>
          <w:cols w:space="708"/>
          <w:docGrid w:linePitch="360"/>
        </w:sectPr>
      </w:pPr>
    </w:p>
    <w:p w:rsidR="00ED5B2D" w:rsidRPr="00ED38E9" w:rsidRDefault="00ED5B2D" w:rsidP="00597B1F">
      <w:pPr>
        <w:rPr>
          <w:rFonts w:eastAsia="Calibri" w:cs="Arial"/>
          <w:noProof w:val="0"/>
          <w:szCs w:val="22"/>
          <w:lang w:bidi="ar-SA"/>
        </w:rPr>
      </w:pPr>
      <w:r w:rsidRPr="00ED38E9">
        <w:rPr>
          <w:rFonts w:eastAsia="Calibri" w:cs="Arial"/>
          <w:noProof w:val="0"/>
          <w:szCs w:val="22"/>
          <w:lang w:bidi="ar-SA"/>
        </w:rPr>
        <w:lastRenderedPageBreak/>
        <w:t>S ohledem na charakter činností zajišťovaných prostřednictvím kolektivního plnění pro povinné subjekty je zapotřebí nezapomínat na dopad na hospodářskou soutěž v rámci navazujících činností (např. svoz, zpracovatelé, atd.). Dopady na hospodářskou soutěž v těchto odvětvích jsou závislé na struktuře trhu kolektivních systémů. Současně však charakter činnosti KS vyžaduje stanovení některých minimálních požadavků, které mohou částečně představovat bariéry vstupu do odvětví zpětného odběru. V příloze jsou představeny tři základní koncepty, které mohou nastat</w:t>
      </w:r>
      <w:r w:rsidR="00EB2743" w:rsidRPr="00ED38E9">
        <w:rPr>
          <w:rFonts w:eastAsia="Calibri" w:cs="Arial"/>
          <w:noProof w:val="0"/>
          <w:szCs w:val="22"/>
          <w:lang w:bidi="ar-SA"/>
        </w:rPr>
        <w:t>,</w:t>
      </w:r>
      <w:r w:rsidRPr="00ED38E9">
        <w:rPr>
          <w:rFonts w:eastAsia="Calibri" w:cs="Arial"/>
          <w:noProof w:val="0"/>
          <w:szCs w:val="22"/>
          <w:lang w:bidi="ar-SA"/>
        </w:rPr>
        <w:t xml:space="preserve"> i s jejich dopady na hospodářskou soutěž. </w:t>
      </w:r>
    </w:p>
    <w:p w:rsidR="00ED5B2D" w:rsidRPr="00ED38E9" w:rsidRDefault="00ED5B2D" w:rsidP="00597B1F">
      <w:pPr>
        <w:rPr>
          <w:rFonts w:eastAsia="Calibri" w:cs="Arial"/>
          <w:noProof w:val="0"/>
          <w:szCs w:val="22"/>
          <w:lang w:bidi="ar-SA"/>
        </w:rPr>
      </w:pPr>
      <w:r w:rsidRPr="00ED38E9">
        <w:rPr>
          <w:rFonts w:eastAsia="Calibri" w:cs="Arial"/>
          <w:noProof w:val="0"/>
          <w:szCs w:val="22"/>
          <w:lang w:bidi="ar-SA"/>
        </w:rPr>
        <w:t xml:space="preserve">Prostřednictvím finanční analýzy stávajících subjektů můžeme získat představu o stávající situaci na trhu zpětného odběru. </w:t>
      </w:r>
      <w:r w:rsidR="00381FB7">
        <w:fldChar w:fldCharType="begin"/>
      </w:r>
      <w:r w:rsidR="00CC5248">
        <w:rPr>
          <w:rFonts w:eastAsia="Calibri" w:cs="Arial"/>
          <w:noProof w:val="0"/>
          <w:szCs w:val="22"/>
          <w:lang w:bidi="ar-SA"/>
        </w:rPr>
        <w:instrText xml:space="preserve"> REF _Ref404579029 \h </w:instrText>
      </w:r>
      <w:r w:rsidR="00381FB7">
        <w:fldChar w:fldCharType="separate"/>
      </w:r>
      <w:r w:rsidR="00CC5248" w:rsidRPr="00ED38E9">
        <w:rPr>
          <w:rFonts w:cs="Arial"/>
          <w:lang w:eastAsia="cs-CZ" w:bidi="ar-SA"/>
        </w:rPr>
        <w:t xml:space="preserve">Tabulka </w:t>
      </w:r>
      <w:r w:rsidR="00CC5248">
        <w:rPr>
          <w:rFonts w:cs="Arial"/>
          <w:lang w:eastAsia="cs-CZ" w:bidi="ar-SA"/>
        </w:rPr>
        <w:t>29</w:t>
      </w:r>
      <w:r w:rsidR="00381FB7">
        <w:fldChar w:fldCharType="end"/>
      </w:r>
      <w:r w:rsidRPr="00ED38E9">
        <w:rPr>
          <w:rFonts w:eastAsia="Calibri" w:cs="Arial"/>
          <w:noProof w:val="0"/>
          <w:szCs w:val="22"/>
          <w:lang w:bidi="ar-SA"/>
        </w:rPr>
        <w:t xml:space="preserve"> představuje přehled vybraných finančních informací pro vybrané kolektivní systémy a zpracovatele, jakožto dva nejvýznamnější články řetězce ve zpětném odběru. V panelu A můžeme vidět klíčové finanční ukazatele kolektivních systémů. V rámci analýzy je důležité rozlišit mezi KS financovanými průběžným systém</w:t>
      </w:r>
      <w:r w:rsidR="002F11C2" w:rsidRPr="00ED38E9">
        <w:rPr>
          <w:rFonts w:eastAsia="Calibri" w:cs="Arial"/>
          <w:noProof w:val="0"/>
          <w:szCs w:val="22"/>
          <w:lang w:bidi="ar-SA"/>
        </w:rPr>
        <w:t>em</w:t>
      </w:r>
      <w:r w:rsidRPr="00ED38E9">
        <w:rPr>
          <w:rFonts w:eastAsia="Calibri" w:cs="Arial"/>
          <w:noProof w:val="0"/>
          <w:szCs w:val="22"/>
          <w:lang w:bidi="ar-SA"/>
        </w:rPr>
        <w:t xml:space="preserve"> a systémem zálohovým. Z vybraných kolektivních systémů využívá průběžný systém financování pouze KS RETELA. Ostatní systémy využívají zálohový systém, což je patrné zejména z výrazného podílu finančních aktiv na aktivech celkových. Dalším indikátorem využívání zálohového systému jsou významné výnosy z finančního majetku. Tyto výnosy pokrývají část nákladů, neboť KS financované zálohovým systémem většinou vykazují provozní ztrátu. Při pohledu na ziskovost KS financovaných zálohově je patrné, že dlouhodobě netvoří zisk. Důvodem je nízká motivace k vytváření zisku jednak plynoucí z neumožnění rozdělení dosaženého zisku mezi akcionáře zákonem, a také z neochoty výrobců sdružených v KS vytvářet zisk v rámci KS (recyklační poplatek jako základní příjem KS je složkou celkové ceny výrobku, prodražuje tak výrobek a může mít negativní dopad na jeho konkurenceschopnost). S ohledem na nízkou motivaci KS k tvorbě zisku z výše uvedených důvodů je případný zisk reinvestován (hned, popřípadě v budoucnu) zpět do KS a to nejčastěji ve formě, která může pomoci k budoucímu plnění evropské směrnice (např. investice do PR služeb ve snaze zvýšenou informovaností a osvětou dosáhnout vyšší úrovně sběru). KS </w:t>
      </w:r>
      <w:proofErr w:type="spellStart"/>
      <w:r w:rsidRPr="00ED38E9">
        <w:rPr>
          <w:rFonts w:eastAsia="Calibri" w:cs="Arial"/>
          <w:noProof w:val="0"/>
          <w:szCs w:val="22"/>
          <w:lang w:bidi="ar-SA"/>
        </w:rPr>
        <w:t>Retela</w:t>
      </w:r>
      <w:proofErr w:type="spellEnd"/>
      <w:r w:rsidRPr="00ED38E9">
        <w:rPr>
          <w:rFonts w:eastAsia="Calibri" w:cs="Arial"/>
          <w:noProof w:val="0"/>
          <w:szCs w:val="22"/>
          <w:lang w:bidi="ar-SA"/>
        </w:rPr>
        <w:t xml:space="preserve"> jako jediný systém financovaný průběžně v porovnání s ostatními dosahoval dlouhodobě pozitivní ziskovosti jak provozní tak celkové. I v případě KS </w:t>
      </w:r>
      <w:proofErr w:type="spellStart"/>
      <w:r w:rsidRPr="00ED38E9">
        <w:rPr>
          <w:rFonts w:eastAsia="Calibri" w:cs="Arial"/>
          <w:noProof w:val="0"/>
          <w:szCs w:val="22"/>
          <w:lang w:bidi="ar-SA"/>
        </w:rPr>
        <w:t>Retela</w:t>
      </w:r>
      <w:proofErr w:type="spellEnd"/>
      <w:r w:rsidRPr="00ED38E9">
        <w:rPr>
          <w:rFonts w:eastAsia="Calibri" w:cs="Arial"/>
          <w:noProof w:val="0"/>
          <w:szCs w:val="22"/>
          <w:lang w:bidi="ar-SA"/>
        </w:rPr>
        <w:t xml:space="preserve"> finanční aktiva stále představují významnou část aktiv. </w:t>
      </w:r>
    </w:p>
    <w:p w:rsidR="00ED5B2D" w:rsidRPr="00ED38E9" w:rsidRDefault="00ED5B2D" w:rsidP="00597B1F">
      <w:pPr>
        <w:rPr>
          <w:rFonts w:eastAsia="Calibri" w:cs="Arial"/>
          <w:noProof w:val="0"/>
          <w:szCs w:val="22"/>
          <w:lang w:bidi="ar-SA"/>
        </w:rPr>
      </w:pPr>
      <w:r w:rsidRPr="00ED38E9">
        <w:rPr>
          <w:rFonts w:eastAsia="Calibri" w:cs="Arial"/>
          <w:noProof w:val="0"/>
          <w:szCs w:val="22"/>
          <w:lang w:bidi="ar-SA"/>
        </w:rPr>
        <w:t xml:space="preserve">Panel B finanční analýzy vybraných subjektů představuje analýzu smluvních zpracovatelů jednotlivých KS. V rámci této analýzy jsou zahrnuti jak klasičtí zpracovatelé (Praktik Systém, Kovohutě Příbram, MHM </w:t>
      </w:r>
      <w:proofErr w:type="spellStart"/>
      <w:r w:rsidRPr="00ED38E9">
        <w:rPr>
          <w:rFonts w:eastAsia="Calibri" w:cs="Arial"/>
          <w:noProof w:val="0"/>
          <w:szCs w:val="22"/>
          <w:lang w:bidi="ar-SA"/>
        </w:rPr>
        <w:t>Eko</w:t>
      </w:r>
      <w:proofErr w:type="spellEnd"/>
      <w:r w:rsidRPr="00ED38E9">
        <w:rPr>
          <w:rFonts w:eastAsia="Calibri" w:cs="Arial"/>
          <w:noProof w:val="0"/>
          <w:szCs w:val="22"/>
          <w:lang w:bidi="ar-SA"/>
        </w:rPr>
        <w:t>), tak i chráněné dílny, které se podíl</w:t>
      </w:r>
      <w:r w:rsidR="00EB2743" w:rsidRPr="00ED38E9">
        <w:rPr>
          <w:rFonts w:eastAsia="Calibri" w:cs="Arial"/>
          <w:noProof w:val="0"/>
          <w:szCs w:val="22"/>
          <w:lang w:bidi="ar-SA"/>
        </w:rPr>
        <w:t>ej</w:t>
      </w:r>
      <w:r w:rsidRPr="00ED38E9">
        <w:rPr>
          <w:rFonts w:eastAsia="Calibri" w:cs="Arial"/>
          <w:noProof w:val="0"/>
          <w:szCs w:val="22"/>
          <w:lang w:bidi="ar-SA"/>
        </w:rPr>
        <w:t>í na zpracování odpadu (</w:t>
      </w:r>
      <w:proofErr w:type="spellStart"/>
      <w:r w:rsidRPr="00ED38E9">
        <w:rPr>
          <w:rFonts w:eastAsia="Calibri" w:cs="Arial"/>
          <w:noProof w:val="0"/>
          <w:szCs w:val="22"/>
          <w:lang w:bidi="ar-SA"/>
        </w:rPr>
        <w:t>Marketa</w:t>
      </w:r>
      <w:proofErr w:type="spellEnd"/>
      <w:r w:rsidRPr="00ED38E9">
        <w:rPr>
          <w:rFonts w:eastAsia="Calibri" w:cs="Arial"/>
          <w:noProof w:val="0"/>
          <w:szCs w:val="22"/>
          <w:lang w:bidi="ar-SA"/>
        </w:rPr>
        <w:t xml:space="preserve"> </w:t>
      </w:r>
      <w:proofErr w:type="spellStart"/>
      <w:r w:rsidRPr="00ED38E9">
        <w:rPr>
          <w:rFonts w:eastAsia="Calibri" w:cs="Arial"/>
          <w:noProof w:val="0"/>
          <w:szCs w:val="22"/>
          <w:lang w:bidi="ar-SA"/>
        </w:rPr>
        <w:t>Remone</w:t>
      </w:r>
      <w:proofErr w:type="spellEnd"/>
      <w:r w:rsidRPr="00ED38E9">
        <w:rPr>
          <w:rFonts w:eastAsia="Calibri" w:cs="Arial"/>
          <w:noProof w:val="0"/>
          <w:szCs w:val="22"/>
          <w:lang w:bidi="ar-SA"/>
        </w:rPr>
        <w:t>, S-Firma). V rámci finanční analýzy vybraných subjektů je patrné, že většina zpracovatelů dosahuje provozní i celkové pozitivní ziskovosti. Finanční výsledky zpracovatelů budou významně ovlivňovány výkupní cenou recyklovaných surovin, která se tvoří na globálním trhu.</w:t>
      </w:r>
    </w:p>
    <w:p w:rsidR="00ED5B2D" w:rsidRPr="00ED38E9" w:rsidRDefault="00ED5B2D" w:rsidP="00ED5B2D">
      <w:pPr>
        <w:widowControl w:val="0"/>
        <w:spacing w:before="120" w:after="120" w:line="240" w:lineRule="auto"/>
        <w:rPr>
          <w:rFonts w:eastAsia="Calibri" w:cs="Arial"/>
          <w:noProof w:val="0"/>
          <w:szCs w:val="20"/>
          <w:lang w:bidi="ar-SA"/>
        </w:rPr>
        <w:sectPr w:rsidR="00ED5B2D" w:rsidRPr="00ED38E9" w:rsidSect="00962E44">
          <w:pgSz w:w="11906" w:h="16838"/>
          <w:pgMar w:top="1417" w:right="1417" w:bottom="1417" w:left="1417" w:header="708" w:footer="708" w:gutter="0"/>
          <w:pgNumType w:fmt="numberInDash"/>
          <w:cols w:space="708"/>
          <w:docGrid w:linePitch="360"/>
        </w:sectPr>
      </w:pPr>
    </w:p>
    <w:p w:rsidR="00ED5B2D" w:rsidRPr="00ED38E9" w:rsidRDefault="00ED5B2D" w:rsidP="005140E5">
      <w:pPr>
        <w:pStyle w:val="Titulek"/>
        <w:rPr>
          <w:rFonts w:cs="Arial"/>
          <w:lang w:eastAsia="cs-CZ" w:bidi="ar-SA"/>
        </w:rPr>
      </w:pPr>
      <w:bookmarkStart w:id="52" w:name="_Ref404579029"/>
      <w:r w:rsidRPr="00ED38E9">
        <w:rPr>
          <w:rFonts w:cs="Arial"/>
          <w:lang w:eastAsia="cs-CZ" w:bidi="ar-SA"/>
        </w:rPr>
        <w:lastRenderedPageBreak/>
        <w:t xml:space="preserve">Tabulka </w:t>
      </w:r>
      <w:r w:rsidR="00381FB7" w:rsidRPr="00ED38E9">
        <w:rPr>
          <w:rFonts w:cs="Arial"/>
          <w:lang w:eastAsia="cs-CZ" w:bidi="ar-SA"/>
        </w:rPr>
        <w:fldChar w:fldCharType="begin"/>
      </w:r>
      <w:r w:rsidRPr="00ED38E9">
        <w:rPr>
          <w:rFonts w:cs="Arial"/>
          <w:lang w:eastAsia="cs-CZ" w:bidi="ar-SA"/>
        </w:rPr>
        <w:instrText xml:space="preserve"> SEQ Tabulka \* ARABIC </w:instrText>
      </w:r>
      <w:r w:rsidR="00381FB7" w:rsidRPr="00ED38E9">
        <w:rPr>
          <w:rFonts w:cs="Arial"/>
          <w:lang w:eastAsia="cs-CZ" w:bidi="ar-SA"/>
        </w:rPr>
        <w:fldChar w:fldCharType="separate"/>
      </w:r>
      <w:r w:rsidR="00FD5E92">
        <w:rPr>
          <w:rFonts w:cs="Arial"/>
          <w:lang w:eastAsia="cs-CZ" w:bidi="ar-SA"/>
        </w:rPr>
        <w:t>29</w:t>
      </w:r>
      <w:r w:rsidR="00381FB7" w:rsidRPr="00ED38E9">
        <w:rPr>
          <w:rFonts w:cs="Arial"/>
          <w:lang w:eastAsia="cs-CZ" w:bidi="ar-SA"/>
        </w:rPr>
        <w:fldChar w:fldCharType="end"/>
      </w:r>
      <w:bookmarkEnd w:id="52"/>
      <w:r w:rsidRPr="00ED38E9">
        <w:rPr>
          <w:rFonts w:cs="Arial"/>
          <w:lang w:eastAsia="cs-CZ" w:bidi="ar-SA"/>
        </w:rPr>
        <w:t>: Finanční analýza vybraných subjektů</w:t>
      </w:r>
    </w:p>
    <w:tbl>
      <w:tblPr>
        <w:tblW w:w="15309" w:type="dxa"/>
        <w:tblInd w:w="70" w:type="dxa"/>
        <w:tblLayout w:type="fixed"/>
        <w:tblCellMar>
          <w:left w:w="70" w:type="dxa"/>
          <w:right w:w="70" w:type="dxa"/>
        </w:tblCellMar>
        <w:tblLook w:val="04A0" w:firstRow="1" w:lastRow="0" w:firstColumn="1" w:lastColumn="0" w:noHBand="0" w:noVBand="1"/>
      </w:tblPr>
      <w:tblGrid>
        <w:gridCol w:w="1954"/>
        <w:gridCol w:w="890"/>
        <w:gridCol w:w="890"/>
        <w:gridCol w:w="891"/>
        <w:gridCol w:w="393"/>
        <w:gridCol w:w="497"/>
        <w:gridCol w:w="890"/>
        <w:gridCol w:w="891"/>
        <w:gridCol w:w="507"/>
        <w:gridCol w:w="383"/>
        <w:gridCol w:w="890"/>
        <w:gridCol w:w="891"/>
        <w:gridCol w:w="200"/>
        <w:gridCol w:w="690"/>
        <w:gridCol w:w="890"/>
        <w:gridCol w:w="674"/>
        <w:gridCol w:w="217"/>
        <w:gridCol w:w="890"/>
        <w:gridCol w:w="890"/>
        <w:gridCol w:w="233"/>
        <w:gridCol w:w="658"/>
      </w:tblGrid>
      <w:tr w:rsidR="00ED5B2D" w:rsidRPr="000B7CBF" w:rsidTr="001820AA">
        <w:trPr>
          <w:gridAfter w:val="1"/>
          <w:wAfter w:w="658" w:type="dxa"/>
          <w:trHeight w:val="288"/>
        </w:trPr>
        <w:tc>
          <w:tcPr>
            <w:tcW w:w="5018" w:type="dxa"/>
            <w:gridSpan w:val="5"/>
            <w:tcBorders>
              <w:top w:val="nil"/>
              <w:left w:val="nil"/>
              <w:bottom w:val="single" w:sz="4" w:space="0" w:color="auto"/>
              <w:right w:val="nil"/>
            </w:tcBorders>
            <w:shd w:val="clear" w:color="auto" w:fill="auto"/>
            <w:noWrap/>
            <w:vAlign w:val="center"/>
          </w:tcPr>
          <w:p w:rsidR="00ED5B2D" w:rsidRPr="00ED38E9" w:rsidRDefault="00ED5B2D" w:rsidP="005140E5">
            <w:pPr>
              <w:pStyle w:val="Titulek"/>
              <w:rPr>
                <w:rFonts w:eastAsia="MS Mincho" w:cs="Arial"/>
                <w:bCs/>
                <w:lang w:eastAsia="cs-CZ" w:bidi="ar-SA"/>
              </w:rPr>
            </w:pPr>
            <w:r w:rsidRPr="00ED38E9">
              <w:rPr>
                <w:rFonts w:eastAsia="MS Mincho" w:cs="Arial"/>
                <w:lang w:eastAsia="cs-CZ" w:bidi="ar-SA"/>
              </w:rPr>
              <w:t>Panel A: Kolektivní systémy</w:t>
            </w:r>
          </w:p>
        </w:tc>
        <w:tc>
          <w:tcPr>
            <w:tcW w:w="2785" w:type="dxa"/>
            <w:gridSpan w:val="4"/>
            <w:tcBorders>
              <w:top w:val="nil"/>
              <w:left w:val="nil"/>
              <w:bottom w:val="single" w:sz="4" w:space="0" w:color="auto"/>
              <w:right w:val="nil"/>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sz w:val="18"/>
                <w:szCs w:val="20"/>
                <w:lang w:eastAsia="cs-CZ" w:bidi="ar-SA"/>
              </w:rPr>
            </w:pPr>
          </w:p>
        </w:tc>
        <w:tc>
          <w:tcPr>
            <w:tcW w:w="2364" w:type="dxa"/>
            <w:gridSpan w:val="4"/>
            <w:tcBorders>
              <w:top w:val="nil"/>
              <w:left w:val="nil"/>
              <w:bottom w:val="single" w:sz="4" w:space="0" w:color="auto"/>
              <w:right w:val="nil"/>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sz w:val="18"/>
                <w:szCs w:val="20"/>
                <w:lang w:eastAsia="cs-CZ" w:bidi="ar-SA"/>
              </w:rPr>
            </w:pPr>
          </w:p>
        </w:tc>
        <w:tc>
          <w:tcPr>
            <w:tcW w:w="2254" w:type="dxa"/>
            <w:gridSpan w:val="3"/>
            <w:tcBorders>
              <w:top w:val="nil"/>
              <w:left w:val="nil"/>
              <w:bottom w:val="single" w:sz="4" w:space="0" w:color="auto"/>
              <w:right w:val="nil"/>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sz w:val="18"/>
                <w:szCs w:val="20"/>
                <w:lang w:eastAsia="cs-CZ" w:bidi="ar-SA"/>
              </w:rPr>
            </w:pPr>
          </w:p>
        </w:tc>
        <w:tc>
          <w:tcPr>
            <w:tcW w:w="2230" w:type="dxa"/>
            <w:gridSpan w:val="4"/>
            <w:tcBorders>
              <w:top w:val="nil"/>
              <w:left w:val="nil"/>
              <w:bottom w:val="single" w:sz="4" w:space="0" w:color="auto"/>
              <w:right w:val="nil"/>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sz w:val="18"/>
                <w:szCs w:val="20"/>
                <w:lang w:eastAsia="cs-CZ" w:bidi="ar-SA"/>
              </w:rPr>
            </w:pPr>
          </w:p>
        </w:tc>
      </w:tr>
      <w:tr w:rsidR="00112FE8" w:rsidRPr="000B7CBF" w:rsidTr="00ED38E9">
        <w:trPr>
          <w:trHeight w:val="340"/>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ED5B2D">
            <w:pPr>
              <w:keepNext/>
              <w:spacing w:before="60" w:after="60" w:line="240" w:lineRule="auto"/>
              <w:jc w:val="left"/>
              <w:rPr>
                <w:rFonts w:eastAsia="MS Mincho" w:cs="Arial"/>
                <w:noProof w:val="0"/>
                <w:sz w:val="18"/>
                <w:szCs w:val="20"/>
                <w:lang w:eastAsia="cs-CZ" w:bidi="ar-SA"/>
              </w:rPr>
            </w:pPr>
            <w:r w:rsidRPr="00ED38E9">
              <w:rPr>
                <w:rFonts w:eastAsia="MS Mincho" w:cs="Arial"/>
                <w:noProof w:val="0"/>
                <w:sz w:val="18"/>
                <w:szCs w:val="20"/>
                <w:lang w:eastAsia="cs-CZ" w:bidi="ar-SA"/>
              </w:rPr>
              <w:t>tis. Kč</w:t>
            </w:r>
          </w:p>
        </w:tc>
        <w:tc>
          <w:tcPr>
            <w:tcW w:w="26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ASEKOL</w:t>
            </w:r>
          </w:p>
        </w:tc>
        <w:tc>
          <w:tcPr>
            <w:tcW w:w="26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ELEKTROWIN a.s.</w:t>
            </w:r>
          </w:p>
        </w:tc>
        <w:tc>
          <w:tcPr>
            <w:tcW w:w="26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REMA Systém, a.s.</w:t>
            </w:r>
          </w:p>
        </w:tc>
        <w:tc>
          <w:tcPr>
            <w:tcW w:w="267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EKOLAMP s.r.o.</w:t>
            </w:r>
          </w:p>
        </w:tc>
        <w:tc>
          <w:tcPr>
            <w:tcW w:w="26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jc w:val="center"/>
              <w:rPr>
                <w:rFonts w:eastAsia="MS Mincho" w:cs="Arial"/>
                <w:noProof w:val="0"/>
                <w:sz w:val="18"/>
                <w:szCs w:val="20"/>
                <w:lang w:eastAsia="cs-CZ" w:bidi="ar-SA"/>
              </w:rPr>
            </w:pPr>
            <w:r w:rsidRPr="00ED38E9">
              <w:rPr>
                <w:rFonts w:eastAsia="MS Mincho" w:cs="Arial"/>
                <w:b/>
                <w:bCs/>
                <w:noProof w:val="0"/>
                <w:sz w:val="18"/>
                <w:szCs w:val="20"/>
                <w:lang w:eastAsia="cs-CZ" w:bidi="ar-SA"/>
              </w:rPr>
              <w:t>RETELA</w:t>
            </w:r>
          </w:p>
        </w:tc>
      </w:tr>
      <w:tr w:rsidR="00112FE8" w:rsidRPr="000B7CBF" w:rsidTr="00ED38E9">
        <w:trPr>
          <w:trHeight w:val="340"/>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ED5B2D">
            <w:pPr>
              <w:keepNext/>
              <w:spacing w:before="60" w:after="60" w:line="240" w:lineRule="auto"/>
              <w:jc w:val="center"/>
              <w:rPr>
                <w:rFonts w:eastAsia="MS Mincho" w:cs="Arial"/>
                <w:noProof w:val="0"/>
                <w:sz w:val="18"/>
                <w:szCs w:val="20"/>
                <w:lang w:eastAsia="cs-CZ" w:bidi="ar-SA"/>
              </w:rPr>
            </w:pP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r>
      <w:tr w:rsidR="00112FE8" w:rsidRPr="000B7CBF" w:rsidTr="00112FE8">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112FE8">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 xml:space="preserve">Tržby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189 604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176 160</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146 936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124 029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173 835</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56 819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57 087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66 232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81 890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73 011</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73 978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37 395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33 638</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29 290</w:t>
            </w:r>
          </w:p>
        </w:tc>
      </w:tr>
      <w:tr w:rsidR="00112FE8" w:rsidRPr="000B7CBF" w:rsidTr="00112FE8">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112FE8">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Přidaná hodnota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24 128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23 487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-6 853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-24 762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-1 987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11 075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9 121</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9 602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29 063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26 823</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17 841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14 661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11 238</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9 823</w:t>
            </w:r>
          </w:p>
        </w:tc>
      </w:tr>
      <w:tr w:rsidR="00112FE8" w:rsidRPr="000B7CBF" w:rsidTr="00112FE8">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112FE8">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 xml:space="preserve">Provozní výsledek hospodaření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-15 896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-12 491</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-28 353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-67 189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-26 274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114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-350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-739</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-1 828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-2 830</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-1 034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9 215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6 569</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3 209</w:t>
            </w:r>
          </w:p>
        </w:tc>
      </w:tr>
      <w:tr w:rsidR="00112FE8" w:rsidRPr="000B7CBF" w:rsidTr="00112FE8">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112FE8">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 xml:space="preserve">Finanční výsledek hospodaření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16 265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12 444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29 115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29 837</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27 620</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181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113</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382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2 285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3 163</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1 296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1 039</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789</w:t>
            </w:r>
          </w:p>
        </w:tc>
      </w:tr>
      <w:tr w:rsidR="00112FE8" w:rsidRPr="000B7CBF" w:rsidTr="00112FE8">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112FE8">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 xml:space="preserve">Výsledek hospodaření před zdaněním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369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683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-37 489</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344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474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-585</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-344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457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333</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262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9 083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7 360</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3 770</w:t>
            </w:r>
          </w:p>
        </w:tc>
      </w:tr>
      <w:tr w:rsidR="00112FE8" w:rsidRPr="000B7CBF" w:rsidTr="00112FE8">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112FE8">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Aktiva celkem</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816 607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913 090</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1 151 977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1 216 931</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1 254 577</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38 589</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42 433</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47 372</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316 124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329 775</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345 451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55 783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63 744</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66 795</w:t>
            </w:r>
          </w:p>
        </w:tc>
      </w:tr>
      <w:tr w:rsidR="00112FE8" w:rsidRPr="000B7CBF" w:rsidTr="00112FE8">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112FE8">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Z toho Dlouhodobý finanční majetek</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290 211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297 245</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441 894</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1 018 952</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958 698</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1 000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2 900</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7 800</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0</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r>
      <w:tr w:rsidR="00112FE8" w:rsidRPr="000B7CBF" w:rsidTr="00112FE8">
        <w:trPr>
          <w:trHeight w:val="397"/>
        </w:trPr>
        <w:tc>
          <w:tcPr>
            <w:tcW w:w="1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112FE8">
            <w:pPr>
              <w:keepNext/>
              <w:spacing w:line="23" w:lineRule="atLeast"/>
              <w:jc w:val="left"/>
              <w:rPr>
                <w:rFonts w:eastAsia="MS Mincho" w:cs="Arial"/>
                <w:noProof w:val="0"/>
                <w:sz w:val="16"/>
                <w:szCs w:val="20"/>
                <w:lang w:eastAsia="cs-CZ" w:bidi="ar-SA"/>
              </w:rPr>
            </w:pPr>
            <w:r w:rsidRPr="00ED38E9">
              <w:rPr>
                <w:rFonts w:eastAsia="MS Mincho" w:cs="Arial"/>
                <w:noProof w:val="0"/>
                <w:sz w:val="16"/>
                <w:szCs w:val="20"/>
                <w:lang w:eastAsia="cs-CZ" w:bidi="ar-SA"/>
              </w:rPr>
              <w:t>Krátkodobý finanční majetek</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323 290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proofErr w:type="gramStart"/>
            <w:r w:rsidRPr="00ED38E9">
              <w:rPr>
                <w:rFonts w:eastAsia="MS Mincho" w:cs="Arial"/>
                <w:noProof w:val="0"/>
                <w:sz w:val="16"/>
                <w:szCs w:val="20"/>
                <w:lang w:eastAsia="cs-CZ" w:bidi="ar-SA"/>
              </w:rPr>
              <w:t>N.A</w:t>
            </w:r>
            <w:proofErr w:type="gramEnd"/>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296 394</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610 397</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106 083</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218 766</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32 093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31 296</w:t>
            </w:r>
          </w:p>
        </w:tc>
        <w:tc>
          <w:tcPr>
            <w:tcW w:w="8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30 623</w:t>
            </w:r>
          </w:p>
        </w:tc>
        <w:tc>
          <w:tcPr>
            <w:tcW w:w="89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284 595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299 328</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316 600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31 033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20 837</w:t>
            </w:r>
          </w:p>
        </w:tc>
        <w:tc>
          <w:tcPr>
            <w:tcW w:w="89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6"/>
                <w:szCs w:val="20"/>
                <w:lang w:eastAsia="cs-CZ" w:bidi="ar-SA"/>
              </w:rPr>
            </w:pPr>
            <w:r w:rsidRPr="00ED38E9">
              <w:rPr>
                <w:rFonts w:eastAsia="MS Mincho" w:cs="Arial"/>
                <w:noProof w:val="0"/>
                <w:sz w:val="16"/>
                <w:szCs w:val="20"/>
                <w:lang w:eastAsia="cs-CZ" w:bidi="ar-SA"/>
              </w:rPr>
              <w:t>23 708</w:t>
            </w:r>
          </w:p>
        </w:tc>
      </w:tr>
    </w:tbl>
    <w:p w:rsidR="00ED5B2D" w:rsidRPr="00ED38E9" w:rsidRDefault="00ED5B2D" w:rsidP="00ED5B2D">
      <w:pPr>
        <w:spacing w:before="120" w:after="120" w:line="240" w:lineRule="auto"/>
        <w:rPr>
          <w:rFonts w:eastAsia="Calibri" w:cs="Arial"/>
          <w:noProof w:val="0"/>
          <w:szCs w:val="22"/>
          <w:lang w:bidi="ar-SA"/>
        </w:rPr>
      </w:pPr>
      <w:r w:rsidRPr="00ED38E9">
        <w:rPr>
          <w:rFonts w:eastAsia="Calibri" w:cs="Arial"/>
          <w:noProof w:val="0"/>
          <w:szCs w:val="22"/>
          <w:lang w:bidi="ar-SA"/>
        </w:rPr>
        <w:br w:type="page"/>
      </w:r>
    </w:p>
    <w:tbl>
      <w:tblPr>
        <w:tblW w:w="15844" w:type="dxa"/>
        <w:tblLayout w:type="fixed"/>
        <w:tblCellMar>
          <w:left w:w="70" w:type="dxa"/>
          <w:right w:w="70" w:type="dxa"/>
        </w:tblCellMar>
        <w:tblLook w:val="04A0" w:firstRow="1" w:lastRow="0" w:firstColumn="1" w:lastColumn="0" w:noHBand="0" w:noVBand="1"/>
      </w:tblPr>
      <w:tblGrid>
        <w:gridCol w:w="2790"/>
        <w:gridCol w:w="621"/>
        <w:gridCol w:w="622"/>
        <w:gridCol w:w="301"/>
        <w:gridCol w:w="320"/>
        <w:gridCol w:w="622"/>
        <w:gridCol w:w="622"/>
        <w:gridCol w:w="428"/>
        <w:gridCol w:w="193"/>
        <w:gridCol w:w="622"/>
        <w:gridCol w:w="621"/>
        <w:gridCol w:w="440"/>
        <w:gridCol w:w="182"/>
        <w:gridCol w:w="622"/>
        <w:gridCol w:w="621"/>
        <w:gridCol w:w="246"/>
        <w:gridCol w:w="376"/>
        <w:gridCol w:w="622"/>
        <w:gridCol w:w="415"/>
        <w:gridCol w:w="206"/>
        <w:gridCol w:w="622"/>
        <w:gridCol w:w="621"/>
        <w:gridCol w:w="622"/>
        <w:gridCol w:w="519"/>
        <w:gridCol w:w="103"/>
        <w:gridCol w:w="621"/>
        <w:gridCol w:w="622"/>
        <w:gridCol w:w="622"/>
      </w:tblGrid>
      <w:tr w:rsidR="00ED5B2D" w:rsidRPr="000B7CBF" w:rsidTr="00112FE8">
        <w:trPr>
          <w:trHeight w:val="288"/>
        </w:trPr>
        <w:tc>
          <w:tcPr>
            <w:tcW w:w="2790" w:type="dxa"/>
            <w:tcBorders>
              <w:top w:val="nil"/>
              <w:left w:val="nil"/>
              <w:bottom w:val="single" w:sz="4" w:space="0" w:color="auto"/>
            </w:tcBorders>
            <w:shd w:val="clear" w:color="auto" w:fill="auto"/>
            <w:noWrap/>
            <w:vAlign w:val="center"/>
          </w:tcPr>
          <w:p w:rsidR="00ED5B2D" w:rsidRPr="00ED38E9" w:rsidRDefault="00ED5B2D" w:rsidP="005140E5">
            <w:pPr>
              <w:pStyle w:val="Titulek"/>
              <w:rPr>
                <w:rFonts w:eastAsia="MS Mincho" w:cs="Arial"/>
                <w:color w:val="FFFFFF"/>
                <w:lang w:eastAsia="cs-CZ" w:bidi="ar-SA"/>
              </w:rPr>
            </w:pPr>
            <w:r w:rsidRPr="00ED38E9">
              <w:rPr>
                <w:rFonts w:eastAsia="MS Mincho" w:cs="Arial"/>
                <w:lang w:eastAsia="cs-CZ" w:bidi="ar-SA"/>
              </w:rPr>
              <w:lastRenderedPageBreak/>
              <w:t>Panel B: Zpracovatelé</w:t>
            </w:r>
          </w:p>
        </w:tc>
        <w:tc>
          <w:tcPr>
            <w:tcW w:w="1544" w:type="dxa"/>
            <w:gridSpan w:val="3"/>
            <w:tcBorders>
              <w:top w:val="nil"/>
              <w:bottom w:val="single" w:sz="4" w:space="0" w:color="auto"/>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color w:val="FFFFFF"/>
                <w:sz w:val="18"/>
                <w:szCs w:val="20"/>
                <w:lang w:eastAsia="cs-CZ" w:bidi="ar-SA"/>
              </w:rPr>
            </w:pPr>
          </w:p>
        </w:tc>
        <w:tc>
          <w:tcPr>
            <w:tcW w:w="1992" w:type="dxa"/>
            <w:gridSpan w:val="4"/>
            <w:tcBorders>
              <w:top w:val="nil"/>
              <w:bottom w:val="single" w:sz="4" w:space="0" w:color="auto"/>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color w:val="FFFFFF"/>
                <w:sz w:val="18"/>
                <w:szCs w:val="20"/>
                <w:lang w:eastAsia="cs-CZ" w:bidi="ar-SA"/>
              </w:rPr>
            </w:pPr>
          </w:p>
        </w:tc>
        <w:tc>
          <w:tcPr>
            <w:tcW w:w="1876" w:type="dxa"/>
            <w:gridSpan w:val="4"/>
            <w:tcBorders>
              <w:top w:val="nil"/>
              <w:bottom w:val="single" w:sz="4" w:space="0" w:color="auto"/>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color w:val="FFFFFF"/>
                <w:sz w:val="18"/>
                <w:szCs w:val="20"/>
                <w:lang w:eastAsia="cs-CZ" w:bidi="ar-SA"/>
              </w:rPr>
            </w:pPr>
          </w:p>
        </w:tc>
        <w:tc>
          <w:tcPr>
            <w:tcW w:w="1671" w:type="dxa"/>
            <w:gridSpan w:val="4"/>
            <w:tcBorders>
              <w:top w:val="nil"/>
              <w:bottom w:val="single" w:sz="4" w:space="0" w:color="auto"/>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color w:val="FFFFFF"/>
                <w:sz w:val="18"/>
                <w:szCs w:val="20"/>
                <w:lang w:eastAsia="cs-CZ" w:bidi="ar-SA"/>
              </w:rPr>
            </w:pPr>
          </w:p>
        </w:tc>
        <w:tc>
          <w:tcPr>
            <w:tcW w:w="1413" w:type="dxa"/>
            <w:gridSpan w:val="3"/>
            <w:tcBorders>
              <w:top w:val="nil"/>
              <w:bottom w:val="single" w:sz="4" w:space="0" w:color="auto"/>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color w:val="FFFFFF"/>
                <w:sz w:val="18"/>
                <w:szCs w:val="20"/>
                <w:lang w:eastAsia="cs-CZ" w:bidi="ar-SA"/>
              </w:rPr>
            </w:pPr>
          </w:p>
        </w:tc>
        <w:tc>
          <w:tcPr>
            <w:tcW w:w="2590" w:type="dxa"/>
            <w:gridSpan w:val="5"/>
            <w:tcBorders>
              <w:top w:val="nil"/>
              <w:bottom w:val="single" w:sz="4" w:space="0" w:color="auto"/>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color w:val="FFFFFF"/>
                <w:sz w:val="18"/>
                <w:szCs w:val="20"/>
                <w:lang w:eastAsia="cs-CZ" w:bidi="ar-SA"/>
              </w:rPr>
            </w:pPr>
          </w:p>
        </w:tc>
        <w:tc>
          <w:tcPr>
            <w:tcW w:w="1968" w:type="dxa"/>
            <w:gridSpan w:val="4"/>
            <w:tcBorders>
              <w:top w:val="nil"/>
              <w:bottom w:val="single" w:sz="4" w:space="0" w:color="auto"/>
            </w:tcBorders>
            <w:shd w:val="clear" w:color="auto" w:fill="auto"/>
            <w:noWrap/>
            <w:vAlign w:val="center"/>
          </w:tcPr>
          <w:p w:rsidR="00ED5B2D" w:rsidRPr="00ED38E9" w:rsidRDefault="00ED5B2D" w:rsidP="00ED5B2D">
            <w:pPr>
              <w:keepNext/>
              <w:spacing w:before="60" w:after="60" w:line="240" w:lineRule="auto"/>
              <w:jc w:val="left"/>
              <w:rPr>
                <w:rFonts w:eastAsia="MS Mincho" w:cs="Arial"/>
                <w:b/>
                <w:bCs/>
                <w:noProof w:val="0"/>
                <w:color w:val="FFFFFF"/>
                <w:sz w:val="18"/>
                <w:szCs w:val="20"/>
                <w:lang w:eastAsia="cs-CZ" w:bidi="ar-SA"/>
              </w:rPr>
            </w:pPr>
          </w:p>
        </w:tc>
      </w:tr>
      <w:tr w:rsidR="00112FE8" w:rsidRPr="000B7CBF" w:rsidTr="00ED38E9">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left"/>
              <w:rPr>
                <w:rFonts w:eastAsia="MS Mincho" w:cs="Arial"/>
                <w:noProof w:val="0"/>
                <w:sz w:val="18"/>
                <w:szCs w:val="20"/>
                <w:lang w:eastAsia="cs-CZ" w:bidi="ar-SA"/>
              </w:rPr>
            </w:pPr>
            <w:r w:rsidRPr="00ED38E9">
              <w:rPr>
                <w:rFonts w:eastAsia="MS Mincho" w:cs="Arial"/>
                <w:noProof w:val="0"/>
                <w:sz w:val="18"/>
                <w:szCs w:val="20"/>
                <w:lang w:eastAsia="cs-CZ" w:bidi="ar-SA"/>
              </w:rPr>
              <w:t>tis. Kč</w:t>
            </w:r>
          </w:p>
        </w:tc>
        <w:tc>
          <w:tcPr>
            <w:tcW w:w="186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Praktik systém</w:t>
            </w:r>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b/>
                <w:bCs/>
                <w:noProof w:val="0"/>
                <w:sz w:val="18"/>
                <w:szCs w:val="20"/>
                <w:lang w:eastAsia="cs-CZ" w:bidi="ar-SA"/>
              </w:rPr>
            </w:pPr>
            <w:proofErr w:type="spellStart"/>
            <w:r w:rsidRPr="00ED38E9">
              <w:rPr>
                <w:rFonts w:eastAsia="MS Mincho" w:cs="Arial"/>
                <w:b/>
                <w:bCs/>
                <w:noProof w:val="0"/>
                <w:sz w:val="18"/>
                <w:szCs w:val="20"/>
                <w:lang w:eastAsia="cs-CZ" w:bidi="ar-SA"/>
              </w:rPr>
              <w:t>Marketa</w:t>
            </w:r>
            <w:proofErr w:type="spellEnd"/>
            <w:r w:rsidRPr="00ED38E9">
              <w:rPr>
                <w:rFonts w:eastAsia="MS Mincho" w:cs="Arial"/>
                <w:b/>
                <w:bCs/>
                <w:noProof w:val="0"/>
                <w:sz w:val="18"/>
                <w:szCs w:val="20"/>
                <w:lang w:eastAsia="cs-CZ" w:bidi="ar-SA"/>
              </w:rPr>
              <w:t xml:space="preserve"> </w:t>
            </w:r>
            <w:proofErr w:type="spellStart"/>
            <w:r w:rsidRPr="00ED38E9">
              <w:rPr>
                <w:rFonts w:eastAsia="MS Mincho" w:cs="Arial"/>
                <w:b/>
                <w:bCs/>
                <w:noProof w:val="0"/>
                <w:sz w:val="18"/>
                <w:szCs w:val="20"/>
                <w:lang w:eastAsia="cs-CZ" w:bidi="ar-SA"/>
              </w:rPr>
              <w:t>Remone</w:t>
            </w:r>
            <w:proofErr w:type="spellEnd"/>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FERMET s.r.o.</w:t>
            </w:r>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 xml:space="preserve">MHM </w:t>
            </w:r>
            <w:proofErr w:type="spellStart"/>
            <w:r w:rsidRPr="00ED38E9">
              <w:rPr>
                <w:rFonts w:eastAsia="MS Mincho" w:cs="Arial"/>
                <w:b/>
                <w:bCs/>
                <w:noProof w:val="0"/>
                <w:sz w:val="18"/>
                <w:szCs w:val="20"/>
                <w:lang w:eastAsia="cs-CZ" w:bidi="ar-SA"/>
              </w:rPr>
              <w:t>Eko</w:t>
            </w:r>
            <w:proofErr w:type="spellEnd"/>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Kovohutě Příbram</w:t>
            </w:r>
          </w:p>
        </w:tc>
        <w:tc>
          <w:tcPr>
            <w:tcW w:w="18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S-Firma</w:t>
            </w:r>
          </w:p>
        </w:tc>
        <w:tc>
          <w:tcPr>
            <w:tcW w:w="1865"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D5B2D" w:rsidRPr="00ED38E9" w:rsidRDefault="00ED5B2D" w:rsidP="0082351C">
            <w:pPr>
              <w:keepNext/>
              <w:spacing w:line="23" w:lineRule="atLeast"/>
              <w:jc w:val="center"/>
              <w:rPr>
                <w:rFonts w:eastAsia="MS Mincho" w:cs="Arial"/>
                <w:b/>
                <w:bCs/>
                <w:noProof w:val="0"/>
                <w:sz w:val="18"/>
                <w:szCs w:val="20"/>
                <w:lang w:eastAsia="cs-CZ" w:bidi="ar-SA"/>
              </w:rPr>
            </w:pPr>
            <w:proofErr w:type="spellStart"/>
            <w:r w:rsidRPr="00ED38E9">
              <w:rPr>
                <w:rFonts w:eastAsia="MS Mincho" w:cs="Arial"/>
                <w:b/>
                <w:bCs/>
                <w:noProof w:val="0"/>
                <w:sz w:val="18"/>
                <w:szCs w:val="20"/>
                <w:lang w:eastAsia="cs-CZ" w:bidi="ar-SA"/>
              </w:rPr>
              <w:t>Steelmet</w:t>
            </w:r>
            <w:proofErr w:type="spellEnd"/>
          </w:p>
        </w:tc>
      </w:tr>
      <w:tr w:rsidR="00112FE8" w:rsidRPr="000B7CBF" w:rsidTr="00ED38E9">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8"/>
                <w:szCs w:val="20"/>
                <w:lang w:eastAsia="cs-CZ" w:bidi="ar-SA"/>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b/>
                <w:bCs/>
                <w:noProof w:val="0"/>
                <w:sz w:val="18"/>
                <w:szCs w:val="20"/>
                <w:lang w:eastAsia="cs-CZ" w:bidi="ar-SA"/>
              </w:rPr>
            </w:pPr>
            <w:r w:rsidRPr="00ED38E9">
              <w:rPr>
                <w:rFonts w:eastAsia="MS Mincho" w:cs="Arial"/>
                <w:b/>
                <w:bCs/>
                <w:noProof w:val="0"/>
                <w:sz w:val="18"/>
                <w:szCs w:val="20"/>
                <w:lang w:eastAsia="cs-CZ" w:bidi="ar-SA"/>
              </w:rPr>
              <w:t>2013</w:t>
            </w:r>
          </w:p>
        </w:tc>
      </w:tr>
      <w:tr w:rsidR="00112FE8" w:rsidRPr="000B7CBF" w:rsidTr="00112FE8">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Tržby</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156 459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161 996</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6 132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8 178</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7 252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47 591</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33 826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47 905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50 645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2 060 043</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2 099 782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2 175 783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31 979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39 922</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6 026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6 374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7 182</w:t>
            </w:r>
          </w:p>
        </w:tc>
      </w:tr>
      <w:tr w:rsidR="00112FE8" w:rsidRPr="000B7CBF" w:rsidTr="00112FE8">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Přidaná hodnota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-22 532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-48 578</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492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996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7 905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4 707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21 466</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22 990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393 842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330 785</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291 764</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11 676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13 807</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13 730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-9 098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-7 108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-3 335</w:t>
            </w:r>
          </w:p>
        </w:tc>
      </w:tr>
      <w:tr w:rsidR="00112FE8" w:rsidRPr="000B7CBF" w:rsidTr="00112FE8">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Provozní výsledek hospodaření</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10 050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6 188</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1 039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159</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462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361</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-1 344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1 930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3 209</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231 867</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152 014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91 737</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6 006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6 340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883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3 560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1 968</w:t>
            </w:r>
          </w:p>
        </w:tc>
      </w:tr>
      <w:tr w:rsidR="00112FE8" w:rsidRPr="000B7CBF" w:rsidTr="00112FE8">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 xml:space="preserve">Finanční výsledek hospodaření </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-257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-433</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-488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-422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-178</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-678</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-914</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48 836</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-8 972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3 283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-601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-745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-686</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-156</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-242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-298</w:t>
            </w:r>
          </w:p>
        </w:tc>
      </w:tr>
      <w:tr w:rsidR="00112FE8" w:rsidRPr="000B7CBF" w:rsidTr="00112FE8">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left"/>
              <w:rPr>
                <w:rFonts w:eastAsia="MS Mincho" w:cs="Arial"/>
                <w:noProof w:val="0"/>
                <w:sz w:val="14"/>
                <w:szCs w:val="20"/>
                <w:lang w:eastAsia="cs-CZ" w:bidi="ar-SA"/>
              </w:rPr>
            </w:pPr>
            <w:r w:rsidRPr="00ED38E9">
              <w:rPr>
                <w:rFonts w:eastAsia="MS Mincho" w:cs="Arial"/>
                <w:noProof w:val="0"/>
                <w:sz w:val="14"/>
                <w:szCs w:val="20"/>
                <w:lang w:eastAsia="cs-CZ" w:bidi="ar-SA"/>
              </w:rPr>
              <w:t>Výsledek hospodaření před zdaněním</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9 793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5 755</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429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-933</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183</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-1 441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1 252</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2 295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280 703</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143 042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95 020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5 405</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5 595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1 717</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727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3 318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1 670</w:t>
            </w:r>
          </w:p>
        </w:tc>
      </w:tr>
      <w:tr w:rsidR="00112FE8" w:rsidRPr="000B7CBF" w:rsidTr="00112FE8">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left"/>
              <w:rPr>
                <w:rFonts w:eastAsia="MS Mincho" w:cs="Arial"/>
                <w:noProof w:val="0"/>
                <w:sz w:val="14"/>
                <w:szCs w:val="18"/>
                <w:lang w:eastAsia="cs-CZ" w:bidi="ar-SA"/>
              </w:rPr>
            </w:pPr>
            <w:r w:rsidRPr="00ED38E9">
              <w:rPr>
                <w:rFonts w:eastAsia="MS Mincho" w:cs="Arial"/>
                <w:noProof w:val="0"/>
                <w:sz w:val="14"/>
                <w:szCs w:val="18"/>
                <w:lang w:eastAsia="cs-CZ" w:bidi="ar-SA"/>
              </w:rPr>
              <w:t>Aktiva Celkem</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97 702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106 161</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12 957</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11 257</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11 204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11 056</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9 559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36 704</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40 293</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1 486 031</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1 747 723</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1 895 905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18 502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33 395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46 075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6 709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13 814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19 911</w:t>
            </w:r>
          </w:p>
        </w:tc>
      </w:tr>
      <w:tr w:rsidR="00112FE8" w:rsidRPr="000B7CBF" w:rsidTr="00112FE8">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left"/>
              <w:rPr>
                <w:rFonts w:eastAsia="MS Mincho" w:cs="Arial"/>
                <w:noProof w:val="0"/>
                <w:sz w:val="14"/>
                <w:szCs w:val="18"/>
                <w:lang w:eastAsia="cs-CZ" w:bidi="ar-SA"/>
              </w:rPr>
            </w:pPr>
            <w:r w:rsidRPr="00ED38E9">
              <w:rPr>
                <w:rFonts w:eastAsia="MS Mincho" w:cs="Arial"/>
                <w:noProof w:val="0"/>
                <w:sz w:val="14"/>
                <w:szCs w:val="18"/>
                <w:lang w:eastAsia="cs-CZ" w:bidi="ar-SA"/>
              </w:rPr>
              <w:t xml:space="preserve"> Z toho                                                        </w:t>
            </w:r>
            <w:r w:rsidRPr="00ED38E9">
              <w:rPr>
                <w:rFonts w:eastAsia="MS Mincho" w:cs="Arial"/>
                <w:noProof w:val="0"/>
                <w:sz w:val="14"/>
                <w:szCs w:val="18"/>
                <w:lang w:eastAsia="cs-CZ" w:bidi="ar-SA"/>
              </w:rPr>
              <w:br/>
              <w:t xml:space="preserve">         Dlouhodobá aktiva</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51 381</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47 157</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9 438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9 074</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7 718</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3 627</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3 429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13 515</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13 045</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762 282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833 774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832 743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5 092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18 486</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34 563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2 380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2 462</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3 345</w:t>
            </w:r>
          </w:p>
        </w:tc>
      </w:tr>
      <w:tr w:rsidR="00112FE8" w:rsidRPr="000B7CBF" w:rsidTr="00112FE8">
        <w:trPr>
          <w:trHeight w:val="397"/>
        </w:trPr>
        <w:tc>
          <w:tcPr>
            <w:tcW w:w="27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left"/>
              <w:rPr>
                <w:rFonts w:eastAsia="MS Mincho" w:cs="Arial"/>
                <w:noProof w:val="0"/>
                <w:sz w:val="14"/>
                <w:szCs w:val="18"/>
                <w:lang w:eastAsia="cs-CZ" w:bidi="ar-SA"/>
              </w:rPr>
            </w:pPr>
            <w:r w:rsidRPr="00ED38E9">
              <w:rPr>
                <w:rFonts w:eastAsia="MS Mincho" w:cs="Arial"/>
                <w:noProof w:val="0"/>
                <w:sz w:val="14"/>
                <w:szCs w:val="18"/>
                <w:lang w:eastAsia="cs-CZ" w:bidi="ar-SA"/>
              </w:rPr>
              <w:t xml:space="preserve">         Bankovní dluh </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4 469</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2 618</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4 804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4 852</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4 335</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proofErr w:type="gramStart"/>
            <w:r w:rsidRPr="00ED38E9">
              <w:rPr>
                <w:rFonts w:eastAsia="MS Mincho" w:cs="Arial"/>
                <w:noProof w:val="0"/>
                <w:sz w:val="14"/>
                <w:szCs w:val="16"/>
                <w:lang w:eastAsia="cs-CZ" w:bidi="ar-SA"/>
              </w:rPr>
              <w:t>N.A</w:t>
            </w:r>
            <w:proofErr w:type="gramEnd"/>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79 811</w:t>
            </w:r>
          </w:p>
        </w:tc>
        <w:tc>
          <w:tcPr>
            <w:tcW w:w="6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293 114</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368 664</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10 000</w:t>
            </w:r>
          </w:p>
        </w:tc>
        <w:tc>
          <w:tcPr>
            <w:tcW w:w="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16 823</w:t>
            </w:r>
          </w:p>
        </w:tc>
        <w:tc>
          <w:tcPr>
            <w:tcW w:w="6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700</w:t>
            </w:r>
          </w:p>
        </w:tc>
        <w:tc>
          <w:tcPr>
            <w:tcW w:w="6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B2D" w:rsidRPr="00ED38E9" w:rsidRDefault="00ED5B2D" w:rsidP="0082351C">
            <w:pPr>
              <w:keepNext/>
              <w:spacing w:line="23" w:lineRule="atLeast"/>
              <w:jc w:val="center"/>
              <w:rPr>
                <w:rFonts w:eastAsia="MS Mincho" w:cs="Arial"/>
                <w:noProof w:val="0"/>
                <w:sz w:val="14"/>
                <w:szCs w:val="16"/>
                <w:lang w:eastAsia="cs-CZ" w:bidi="ar-SA"/>
              </w:rPr>
            </w:pPr>
            <w:r w:rsidRPr="00ED38E9">
              <w:rPr>
                <w:rFonts w:eastAsia="MS Mincho" w:cs="Arial"/>
                <w:noProof w:val="0"/>
                <w:sz w:val="14"/>
                <w:szCs w:val="16"/>
                <w:lang w:eastAsia="cs-CZ" w:bidi="ar-SA"/>
              </w:rPr>
              <w:t>525</w:t>
            </w:r>
          </w:p>
        </w:tc>
      </w:tr>
    </w:tbl>
    <w:p w:rsidR="00ED5B2D" w:rsidRPr="00ED38E9" w:rsidRDefault="00ED5B2D" w:rsidP="0082351C">
      <w:pPr>
        <w:widowControl w:val="0"/>
        <w:jc w:val="left"/>
        <w:rPr>
          <w:rFonts w:cs="Arial"/>
          <w:i/>
          <w:iCs/>
          <w:noProof w:val="0"/>
          <w:color w:val="000000"/>
          <w:sz w:val="20"/>
          <w:szCs w:val="20"/>
          <w:lang w:eastAsia="cs-CZ" w:bidi="ar-SA"/>
        </w:rPr>
        <w:sectPr w:rsidR="00ED5B2D" w:rsidRPr="00ED38E9" w:rsidSect="00962E44">
          <w:pgSz w:w="16838" w:h="11906" w:orient="landscape"/>
          <w:pgMar w:top="567" w:right="567" w:bottom="567" w:left="567" w:header="709" w:footer="709" w:gutter="0"/>
          <w:pgNumType w:fmt="numberInDash"/>
          <w:cols w:space="708"/>
          <w:docGrid w:linePitch="360"/>
        </w:sectPr>
      </w:pPr>
      <w:r w:rsidRPr="00ED38E9">
        <w:rPr>
          <w:rFonts w:cs="Arial"/>
          <w:i/>
          <w:iCs/>
          <w:noProof w:val="0"/>
          <w:color w:val="000000"/>
          <w:sz w:val="20"/>
          <w:szCs w:val="20"/>
          <w:lang w:eastAsia="cs-CZ" w:bidi="ar-SA"/>
        </w:rPr>
        <w:t>Zdroj: Výroční zprávy jednotlivých subjektů</w:t>
      </w:r>
    </w:p>
    <w:p w:rsidR="00ED5B2D" w:rsidRPr="00ED38E9" w:rsidRDefault="00ED5B2D" w:rsidP="0082351C">
      <w:pPr>
        <w:rPr>
          <w:rFonts w:eastAsia="Calibri" w:cs="Arial"/>
          <w:noProof w:val="0"/>
          <w:szCs w:val="22"/>
          <w:lang w:bidi="ar-SA"/>
        </w:rPr>
      </w:pPr>
      <w:r w:rsidRPr="00ED38E9">
        <w:rPr>
          <w:rFonts w:eastAsia="Calibri" w:cs="Arial"/>
          <w:noProof w:val="0"/>
          <w:szCs w:val="22"/>
          <w:lang w:bidi="ar-SA"/>
        </w:rPr>
        <w:lastRenderedPageBreak/>
        <w:t xml:space="preserve">V návaznosti na předchozí finanční analýzu </w:t>
      </w:r>
      <w:r w:rsidR="00FD0108">
        <w:fldChar w:fldCharType="begin"/>
      </w:r>
      <w:r w:rsidR="00FD0108">
        <w:instrText xml:space="preserve"> REF _Ref403052956 \h  \* MERGEFORMAT </w:instrText>
      </w:r>
      <w:r w:rsidR="00FD0108">
        <w:fldChar w:fldCharType="separate"/>
      </w:r>
      <w:r w:rsidR="002A3964" w:rsidRPr="00ED38E9">
        <w:rPr>
          <w:rFonts w:eastAsia="Calibri" w:cs="Arial"/>
          <w:noProof w:val="0"/>
          <w:szCs w:val="22"/>
          <w:lang w:bidi="ar-SA"/>
        </w:rPr>
        <w:t>Obrázek 1</w:t>
      </w:r>
      <w:r w:rsidR="00FD0108">
        <w:fldChar w:fldCharType="end"/>
      </w:r>
      <w:r w:rsidRPr="00ED38E9">
        <w:rPr>
          <w:rFonts w:eastAsia="Calibri" w:cs="Arial"/>
          <w:noProof w:val="0"/>
          <w:szCs w:val="22"/>
          <w:lang w:bidi="ar-SA"/>
        </w:rPr>
        <w:t xml:space="preserve"> shrnuje schéma finančního toku a toku EEZ resp. OEEZ v systému kolektivního plnění.</w:t>
      </w:r>
    </w:p>
    <w:p w:rsidR="00ED5B2D" w:rsidRPr="00ED38E9" w:rsidRDefault="00ED5B2D" w:rsidP="005140E5">
      <w:pPr>
        <w:pStyle w:val="Titulek"/>
        <w:rPr>
          <w:rFonts w:cs="Arial"/>
          <w:lang w:eastAsia="cs-CZ" w:bidi="ar-SA"/>
        </w:rPr>
      </w:pPr>
      <w:bookmarkStart w:id="53" w:name="_Ref403052956"/>
      <w:r w:rsidRPr="00ED38E9">
        <w:rPr>
          <w:rFonts w:cs="Arial"/>
          <w:lang w:eastAsia="cs-CZ" w:bidi="ar-SA"/>
        </w:rPr>
        <w:t xml:space="preserve">Obrázek </w:t>
      </w:r>
      <w:r w:rsidR="00381FB7" w:rsidRPr="00ED38E9">
        <w:rPr>
          <w:rFonts w:cs="Arial"/>
          <w:lang w:eastAsia="cs-CZ" w:bidi="ar-SA"/>
        </w:rPr>
        <w:fldChar w:fldCharType="begin"/>
      </w:r>
      <w:r w:rsidRPr="00ED38E9">
        <w:rPr>
          <w:rFonts w:cs="Arial"/>
          <w:lang w:eastAsia="cs-CZ" w:bidi="ar-SA"/>
        </w:rPr>
        <w:instrText xml:space="preserve"> SEQ Obrázek \* ARABIC </w:instrText>
      </w:r>
      <w:r w:rsidR="00381FB7" w:rsidRPr="00ED38E9">
        <w:rPr>
          <w:rFonts w:cs="Arial"/>
          <w:lang w:eastAsia="cs-CZ" w:bidi="ar-SA"/>
        </w:rPr>
        <w:fldChar w:fldCharType="separate"/>
      </w:r>
      <w:r w:rsidR="002A3964" w:rsidRPr="00ED38E9">
        <w:rPr>
          <w:rFonts w:cs="Arial"/>
          <w:lang w:eastAsia="cs-CZ" w:bidi="ar-SA"/>
        </w:rPr>
        <w:t>1</w:t>
      </w:r>
      <w:r w:rsidR="00381FB7" w:rsidRPr="00ED38E9">
        <w:rPr>
          <w:rFonts w:cs="Arial"/>
          <w:lang w:eastAsia="cs-CZ" w:bidi="ar-SA"/>
        </w:rPr>
        <w:fldChar w:fldCharType="end"/>
      </w:r>
      <w:bookmarkEnd w:id="53"/>
      <w:r w:rsidRPr="00ED38E9">
        <w:rPr>
          <w:rFonts w:cs="Arial"/>
          <w:lang w:eastAsia="cs-CZ" w:bidi="ar-SA"/>
        </w:rPr>
        <w:t>: Schéma finančního a toku EEZ, resp. OEEZ v rámci kolektivního systému</w:t>
      </w:r>
    </w:p>
    <w:p w:rsidR="00ED5B2D" w:rsidRPr="00ED38E9" w:rsidRDefault="00A32254" w:rsidP="00ED5B2D">
      <w:pPr>
        <w:keepNext/>
        <w:widowControl w:val="0"/>
        <w:spacing w:before="120" w:after="120" w:line="240" w:lineRule="auto"/>
        <w:rPr>
          <w:rFonts w:eastAsia="Calibri" w:cs="Arial"/>
          <w:noProof w:val="0"/>
          <w:szCs w:val="20"/>
          <w:lang w:bidi="ar-SA"/>
        </w:rPr>
      </w:pPr>
      <w:r>
        <w:rPr>
          <w:rFonts w:eastAsia="Calibri" w:cs="Arial"/>
          <w:szCs w:val="22"/>
          <w:lang w:eastAsia="cs-CZ" w:bidi="ar-SA"/>
        </w:rPr>
        <mc:AlternateContent>
          <mc:Choice Requires="wpg">
            <w:drawing>
              <wp:anchor distT="0" distB="0" distL="114300" distR="114300" simplePos="0" relativeHeight="251659264" behindDoc="0" locked="0" layoutInCell="1" allowOverlap="1" wp14:anchorId="192F359F" wp14:editId="4328D8A6">
                <wp:simplePos x="0" y="0"/>
                <wp:positionH relativeFrom="column">
                  <wp:posOffset>4794250</wp:posOffset>
                </wp:positionH>
                <wp:positionV relativeFrom="paragraph">
                  <wp:posOffset>555625</wp:posOffset>
                </wp:positionV>
                <wp:extent cx="708025" cy="4333875"/>
                <wp:effectExtent l="12700" t="12700" r="3175" b="6350"/>
                <wp:wrapNone/>
                <wp:docPr id="1371" name="Skupin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025" cy="4333875"/>
                          <a:chOff x="0" y="0"/>
                          <a:chExt cx="7081" cy="43341"/>
                        </a:xfrm>
                      </wpg:grpSpPr>
                      <wpg:grpSp>
                        <wpg:cNvPr id="1372" name="Skupina 11"/>
                        <wpg:cNvGrpSpPr>
                          <a:grpSpLocks/>
                        </wpg:cNvGrpSpPr>
                        <wpg:grpSpPr bwMode="auto">
                          <a:xfrm>
                            <a:off x="0" y="0"/>
                            <a:ext cx="1936" cy="43341"/>
                            <a:chOff x="0" y="0"/>
                            <a:chExt cx="1936" cy="43341"/>
                          </a:xfrm>
                        </wpg:grpSpPr>
                        <wps:wsp>
                          <wps:cNvPr id="1373" name="Pravá složená závorka 13"/>
                          <wps:cNvSpPr>
                            <a:spLocks/>
                          </wps:cNvSpPr>
                          <wps:spPr bwMode="auto">
                            <a:xfrm>
                              <a:off x="0" y="0"/>
                              <a:ext cx="1936" cy="24517"/>
                            </a:xfrm>
                            <a:prstGeom prst="rightBrace">
                              <a:avLst>
                                <a:gd name="adj1" fmla="val 8325"/>
                                <a:gd name="adj2" fmla="val 500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74" name="Pravá složená závorka 30"/>
                          <wps:cNvSpPr>
                            <a:spLocks/>
                          </wps:cNvSpPr>
                          <wps:spPr bwMode="auto">
                            <a:xfrm>
                              <a:off x="217" y="24710"/>
                              <a:ext cx="1658" cy="18631"/>
                            </a:xfrm>
                            <a:prstGeom prst="rightBrace">
                              <a:avLst>
                                <a:gd name="adj1" fmla="val 8324"/>
                                <a:gd name="adj2" fmla="val 50000"/>
                              </a:avLst>
                            </a:pr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375" name="Textové pole 2"/>
                        <wps:cNvSpPr txBox="1">
                          <a:spLocks noChangeArrowheads="1"/>
                        </wps:cNvSpPr>
                        <wps:spPr bwMode="auto">
                          <a:xfrm>
                            <a:off x="1194" y="10338"/>
                            <a:ext cx="4680"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Pr="00615E9E" w:rsidRDefault="00962E44" w:rsidP="00ED5B2D">
                              <w:pPr>
                                <w:rPr>
                                  <w:sz w:val="20"/>
                                  <w:szCs w:val="20"/>
                                </w:rPr>
                              </w:pPr>
                              <w:r w:rsidRPr="00615E9E">
                                <w:rPr>
                                  <w:sz w:val="20"/>
                                  <w:szCs w:val="20"/>
                                </w:rPr>
                                <w:t>EEZ</w:t>
                              </w:r>
                            </w:p>
                          </w:txbxContent>
                        </wps:txbx>
                        <wps:bodyPr rot="0" vert="horz" wrap="square" lIns="91440" tIns="45720" rIns="91440" bIns="45720" anchor="t" anchorCtr="0" upright="1">
                          <a:spAutoFit/>
                        </wps:bodyPr>
                      </wps:wsp>
                      <wps:wsp>
                        <wps:cNvPr id="1376" name="Textové pole 2"/>
                        <wps:cNvSpPr txBox="1">
                          <a:spLocks noChangeArrowheads="1"/>
                        </wps:cNvSpPr>
                        <wps:spPr bwMode="auto">
                          <a:xfrm>
                            <a:off x="1302" y="32107"/>
                            <a:ext cx="5779"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Pr="00615E9E" w:rsidRDefault="00962E44" w:rsidP="00ED5B2D">
                              <w:pPr>
                                <w:rPr>
                                  <w:sz w:val="20"/>
                                  <w:szCs w:val="20"/>
                                </w:rPr>
                              </w:pPr>
                              <w:r w:rsidRPr="00615E9E">
                                <w:rPr>
                                  <w:sz w:val="20"/>
                                  <w:szCs w:val="20"/>
                                </w:rPr>
                                <w:t>OEEZ</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Skupina 6" o:spid="_x0000_s1026" style="position:absolute;left:0;text-align:left;margin-left:377.5pt;margin-top:43.75pt;width:55.75pt;height:341.25pt;z-index:251659264" coordsize="7081,43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">
                <v:group id="Skupina 11" o:spid="_x0000_s1027" style="position:absolute;width:1936;height:43341" coordsize="1936,43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ravá složená závorka 13" o:spid="_x0000_s1028" type="#_x0000_t88" style="position:absolute;width:1936;height:24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iFMQA&#10;AADdAAAADwAAAGRycy9kb3ducmV2LnhtbERPTWvCQBC9C/6HZQq9iG5soGp0FbEoPbXGiOcxO02C&#10;2dmQ3Zr477uFQm/zeJ+z2vSmFndqXWVZwXQSgSDOra64UHDO9uM5COeRNdaWScGDHGzWw8EKE207&#10;Tul+8oUIIewSVFB63yRSurwkg25iG+LAfdnWoA+wLaRusQvhppYvUfQqDVYcGkpsaFdSfjt9GwW3&#10;dJpd6fL5kS1Ghy5+2x6zQ3pU6vmp3y5BeOr9v/jP/a7D/HgWw+834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iIhTEAAAA3QAAAA8AAAAAAAAAAAAAAAAAmAIAAGRycy9k&#10;b3ducmV2LnhtbFBLBQYAAAAABAAEAPUAAACJAwAAAAA=&#10;" adj="142" strokecolor="#4a7ebb"/>
                  <v:shape id="Pravá složená závorka 30" o:spid="_x0000_s1029" type="#_x0000_t88" style="position:absolute;left:217;top:24710;width:1658;height:186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nNsUA&#10;AADdAAAADwAAAGRycy9kb3ducmV2LnhtbERPS2vCQBC+C/0PyxR6002trZJmFWkRPHhQ0yK9TbKT&#10;R83Ohuyq8d+7QqG3+fiekyx604gzda62rOB5FIEgzq2uuVTwla6GMxDOI2tsLJOCKzlYzB8GCcba&#10;XnhH570vRQhhF6OCyvs2ltLlFRl0I9sSB66wnUEfYFdK3eElhJtGjqPoTRqsOTRU2NJHRflxfzIK&#10;7GYsT8Uhi7a/n03W/rxmafo9VerpsV++g/DU+3/xn3utw/yX6QTu34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ac2xQAAAN0AAAAPAAAAAAAAAAAAAAAAAJgCAABkcnMv&#10;ZG93bnJldi54bWxQSwUGAAAAAAQABAD1AAAAigMAAAAA&#10;" adj="160" strokecolor="#4a7ebb"/>
                </v:group>
                <v:shapetype id="_x0000_t202" coordsize="21600,21600" o:spt="202" path="m,l,21600r21600,l21600,xe">
                  <v:stroke joinstyle="miter"/>
                  <v:path gradientshapeok="t" o:connecttype="rect"/>
                </v:shapetype>
                <v:shape id="Textové pole 2" o:spid="_x0000_s1030" type="#_x0000_t202" style="position:absolute;left:1194;top:10338;width:4680;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EDMEA&#10;AADdAAAADwAAAGRycy9kb3ducmV2LnhtbERPTWvCQBC9F/oflil4qxsrakldRaqCBy9qeh+y02xo&#10;djZkpyb+e7dQ8DaP9znL9eAbdaUu1oENTMYZKOIy2JorA8Vl//oOKgqyxSYwGbhRhPXq+WmJuQ09&#10;n+h6lkqlEI45GnAiba51LB15jOPQEifuO3QeJcGu0rbDPoX7Rr9l2Vx7rDk1OGzp01H5c/71BkTs&#10;ZnIrdj4evobjtndZOcPCmNHLsPkAJTTIQ/zvPtg0f7qYwd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AxAzBAAAA3QAAAA8AAAAAAAAAAAAAAAAAmAIAAGRycy9kb3du&#10;cmV2LnhtbFBLBQYAAAAABAAEAPUAAACGAwAAAAA=&#10;" filled="f" stroked="f">
                  <v:textbox style="mso-fit-shape-to-text:t">
                    <w:txbxContent>
                      <w:p w:rsidR="00962E44" w:rsidRPr="00615E9E" w:rsidRDefault="00962E44" w:rsidP="00ED5B2D">
                        <w:pPr>
                          <w:rPr>
                            <w:sz w:val="20"/>
                            <w:szCs w:val="20"/>
                          </w:rPr>
                        </w:pPr>
                        <w:r w:rsidRPr="00615E9E">
                          <w:rPr>
                            <w:sz w:val="20"/>
                            <w:szCs w:val="20"/>
                          </w:rPr>
                          <w:t>EEZ</w:t>
                        </w:r>
                      </w:p>
                    </w:txbxContent>
                  </v:textbox>
                </v:shape>
                <v:shape id="Textové pole 2" o:spid="_x0000_s1031" type="#_x0000_t202" style="position:absolute;left:1302;top:32107;width:5779;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ae8EA&#10;AADdAAAADwAAAGRycy9kb3ducmV2LnhtbERPTWvCQBC9C/0PyxS86cZKbUldRaqCBy/a9D5kp9nQ&#10;7GzITk38925B8DaP9znL9eAbdaEu1oENzKYZKOIy2JorA8XXfvIOKgqyxSYwGbhShPXqabTE3Iae&#10;T3Q5S6VSCMccDTiRNtc6lo48xmloiRP3EzqPkmBXadthn8J9o1+ybKE91pwaHLb06aj8Pf95AyJ2&#10;M7sWOx8P38Nx27usfMXCmPHzsPkAJTTIQ3x3H2yaP39bwP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SWnvBAAAA3QAAAA8AAAAAAAAAAAAAAAAAmAIAAGRycy9kb3du&#10;cmV2LnhtbFBLBQYAAAAABAAEAPUAAACGAwAAAAA=&#10;" filled="f" stroked="f">
                  <v:textbox style="mso-fit-shape-to-text:t">
                    <w:txbxContent>
                      <w:p w:rsidR="00962E44" w:rsidRPr="00615E9E" w:rsidRDefault="00962E44" w:rsidP="00ED5B2D">
                        <w:pPr>
                          <w:rPr>
                            <w:sz w:val="20"/>
                            <w:szCs w:val="20"/>
                          </w:rPr>
                        </w:pPr>
                        <w:r w:rsidRPr="00615E9E">
                          <w:rPr>
                            <w:sz w:val="20"/>
                            <w:szCs w:val="20"/>
                          </w:rPr>
                          <w:t>OEEZ</w:t>
                        </w:r>
                      </w:p>
                    </w:txbxContent>
                  </v:textbox>
                </v:shape>
              </v:group>
            </w:pict>
          </mc:Fallback>
        </mc:AlternateContent>
      </w:r>
      <w:r w:rsidR="00ED5B2D" w:rsidRPr="00ED38E9">
        <w:rPr>
          <w:rFonts w:eastAsia="Calibri" w:cs="Arial"/>
          <w:szCs w:val="22"/>
          <w:lang w:eastAsia="cs-CZ" w:bidi="ar-SA"/>
        </w:rPr>
        <w:drawing>
          <wp:inline distT="0" distB="0" distL="0" distR="0" wp14:anchorId="110C2183" wp14:editId="196E63D4">
            <wp:extent cx="4983480" cy="4895796"/>
            <wp:effectExtent l="19050" t="19050" r="26670" b="19685"/>
            <wp:docPr id="257"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275" r="6216"/>
                    <a:stretch/>
                  </pic:blipFill>
                  <pic:spPr bwMode="auto">
                    <a:xfrm>
                      <a:off x="0" y="0"/>
                      <a:ext cx="4983480" cy="4895796"/>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ED5B2D" w:rsidRPr="00ED38E9" w:rsidRDefault="00ED5B2D" w:rsidP="00EC5975">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w:t>
      </w:r>
    </w:p>
    <w:p w:rsidR="00ED5B2D" w:rsidRPr="00ED38E9" w:rsidRDefault="00ED5B2D" w:rsidP="00ED5B2D">
      <w:pPr>
        <w:spacing w:before="120" w:after="120" w:line="240" w:lineRule="auto"/>
        <w:rPr>
          <w:rFonts w:cs="Arial"/>
          <w:noProof w:val="0"/>
          <w:color w:val="000000"/>
          <w:sz w:val="20"/>
          <w:szCs w:val="20"/>
          <w:lang w:eastAsia="cs-CZ" w:bidi="ar-SA"/>
        </w:rPr>
      </w:pPr>
      <w:r w:rsidRPr="00ED38E9">
        <w:rPr>
          <w:rFonts w:eastAsia="Calibri" w:cs="Arial"/>
          <w:noProof w:val="0"/>
          <w:szCs w:val="22"/>
          <w:lang w:bidi="ar-SA"/>
        </w:rPr>
        <w:br w:type="page"/>
      </w:r>
    </w:p>
    <w:p w:rsidR="00ED5B2D" w:rsidRPr="00ED38E9" w:rsidRDefault="00ED5B2D" w:rsidP="00AF0E01">
      <w:pPr>
        <w:pStyle w:val="Normln-tun"/>
        <w:rPr>
          <w:rFonts w:cs="Arial"/>
        </w:rPr>
      </w:pPr>
      <w:bookmarkStart w:id="54" w:name="_Toc406598314"/>
      <w:r w:rsidRPr="00ED38E9">
        <w:rPr>
          <w:rStyle w:val="Siln"/>
          <w:rFonts w:cs="Arial"/>
          <w:b/>
          <w:bCs w:val="0"/>
        </w:rPr>
        <w:lastRenderedPageBreak/>
        <w:t>Srovnání</w:t>
      </w:r>
      <w:r w:rsidRPr="00ED38E9">
        <w:rPr>
          <w:rFonts w:cs="Arial"/>
        </w:rPr>
        <w:t xml:space="preserve"> s vybranými státy EU</w:t>
      </w:r>
      <w:bookmarkEnd w:id="54"/>
    </w:p>
    <w:p w:rsidR="00ED5B2D" w:rsidRPr="00ED38E9" w:rsidRDefault="00ED5B2D" w:rsidP="00735D9F">
      <w:pPr>
        <w:rPr>
          <w:rFonts w:eastAsia="Calibri" w:cs="Arial"/>
          <w:noProof w:val="0"/>
          <w:szCs w:val="22"/>
          <w:lang w:bidi="ar-SA"/>
        </w:rPr>
      </w:pPr>
      <w:r w:rsidRPr="00ED38E9">
        <w:rPr>
          <w:rFonts w:eastAsia="Calibri" w:cs="Arial"/>
          <w:noProof w:val="0"/>
          <w:szCs w:val="22"/>
          <w:lang w:bidi="ar-SA"/>
        </w:rPr>
        <w:t>Jednotlivé evropské státy vykazují rozdílnou úspěšnost ve zpětném odběru OEEZ, jak ukazuje následující obrázek; mezi nejúspěšnější země patří Norsko, Švédsko a Dánsko, na druhé straně se nacházejí Rumunsko, Litva, Lotyšsko a Polsko.</w:t>
      </w:r>
    </w:p>
    <w:p w:rsidR="005140E5" w:rsidRPr="00ED38E9" w:rsidRDefault="00ED5B2D" w:rsidP="0017046F">
      <w:pPr>
        <w:pStyle w:val="Titulek"/>
        <w:rPr>
          <w:rFonts w:cs="Arial"/>
          <w:lang w:eastAsia="cs-CZ" w:bidi="ar-SA"/>
        </w:rPr>
      </w:pPr>
      <w:r w:rsidRPr="00ED38E9">
        <w:rPr>
          <w:rFonts w:cs="Arial"/>
          <w:lang w:eastAsia="cs-CZ" w:bidi="ar-SA"/>
        </w:rPr>
        <w:t xml:space="preserve">Obrázek </w:t>
      </w:r>
      <w:r w:rsidR="00381FB7" w:rsidRPr="00ED38E9">
        <w:rPr>
          <w:rFonts w:cs="Arial"/>
          <w:lang w:eastAsia="cs-CZ" w:bidi="ar-SA"/>
        </w:rPr>
        <w:fldChar w:fldCharType="begin"/>
      </w:r>
      <w:r w:rsidRPr="00ED38E9">
        <w:rPr>
          <w:rFonts w:cs="Arial"/>
          <w:lang w:eastAsia="cs-CZ" w:bidi="ar-SA"/>
        </w:rPr>
        <w:instrText xml:space="preserve"> SEQ Obrázek \* ARABIC </w:instrText>
      </w:r>
      <w:r w:rsidR="00381FB7" w:rsidRPr="00ED38E9">
        <w:rPr>
          <w:rFonts w:cs="Arial"/>
          <w:lang w:eastAsia="cs-CZ" w:bidi="ar-SA"/>
        </w:rPr>
        <w:fldChar w:fldCharType="separate"/>
      </w:r>
      <w:r w:rsidR="002A3964" w:rsidRPr="00ED38E9">
        <w:rPr>
          <w:rFonts w:cs="Arial"/>
          <w:lang w:eastAsia="cs-CZ" w:bidi="ar-SA"/>
        </w:rPr>
        <w:t>2</w:t>
      </w:r>
      <w:r w:rsidR="00381FB7" w:rsidRPr="00ED38E9">
        <w:rPr>
          <w:rFonts w:cs="Arial"/>
          <w:lang w:eastAsia="cs-CZ" w:bidi="ar-SA"/>
        </w:rPr>
        <w:fldChar w:fldCharType="end"/>
      </w:r>
      <w:r w:rsidRPr="00ED38E9">
        <w:rPr>
          <w:rFonts w:cs="Arial"/>
          <w:lang w:eastAsia="cs-CZ" w:bidi="ar-SA"/>
        </w:rPr>
        <w:t>: Zpětný odběr OEEZ v roce 2010 (kg per capita)</w:t>
      </w:r>
    </w:p>
    <w:p w:rsidR="00ED5B2D" w:rsidRPr="00ED38E9" w:rsidRDefault="00ED5B2D" w:rsidP="0017046F">
      <w:pPr>
        <w:pStyle w:val="Titulek"/>
        <w:rPr>
          <w:rFonts w:cs="Arial"/>
          <w:lang w:eastAsia="cs-CZ" w:bidi="ar-SA"/>
        </w:rPr>
      </w:pPr>
      <w:r w:rsidRPr="00ED38E9">
        <w:rPr>
          <w:rFonts w:cs="Arial"/>
          <w:lang w:eastAsia="cs-CZ" w:bidi="ar-SA"/>
        </w:rPr>
        <w:drawing>
          <wp:inline distT="0" distB="0" distL="0" distR="0" wp14:anchorId="3AF86933" wp14:editId="66E8914E">
            <wp:extent cx="4572000" cy="3377740"/>
            <wp:effectExtent l="0" t="0" r="0" b="0"/>
            <wp:docPr id="262"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368" t="11711" r="25498" b="6577"/>
                    <a:stretch/>
                  </pic:blipFill>
                  <pic:spPr bwMode="auto">
                    <a:xfrm>
                      <a:off x="0" y="0"/>
                      <a:ext cx="4572623" cy="3378200"/>
                    </a:xfrm>
                    <a:prstGeom prst="rect">
                      <a:avLst/>
                    </a:prstGeom>
                    <a:noFill/>
                    <a:ln>
                      <a:noFill/>
                    </a:ln>
                    <a:extLst>
                      <a:ext uri="{53640926-AAD7-44D8-BBD7-CCE9431645EC}">
                        <a14:shadowObscured xmlns:a14="http://schemas.microsoft.com/office/drawing/2010/main"/>
                      </a:ext>
                    </a:extLst>
                  </pic:spPr>
                </pic:pic>
              </a:graphicData>
            </a:graphic>
          </wp:inline>
        </w:drawing>
      </w:r>
    </w:p>
    <w:p w:rsidR="00ED5B2D" w:rsidRPr="00ED38E9" w:rsidRDefault="00ED5B2D" w:rsidP="00735D9F">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 xml:space="preserve">Zdroj: </w:t>
      </w:r>
      <w:proofErr w:type="spellStart"/>
      <w:r w:rsidRPr="00ED38E9">
        <w:rPr>
          <w:rFonts w:cs="Arial"/>
          <w:i/>
          <w:iCs/>
          <w:noProof w:val="0"/>
          <w:color w:val="000000"/>
          <w:sz w:val="20"/>
          <w:szCs w:val="20"/>
          <w:lang w:eastAsia="cs-CZ" w:bidi="ar-SA"/>
        </w:rPr>
        <w:t>Eurostat</w:t>
      </w:r>
      <w:proofErr w:type="spellEnd"/>
    </w:p>
    <w:p w:rsidR="00ED5B2D" w:rsidRPr="00ED38E9" w:rsidRDefault="00ED5B2D" w:rsidP="00735D9F">
      <w:pPr>
        <w:rPr>
          <w:rFonts w:eastAsia="Calibri" w:cs="Arial"/>
          <w:noProof w:val="0"/>
          <w:szCs w:val="22"/>
          <w:lang w:bidi="ar-SA"/>
        </w:rPr>
      </w:pPr>
      <w:r w:rsidRPr="00ED38E9">
        <w:rPr>
          <w:rFonts w:eastAsia="Calibri" w:cs="Arial"/>
          <w:noProof w:val="0"/>
          <w:szCs w:val="22"/>
          <w:lang w:bidi="ar-SA"/>
        </w:rPr>
        <w:t>Evropské systémy nakládání s OEEZ vycházejí z evropské legislativy, přesto se v některých aspektech výrazně liší. V následující tabulce jsou shrnuty některé základní odlišnosti (</w:t>
      </w:r>
      <w:r w:rsidRPr="00ED38E9">
        <w:rPr>
          <w:rFonts w:eastAsia="Calibri" w:cs="Arial"/>
          <w:i/>
          <w:iCs/>
          <w:noProof w:val="0"/>
          <w:color w:val="000000"/>
          <w:szCs w:val="22"/>
          <w:lang w:eastAsia="cs-CZ" w:bidi="ar-SA"/>
        </w:rPr>
        <w:t>zdroj: UNEP, informace z roku 2013</w:t>
      </w:r>
      <w:r w:rsidRPr="00ED38E9">
        <w:rPr>
          <w:rFonts w:eastAsia="Calibri" w:cs="Arial"/>
          <w:noProof w:val="0"/>
          <w:szCs w:val="22"/>
          <w:lang w:bidi="ar-SA"/>
        </w:rPr>
        <w:t>).</w:t>
      </w:r>
    </w:p>
    <w:p w:rsidR="00ED5B2D" w:rsidRPr="00ED38E9" w:rsidRDefault="00ED5B2D" w:rsidP="0017046F">
      <w:pPr>
        <w:pStyle w:val="Titulek"/>
        <w:rPr>
          <w:rFonts w:cs="Arial"/>
          <w:lang w:eastAsia="cs-CZ" w:bidi="ar-SA"/>
        </w:rPr>
      </w:pPr>
      <w:r w:rsidRPr="00ED38E9">
        <w:rPr>
          <w:rFonts w:cs="Arial"/>
          <w:lang w:eastAsia="cs-CZ" w:bidi="ar-SA"/>
        </w:rPr>
        <w:lastRenderedPageBreak/>
        <w:t xml:space="preserve">Obrázek </w:t>
      </w:r>
      <w:r w:rsidR="00381FB7" w:rsidRPr="00ED38E9">
        <w:rPr>
          <w:rFonts w:cs="Arial"/>
          <w:lang w:eastAsia="cs-CZ" w:bidi="ar-SA"/>
        </w:rPr>
        <w:fldChar w:fldCharType="begin"/>
      </w:r>
      <w:r w:rsidRPr="00ED38E9">
        <w:rPr>
          <w:rFonts w:cs="Arial"/>
          <w:lang w:eastAsia="cs-CZ" w:bidi="ar-SA"/>
        </w:rPr>
        <w:instrText xml:space="preserve"> SEQ Obrázek \* ARABIC </w:instrText>
      </w:r>
      <w:r w:rsidR="00381FB7" w:rsidRPr="00ED38E9">
        <w:rPr>
          <w:rFonts w:cs="Arial"/>
          <w:lang w:eastAsia="cs-CZ" w:bidi="ar-SA"/>
        </w:rPr>
        <w:fldChar w:fldCharType="separate"/>
      </w:r>
      <w:r w:rsidR="002A3964" w:rsidRPr="00ED38E9">
        <w:rPr>
          <w:rFonts w:cs="Arial"/>
          <w:lang w:eastAsia="cs-CZ" w:bidi="ar-SA"/>
        </w:rPr>
        <w:t>3</w:t>
      </w:r>
      <w:r w:rsidR="00381FB7" w:rsidRPr="00ED38E9">
        <w:rPr>
          <w:rFonts w:cs="Arial"/>
          <w:lang w:eastAsia="cs-CZ" w:bidi="ar-SA"/>
        </w:rPr>
        <w:fldChar w:fldCharType="end"/>
      </w:r>
      <w:r w:rsidRPr="00ED38E9">
        <w:rPr>
          <w:rFonts w:cs="Arial"/>
          <w:lang w:eastAsia="cs-CZ" w:bidi="ar-SA"/>
        </w:rPr>
        <w:t>: Základní charakteristiky systémů nakládání s OEEZ ve vybraných evropských státech</w:t>
      </w:r>
    </w:p>
    <w:p w:rsidR="00ED5B2D" w:rsidRPr="00ED38E9" w:rsidRDefault="00ED5B2D" w:rsidP="00ED5B2D">
      <w:pPr>
        <w:widowControl w:val="0"/>
        <w:spacing w:before="120" w:after="120" w:line="240" w:lineRule="auto"/>
        <w:rPr>
          <w:rFonts w:eastAsia="Calibri" w:cs="Arial"/>
          <w:noProof w:val="0"/>
          <w:szCs w:val="22"/>
          <w:lang w:bidi="ar-SA"/>
        </w:rPr>
      </w:pPr>
      <w:r w:rsidRPr="00ED38E9">
        <w:rPr>
          <w:rFonts w:eastAsia="Calibri" w:cs="Arial"/>
          <w:szCs w:val="22"/>
          <w:lang w:eastAsia="cs-CZ" w:bidi="ar-SA"/>
        </w:rPr>
        <w:drawing>
          <wp:inline distT="0" distB="0" distL="0" distR="0" wp14:anchorId="031B5DFE" wp14:editId="4BF18807">
            <wp:extent cx="5721968" cy="7298266"/>
            <wp:effectExtent l="0" t="0" r="0" b="0"/>
            <wp:docPr id="26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51652" b="1699"/>
                    <a:stretch/>
                  </pic:blipFill>
                  <pic:spPr bwMode="auto">
                    <a:xfrm>
                      <a:off x="0" y="0"/>
                      <a:ext cx="5728767" cy="7306938"/>
                    </a:xfrm>
                    <a:prstGeom prst="rect">
                      <a:avLst/>
                    </a:prstGeom>
                    <a:noFill/>
                    <a:ln>
                      <a:noFill/>
                    </a:ln>
                    <a:extLst>
                      <a:ext uri="{53640926-AAD7-44D8-BBD7-CCE9431645EC}">
                        <a14:shadowObscured xmlns:a14="http://schemas.microsoft.com/office/drawing/2010/main"/>
                      </a:ext>
                    </a:extLst>
                  </pic:spPr>
                </pic:pic>
              </a:graphicData>
            </a:graphic>
          </wp:inline>
        </w:drawing>
      </w:r>
    </w:p>
    <w:p w:rsidR="00ED5B2D" w:rsidRPr="00ED38E9" w:rsidRDefault="00ED5B2D" w:rsidP="00ED5B2D">
      <w:pPr>
        <w:widowControl w:val="0"/>
        <w:spacing w:before="120" w:after="120" w:line="240" w:lineRule="auto"/>
        <w:rPr>
          <w:rFonts w:eastAsia="Calibri" w:cs="Arial"/>
          <w:noProof w:val="0"/>
          <w:szCs w:val="22"/>
          <w:lang w:bidi="ar-SA"/>
        </w:rPr>
      </w:pPr>
      <w:r w:rsidRPr="00ED38E9">
        <w:rPr>
          <w:rFonts w:eastAsia="Calibri" w:cs="Arial"/>
          <w:szCs w:val="22"/>
          <w:lang w:eastAsia="cs-CZ" w:bidi="ar-SA"/>
        </w:rPr>
        <w:lastRenderedPageBreak/>
        <w:drawing>
          <wp:inline distT="0" distB="0" distL="0" distR="0" wp14:anchorId="0BFC5B93" wp14:editId="6B51D783">
            <wp:extent cx="5774266" cy="5994400"/>
            <wp:effectExtent l="0" t="0" r="0" b="0"/>
            <wp:docPr id="264"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8215" r="3037" b="19330"/>
                    <a:stretch/>
                  </pic:blipFill>
                  <pic:spPr bwMode="auto">
                    <a:xfrm>
                      <a:off x="0" y="0"/>
                      <a:ext cx="5774204" cy="5994336"/>
                    </a:xfrm>
                    <a:prstGeom prst="rect">
                      <a:avLst/>
                    </a:prstGeom>
                    <a:noFill/>
                    <a:ln>
                      <a:noFill/>
                    </a:ln>
                    <a:extLst>
                      <a:ext uri="{53640926-AAD7-44D8-BBD7-CCE9431645EC}">
                        <a14:shadowObscured xmlns:a14="http://schemas.microsoft.com/office/drawing/2010/main"/>
                      </a:ext>
                    </a:extLst>
                  </pic:spPr>
                </pic:pic>
              </a:graphicData>
            </a:graphic>
          </wp:inline>
        </w:drawing>
      </w:r>
    </w:p>
    <w:p w:rsidR="00ED5B2D" w:rsidRPr="00ED38E9" w:rsidRDefault="00ED5B2D" w:rsidP="00735D9F">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 xml:space="preserve">Zdroj: </w:t>
      </w:r>
      <w:hyperlink r:id="rId38" w:history="1">
        <w:r w:rsidRPr="00ED38E9">
          <w:rPr>
            <w:rFonts w:cs="Arial"/>
            <w:i/>
            <w:iCs/>
            <w:noProof w:val="0"/>
            <w:color w:val="000000"/>
            <w:sz w:val="20"/>
            <w:szCs w:val="20"/>
            <w:lang w:eastAsia="cs-CZ" w:bidi="ar-SA"/>
          </w:rPr>
          <w:t>www.unep.org</w:t>
        </w:r>
      </w:hyperlink>
      <w:r w:rsidRPr="00ED38E9">
        <w:rPr>
          <w:rFonts w:cs="Arial"/>
          <w:i/>
          <w:iCs/>
          <w:noProof w:val="0"/>
          <w:color w:val="000000"/>
          <w:sz w:val="20"/>
          <w:szCs w:val="20"/>
          <w:lang w:eastAsia="cs-CZ" w:bidi="ar-SA"/>
        </w:rPr>
        <w:t xml:space="preserve">, </w:t>
      </w:r>
      <w:hyperlink r:id="rId39" w:history="1">
        <w:r w:rsidRPr="00ED38E9">
          <w:rPr>
            <w:rFonts w:cs="Arial"/>
            <w:i/>
            <w:iCs/>
            <w:noProof w:val="0"/>
            <w:color w:val="000000"/>
            <w:sz w:val="20"/>
            <w:szCs w:val="20"/>
            <w:lang w:eastAsia="cs-CZ" w:bidi="ar-SA"/>
          </w:rPr>
          <w:t>http://ec.europa.eu/environment/waste/weee</w:t>
        </w:r>
      </w:hyperlink>
    </w:p>
    <w:p w:rsidR="00ED5B2D" w:rsidRPr="00ED38E9" w:rsidRDefault="00ED5B2D" w:rsidP="00152383">
      <w:pPr>
        <w:pStyle w:val="Normln-tun"/>
        <w:rPr>
          <w:rFonts w:cs="Arial"/>
        </w:rPr>
      </w:pPr>
      <w:r w:rsidRPr="00ED38E9">
        <w:rPr>
          <w:rFonts w:cs="Arial"/>
        </w:rPr>
        <w:t>Německo</w:t>
      </w:r>
    </w:p>
    <w:p w:rsidR="00ED5B2D" w:rsidRPr="00ED38E9" w:rsidRDefault="00ED5B2D" w:rsidP="000B6E9B">
      <w:pPr>
        <w:rPr>
          <w:rFonts w:eastAsia="Calibri" w:cs="Arial"/>
          <w:noProof w:val="0"/>
          <w:szCs w:val="22"/>
          <w:lang w:bidi="ar-SA"/>
        </w:rPr>
      </w:pPr>
      <w:r w:rsidRPr="00ED38E9">
        <w:rPr>
          <w:rFonts w:eastAsia="Calibri" w:cs="Arial"/>
          <w:noProof w:val="0"/>
          <w:szCs w:val="22"/>
          <w:lang w:bidi="ar-SA"/>
        </w:rPr>
        <w:t xml:space="preserve">Zpětný odběr OEEZ v Německu je legislativně zakotven v tzv. </w:t>
      </w:r>
      <w:proofErr w:type="spellStart"/>
      <w:r w:rsidRPr="00ED38E9">
        <w:rPr>
          <w:rFonts w:eastAsia="Calibri" w:cs="Arial"/>
          <w:noProof w:val="0"/>
          <w:szCs w:val="22"/>
          <w:lang w:bidi="ar-SA"/>
        </w:rPr>
        <w:t>ElektroG</w:t>
      </w:r>
      <w:proofErr w:type="spellEnd"/>
      <w:r w:rsidRPr="00ED38E9">
        <w:rPr>
          <w:rFonts w:eastAsia="Calibri" w:cs="Arial"/>
          <w:noProof w:val="0"/>
          <w:szCs w:val="22"/>
          <w:vertAlign w:val="superscript"/>
          <w:lang w:bidi="ar-SA"/>
        </w:rPr>
        <w:footnoteReference w:id="3"/>
      </w:r>
      <w:r w:rsidRPr="00ED38E9">
        <w:rPr>
          <w:rFonts w:eastAsia="Calibri" w:cs="Arial"/>
          <w:noProof w:val="0"/>
          <w:szCs w:val="22"/>
          <w:lang w:bidi="ar-SA"/>
        </w:rPr>
        <w:t xml:space="preserve"> (zákon o elektrických a elektronických zařízeních), který vedle povinností výrobce EEZ řeší také problematiku operátora</w:t>
      </w:r>
      <w:r w:rsidR="007F6B6C">
        <w:rPr>
          <w:rFonts w:eastAsia="Calibri" w:cs="Arial"/>
          <w:noProof w:val="0"/>
          <w:szCs w:val="22"/>
          <w:lang w:bidi="ar-SA"/>
        </w:rPr>
        <w:t xml:space="preserve"> (v návrhu zákona je použit název Kompetenční centrum)</w:t>
      </w:r>
      <w:r w:rsidRPr="00ED38E9">
        <w:rPr>
          <w:rFonts w:eastAsia="Calibri" w:cs="Arial"/>
          <w:noProof w:val="0"/>
          <w:szCs w:val="22"/>
          <w:lang w:bidi="ar-SA"/>
        </w:rPr>
        <w:t xml:space="preserve"> na trhu OEEZ, kolektivní systémy, tedy oblasti řešené dále v této RIA.</w:t>
      </w:r>
    </w:p>
    <w:p w:rsidR="00ED5B2D" w:rsidRPr="00ED38E9" w:rsidRDefault="00ED5B2D" w:rsidP="000B6E9B">
      <w:pPr>
        <w:rPr>
          <w:rFonts w:eastAsia="Calibri" w:cs="Arial"/>
          <w:noProof w:val="0"/>
          <w:szCs w:val="22"/>
          <w:lang w:bidi="ar-SA"/>
        </w:rPr>
      </w:pPr>
      <w:r w:rsidRPr="00ED38E9">
        <w:rPr>
          <w:rFonts w:eastAsia="Calibri" w:cs="Arial"/>
          <w:noProof w:val="0"/>
          <w:szCs w:val="22"/>
          <w:lang w:bidi="ar-SA"/>
        </w:rPr>
        <w:t>Za zpětný odběr a zpracování OEEZ je v Německu odpovědný výrobce (pro zjednodušení je v rámci tohoto textu uveden pojem výrobce, znamená to subjekt, který uvede EEZ na trh, tedy např. i importér), který musí být registrován u EAR (německý operátor trhu EEZ) a UBA (německé Ministerstvo Životního prostředí).</w:t>
      </w:r>
    </w:p>
    <w:p w:rsidR="00ED5B2D" w:rsidRPr="00ED38E9" w:rsidRDefault="00ED5B2D" w:rsidP="0017046F">
      <w:pPr>
        <w:pStyle w:val="Titulek"/>
        <w:rPr>
          <w:rFonts w:cs="Arial"/>
          <w:lang w:eastAsia="cs-CZ" w:bidi="ar-SA"/>
        </w:rPr>
      </w:pPr>
      <w:r w:rsidRPr="00ED38E9">
        <w:rPr>
          <w:rFonts w:cs="Arial"/>
          <w:lang w:eastAsia="cs-CZ" w:bidi="ar-SA"/>
        </w:rPr>
        <w:lastRenderedPageBreak/>
        <w:t xml:space="preserve">Obrázek </w:t>
      </w:r>
      <w:r w:rsidR="00381FB7" w:rsidRPr="00ED38E9">
        <w:rPr>
          <w:rFonts w:cs="Arial"/>
          <w:lang w:eastAsia="cs-CZ" w:bidi="ar-SA"/>
        </w:rPr>
        <w:fldChar w:fldCharType="begin"/>
      </w:r>
      <w:r w:rsidRPr="00ED38E9">
        <w:rPr>
          <w:rFonts w:cs="Arial"/>
          <w:lang w:eastAsia="cs-CZ" w:bidi="ar-SA"/>
        </w:rPr>
        <w:instrText xml:space="preserve"> SEQ Obrázek \* ARABIC </w:instrText>
      </w:r>
      <w:r w:rsidR="00381FB7" w:rsidRPr="00ED38E9">
        <w:rPr>
          <w:rFonts w:cs="Arial"/>
          <w:lang w:eastAsia="cs-CZ" w:bidi="ar-SA"/>
        </w:rPr>
        <w:fldChar w:fldCharType="separate"/>
      </w:r>
      <w:r w:rsidR="002A3964" w:rsidRPr="00ED38E9">
        <w:rPr>
          <w:rFonts w:cs="Arial"/>
          <w:lang w:eastAsia="cs-CZ" w:bidi="ar-SA"/>
        </w:rPr>
        <w:t>4</w:t>
      </w:r>
      <w:r w:rsidR="00381FB7" w:rsidRPr="00ED38E9">
        <w:rPr>
          <w:rFonts w:cs="Arial"/>
          <w:lang w:eastAsia="cs-CZ" w:bidi="ar-SA"/>
        </w:rPr>
        <w:fldChar w:fldCharType="end"/>
      </w:r>
      <w:r w:rsidRPr="00ED38E9">
        <w:rPr>
          <w:rFonts w:cs="Arial"/>
          <w:lang w:eastAsia="cs-CZ" w:bidi="ar-SA"/>
        </w:rPr>
        <w:t>: Přehled fungování systému v Německu</w:t>
      </w:r>
    </w:p>
    <w:p w:rsidR="00ED5B2D" w:rsidRPr="00ED38E9" w:rsidRDefault="00ED5B2D" w:rsidP="00ED5B2D">
      <w:pPr>
        <w:keepNext/>
        <w:widowControl w:val="0"/>
        <w:spacing w:before="120" w:after="120" w:line="240" w:lineRule="auto"/>
        <w:rPr>
          <w:rFonts w:eastAsia="Calibri" w:cs="Arial"/>
          <w:noProof w:val="0"/>
          <w:szCs w:val="22"/>
          <w:lang w:bidi="ar-SA"/>
        </w:rPr>
      </w:pPr>
      <w:r w:rsidRPr="00ED38E9">
        <w:rPr>
          <w:rFonts w:eastAsia="Calibri" w:cs="Arial"/>
          <w:szCs w:val="22"/>
          <w:lang w:eastAsia="cs-CZ" w:bidi="ar-SA"/>
        </w:rPr>
        <w:drawing>
          <wp:inline distT="0" distB="0" distL="0" distR="0" wp14:anchorId="3DC5B6E0" wp14:editId="650573A2">
            <wp:extent cx="5448422" cy="5048250"/>
            <wp:effectExtent l="0" t="0" r="0" b="0"/>
            <wp:docPr id="265"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48554" cy="5048372"/>
                    </a:xfrm>
                    <a:prstGeom prst="rect">
                      <a:avLst/>
                    </a:prstGeom>
                    <a:noFill/>
                  </pic:spPr>
                </pic:pic>
              </a:graphicData>
            </a:graphic>
          </wp:inline>
        </w:drawing>
      </w:r>
    </w:p>
    <w:p w:rsidR="00ED5B2D" w:rsidRPr="00ED38E9" w:rsidRDefault="00ED5B2D" w:rsidP="00133D67">
      <w:pPr>
        <w:widowControl w:val="0"/>
        <w:rPr>
          <w:rFonts w:cs="Arial"/>
          <w:i/>
          <w:iCs/>
          <w:noProof w:val="0"/>
          <w:color w:val="000000"/>
          <w:sz w:val="20"/>
          <w:szCs w:val="20"/>
          <w:lang w:eastAsia="cs-CZ" w:bidi="ar-SA"/>
        </w:rPr>
      </w:pPr>
      <w:proofErr w:type="spellStart"/>
      <w:r w:rsidRPr="00ED38E9">
        <w:rPr>
          <w:rFonts w:cs="Arial"/>
          <w:i/>
          <w:iCs/>
          <w:noProof w:val="0"/>
          <w:color w:val="000000"/>
          <w:sz w:val="20"/>
          <w:szCs w:val="20"/>
          <w:lang w:eastAsia="cs-CZ" w:bidi="ar-SA"/>
        </w:rPr>
        <w:t>Zdroj:EEIP</w:t>
      </w:r>
      <w:proofErr w:type="spellEnd"/>
    </w:p>
    <w:p w:rsidR="00ED5B2D" w:rsidRPr="00212AB8" w:rsidRDefault="00ED5B2D" w:rsidP="00937B55">
      <w:pPr>
        <w:spacing w:before="120"/>
        <w:rPr>
          <w:rFonts w:eastAsia="Calibri"/>
          <w:noProof w:val="0"/>
          <w:szCs w:val="22"/>
          <w:lang w:bidi="ar-SA"/>
        </w:rPr>
      </w:pPr>
      <w:r w:rsidRPr="00CA69D0">
        <w:rPr>
          <w:rFonts w:eastAsia="Calibri"/>
          <w:noProof w:val="0"/>
          <w:szCs w:val="22"/>
          <w:lang w:bidi="ar-SA"/>
        </w:rPr>
        <w:t>Životní cyklus EEZ začíná jeho uvedením na trh, kde je zakoupen spotřebitelem. Po skončení jeho životnosti ho spotřebitel o</w:t>
      </w:r>
      <w:r w:rsidRPr="00097EE6">
        <w:rPr>
          <w:rFonts w:eastAsia="Calibri"/>
          <w:noProof w:val="0"/>
          <w:szCs w:val="22"/>
          <w:lang w:bidi="ar-SA"/>
        </w:rPr>
        <w:t xml:space="preserve">devzdá na odběrovém místě, které v Německu provozuje </w:t>
      </w:r>
      <w:proofErr w:type="spellStart"/>
      <w:r w:rsidRPr="00097EE6">
        <w:rPr>
          <w:rFonts w:eastAsia="Calibri"/>
          <w:noProof w:val="0"/>
          <w:szCs w:val="22"/>
          <w:lang w:bidi="ar-SA"/>
        </w:rPr>
        <w:t>örE</w:t>
      </w:r>
      <w:proofErr w:type="spellEnd"/>
      <w:r w:rsidRPr="00D12FE4">
        <w:rPr>
          <w:rFonts w:eastAsia="Calibri"/>
          <w:noProof w:val="0"/>
          <w:szCs w:val="22"/>
          <w:vertAlign w:val="superscript"/>
          <w:lang w:bidi="ar-SA"/>
        </w:rPr>
        <w:footnoteReference w:id="4"/>
      </w:r>
      <w:r w:rsidRPr="008F41B6">
        <w:rPr>
          <w:rFonts w:eastAsia="Calibri"/>
          <w:noProof w:val="0"/>
          <w:szCs w:val="22"/>
          <w:lang w:bidi="ar-SA"/>
        </w:rPr>
        <w:t xml:space="preserve"> (za což je finančně kompenzován výrobcem). Odpovědnost za transport</w:t>
      </w:r>
      <w:r w:rsidRPr="0092438A">
        <w:rPr>
          <w:rFonts w:eastAsia="Calibri"/>
          <w:noProof w:val="0"/>
          <w:szCs w:val="22"/>
          <w:vertAlign w:val="superscript"/>
          <w:lang w:bidi="ar-SA"/>
        </w:rPr>
        <w:footnoteReference w:id="5"/>
      </w:r>
      <w:r w:rsidRPr="00212AB8">
        <w:rPr>
          <w:rFonts w:eastAsia="Calibri"/>
          <w:noProof w:val="0"/>
          <w:szCs w:val="22"/>
          <w:lang w:bidi="ar-SA"/>
        </w:rPr>
        <w:t xml:space="preserve"> z odběrných míst a další zpracování OEEZ již přebírá výrobce. Existují tři možnosti: </w:t>
      </w:r>
    </w:p>
    <w:p w:rsidR="00ED5B2D" w:rsidRPr="00242695" w:rsidRDefault="00ED5B2D" w:rsidP="002D66F0">
      <w:pPr>
        <w:widowControl w:val="0"/>
        <w:numPr>
          <w:ilvl w:val="0"/>
          <w:numId w:val="50"/>
        </w:numPr>
        <w:spacing w:after="200"/>
        <w:ind w:left="357" w:hanging="357"/>
        <w:contextualSpacing/>
        <w:rPr>
          <w:rFonts w:eastAsia="Calibri"/>
          <w:noProof w:val="0"/>
          <w:szCs w:val="22"/>
          <w:lang w:bidi="ar-SA"/>
        </w:rPr>
      </w:pPr>
      <w:r w:rsidRPr="00E37D0B">
        <w:rPr>
          <w:rFonts w:eastAsia="Calibri"/>
          <w:noProof w:val="0"/>
          <w:szCs w:val="22"/>
          <w:lang w:bidi="ar-SA"/>
        </w:rPr>
        <w:t>Výrobce je členem kolektivního systému (KS)</w:t>
      </w:r>
      <w:r w:rsidRPr="00242695">
        <w:rPr>
          <w:rFonts w:eastAsia="Calibri"/>
          <w:noProof w:val="0"/>
          <w:szCs w:val="22"/>
          <w:lang w:bidi="ar-SA"/>
        </w:rPr>
        <w:t xml:space="preserve">, který zajišťuje (sám nebo pomocí subdodavatelů) výše uvedené činnosti. </w:t>
      </w:r>
    </w:p>
    <w:p w:rsidR="00ED5B2D" w:rsidRPr="002E1F28" w:rsidRDefault="00ED5B2D" w:rsidP="002D66F0">
      <w:pPr>
        <w:widowControl w:val="0"/>
        <w:numPr>
          <w:ilvl w:val="0"/>
          <w:numId w:val="50"/>
        </w:numPr>
        <w:spacing w:after="200"/>
        <w:ind w:left="357" w:hanging="357"/>
        <w:contextualSpacing/>
        <w:rPr>
          <w:rFonts w:eastAsia="Calibri"/>
          <w:noProof w:val="0"/>
          <w:szCs w:val="22"/>
          <w:lang w:bidi="ar-SA"/>
        </w:rPr>
      </w:pPr>
      <w:r w:rsidRPr="002E1F28">
        <w:rPr>
          <w:rFonts w:eastAsia="Calibri"/>
          <w:noProof w:val="0"/>
          <w:szCs w:val="22"/>
          <w:lang w:bidi="ar-SA"/>
        </w:rPr>
        <w:t>Výrobce sám uzavře smlouvu se společností zajišťující transport respektive zpracování OEEZ.</w:t>
      </w:r>
    </w:p>
    <w:p w:rsidR="00ED5B2D" w:rsidRPr="00530496" w:rsidRDefault="00ED5B2D" w:rsidP="002D66F0">
      <w:pPr>
        <w:widowControl w:val="0"/>
        <w:numPr>
          <w:ilvl w:val="0"/>
          <w:numId w:val="50"/>
        </w:numPr>
        <w:spacing w:after="200"/>
        <w:ind w:left="357" w:hanging="357"/>
        <w:contextualSpacing/>
        <w:rPr>
          <w:rFonts w:eastAsia="Calibri"/>
          <w:noProof w:val="0"/>
          <w:szCs w:val="22"/>
          <w:lang w:bidi="ar-SA"/>
        </w:rPr>
      </w:pPr>
      <w:r w:rsidRPr="002E1F28">
        <w:rPr>
          <w:rFonts w:eastAsia="Calibri"/>
          <w:noProof w:val="0"/>
          <w:szCs w:val="22"/>
          <w:lang w:bidi="ar-SA"/>
        </w:rPr>
        <w:t>Výrobce sám uzavře smlouvu se společností zajišťující transport respektive zpracování OEEZ</w:t>
      </w:r>
      <w:r w:rsidRPr="00530496">
        <w:rPr>
          <w:rFonts w:eastAsia="Calibri"/>
          <w:noProof w:val="0"/>
          <w:szCs w:val="22"/>
          <w:lang w:bidi="ar-SA"/>
        </w:rPr>
        <w:t>. Navíc výrobce uzavře smlouvu s </w:t>
      </w:r>
      <w:proofErr w:type="spellStart"/>
      <w:r w:rsidRPr="00530496">
        <w:rPr>
          <w:rFonts w:eastAsia="Calibri"/>
          <w:noProof w:val="0"/>
          <w:szCs w:val="22"/>
          <w:lang w:bidi="ar-SA"/>
        </w:rPr>
        <w:t>örE</w:t>
      </w:r>
      <w:proofErr w:type="spellEnd"/>
      <w:r w:rsidRPr="00530496">
        <w:rPr>
          <w:rFonts w:eastAsia="Calibri"/>
          <w:noProof w:val="0"/>
          <w:szCs w:val="22"/>
          <w:lang w:bidi="ar-SA"/>
        </w:rPr>
        <w:t xml:space="preserve"> na odběr zařízení pouze jeho značky (tato možnost je velmi nákladná, v praxi není příliš často využívaná). </w:t>
      </w:r>
    </w:p>
    <w:p w:rsidR="00F04392" w:rsidRPr="003748C7" w:rsidRDefault="00ED5B2D" w:rsidP="002D66F0">
      <w:pPr>
        <w:widowControl w:val="0"/>
        <w:numPr>
          <w:ilvl w:val="0"/>
          <w:numId w:val="50"/>
        </w:numPr>
        <w:spacing w:after="200"/>
        <w:ind w:left="0" w:firstLine="0"/>
        <w:contextualSpacing/>
        <w:rPr>
          <w:rFonts w:eastAsia="Calibri"/>
          <w:noProof w:val="0"/>
          <w:szCs w:val="22"/>
          <w:lang w:bidi="ar-SA"/>
        </w:rPr>
      </w:pPr>
      <w:r w:rsidRPr="003748C7">
        <w:rPr>
          <w:rFonts w:eastAsia="Calibri"/>
          <w:noProof w:val="0"/>
          <w:szCs w:val="22"/>
          <w:lang w:bidi="ar-SA"/>
        </w:rPr>
        <w:lastRenderedPageBreak/>
        <w:t xml:space="preserve">EAR podle podílu výrobce na trh uvedených výrobků EEZ určuje, za jaké množství OEEZ výrobce odpovídá (např. výrobce A uvede na trh 5 % EEZ z celkového počtu EEZ uvedených na německý trh, musí se tedy postarat o 5 % zpětně odebraných EEZ v Německu). </w:t>
      </w:r>
    </w:p>
    <w:p w:rsidR="00ED5B2D" w:rsidRPr="000C7590" w:rsidRDefault="00ED5B2D" w:rsidP="00133D67">
      <w:pPr>
        <w:rPr>
          <w:rFonts w:eastAsia="Calibri"/>
          <w:noProof w:val="0"/>
          <w:szCs w:val="22"/>
          <w:lang w:bidi="ar-SA"/>
        </w:rPr>
      </w:pPr>
      <w:r w:rsidRPr="0029509F">
        <w:rPr>
          <w:rFonts w:eastAsia="Calibri"/>
          <w:noProof w:val="0"/>
          <w:szCs w:val="22"/>
          <w:lang w:bidi="ar-SA"/>
        </w:rPr>
        <w:t>Po zpracování OEEZ dojde k recyklaci části výrobku a jejich opětovnému použití, čímž je uzavřen životní cyklus výrobk</w:t>
      </w:r>
      <w:r w:rsidRPr="000C7590">
        <w:rPr>
          <w:rFonts w:eastAsia="Calibri"/>
          <w:noProof w:val="0"/>
          <w:szCs w:val="22"/>
          <w:lang w:bidi="ar-SA"/>
        </w:rPr>
        <w:t xml:space="preserve">u. </w:t>
      </w:r>
    </w:p>
    <w:p w:rsidR="00ED5B2D" w:rsidRPr="00CA69D0" w:rsidRDefault="00ED5B2D" w:rsidP="00792DBC">
      <w:pPr>
        <w:keepNext/>
        <w:spacing w:before="240"/>
        <w:rPr>
          <w:rStyle w:val="Siln"/>
          <w:rFonts w:eastAsia="Calibri"/>
          <w:i/>
        </w:rPr>
      </w:pPr>
      <w:r w:rsidRPr="00CA69D0">
        <w:rPr>
          <w:rStyle w:val="Siln"/>
          <w:rFonts w:eastAsia="Calibri"/>
          <w:i/>
        </w:rPr>
        <w:t xml:space="preserve">Operátor  </w:t>
      </w:r>
      <w:r w:rsidRPr="00CA69D0">
        <w:rPr>
          <w:rStyle w:val="Zvraznn"/>
          <w:rFonts w:ascii="Times New Roman" w:eastAsia="Calibri" w:hAnsi="Times New Roman"/>
          <w:sz w:val="24"/>
        </w:rPr>
        <w:t>EAR</w:t>
      </w:r>
    </w:p>
    <w:p w:rsidR="00ED5B2D" w:rsidRPr="00212AB8" w:rsidRDefault="00ED5B2D" w:rsidP="00133D67">
      <w:pPr>
        <w:widowControl w:val="0"/>
      </w:pPr>
      <w:r w:rsidRPr="00097EE6">
        <w:t>ElektroG určuje německým výrobcům EEZ povinnost vytvoření tzv. „Gemeinsame Stelle“ (v překladu společné místo), které plní funk</w:t>
      </w:r>
      <w:r w:rsidRPr="00D12FE4">
        <w:t>ce jako v této RIA uvažovaný operátor. Tímto operátorem je v Německu EAR (Stiftung EAR – Elektro-Altgeräte Regi</w:t>
      </w:r>
      <w:r w:rsidRPr="0092438A">
        <w:t>ster). V Německu je tedy operátor EEZ povinný. Německá legislativa uložila výrobcům povinnost založit operátora, ti tuto povinnost splnili založe</w:t>
      </w:r>
      <w:r w:rsidRPr="00212AB8">
        <w:t>ním EAR; nyní tedy všichni výrobci musí jako operátora využívat EAR.</w:t>
      </w:r>
    </w:p>
    <w:p w:rsidR="00ED5B2D" w:rsidRPr="002E1F28" w:rsidRDefault="00ED5B2D" w:rsidP="00133D67">
      <w:pPr>
        <w:widowControl w:val="0"/>
        <w:rPr>
          <w:rFonts w:eastAsia="Calibri"/>
          <w:noProof w:val="0"/>
          <w:szCs w:val="22"/>
          <w:lang w:bidi="ar-SA"/>
        </w:rPr>
      </w:pPr>
      <w:r w:rsidRPr="00E37D0B">
        <w:t xml:space="preserve">EAR byla založena výrobci EEZ v roce 2005 </w:t>
      </w:r>
      <w:r w:rsidRPr="00242695">
        <w:t>a má formu veřejné nadace (tj. neziskové organizace). Od výrobců vybírá poplatky na plnění úkolů uvedených v ElektroG, mezi které patří především:</w:t>
      </w:r>
    </w:p>
    <w:p w:rsidR="00ED5B2D" w:rsidRPr="002E1F28" w:rsidRDefault="00ED5B2D" w:rsidP="002D66F0">
      <w:pPr>
        <w:pStyle w:val="Odstavecseseznamem"/>
        <w:numPr>
          <w:ilvl w:val="0"/>
          <w:numId w:val="66"/>
        </w:numPr>
        <w:spacing w:after="200"/>
        <w:rPr>
          <w:rFonts w:eastAsia="Calibri"/>
          <w:b/>
          <w:noProof w:val="0"/>
          <w:szCs w:val="22"/>
          <w:lang w:bidi="ar-SA"/>
        </w:rPr>
      </w:pPr>
      <w:r w:rsidRPr="002E1F28">
        <w:rPr>
          <w:rFonts w:eastAsia="Calibri"/>
          <w:b/>
          <w:noProof w:val="0"/>
          <w:szCs w:val="22"/>
          <w:lang w:bidi="ar-SA"/>
        </w:rPr>
        <w:t>Registrace výrobců</w:t>
      </w:r>
    </w:p>
    <w:p w:rsidR="00ED5B2D" w:rsidRPr="003748C7" w:rsidRDefault="00ED5B2D" w:rsidP="002D66F0">
      <w:pPr>
        <w:pStyle w:val="Odstavecseseznamem"/>
        <w:numPr>
          <w:ilvl w:val="0"/>
          <w:numId w:val="66"/>
        </w:numPr>
        <w:spacing w:after="200"/>
        <w:rPr>
          <w:rFonts w:eastAsia="Calibri"/>
          <w:b/>
          <w:noProof w:val="0"/>
          <w:szCs w:val="22"/>
          <w:lang w:bidi="ar-SA"/>
        </w:rPr>
      </w:pPr>
      <w:r w:rsidRPr="00530496">
        <w:rPr>
          <w:rFonts w:eastAsia="Calibri"/>
          <w:b/>
          <w:noProof w:val="0"/>
          <w:szCs w:val="22"/>
          <w:lang w:bidi="ar-SA"/>
        </w:rPr>
        <w:t>Výpočet EEZ uvedených na trh (a na základě toho výpočet, za kolik zpětně odebraných OEEZ k</w:t>
      </w:r>
      <w:r w:rsidRPr="003748C7">
        <w:rPr>
          <w:rFonts w:eastAsia="Calibri"/>
          <w:b/>
          <w:noProof w:val="0"/>
          <w:szCs w:val="22"/>
          <w:lang w:bidi="ar-SA"/>
        </w:rPr>
        <w:t>terý výrobce zodpovídá)</w:t>
      </w:r>
    </w:p>
    <w:p w:rsidR="00ED5B2D" w:rsidRPr="003748C7" w:rsidRDefault="00ED5B2D" w:rsidP="002D66F0">
      <w:pPr>
        <w:pStyle w:val="Odstavecseseznamem"/>
        <w:numPr>
          <w:ilvl w:val="0"/>
          <w:numId w:val="66"/>
        </w:numPr>
        <w:spacing w:after="200"/>
        <w:rPr>
          <w:rFonts w:eastAsia="Calibri"/>
          <w:b/>
          <w:noProof w:val="0"/>
          <w:szCs w:val="22"/>
          <w:lang w:bidi="ar-SA"/>
        </w:rPr>
      </w:pPr>
      <w:r w:rsidRPr="003748C7">
        <w:rPr>
          <w:rFonts w:eastAsia="Calibri"/>
          <w:b/>
          <w:noProof w:val="0"/>
          <w:szCs w:val="22"/>
          <w:lang w:bidi="ar-SA"/>
        </w:rPr>
        <w:t xml:space="preserve">Koordinace svozu OEEZ ze sběrných míst </w:t>
      </w:r>
      <w:proofErr w:type="spellStart"/>
      <w:r w:rsidRPr="003748C7">
        <w:rPr>
          <w:rFonts w:eastAsia="Calibri"/>
          <w:b/>
          <w:noProof w:val="0"/>
          <w:szCs w:val="22"/>
          <w:lang w:bidi="ar-SA"/>
        </w:rPr>
        <w:t>örE</w:t>
      </w:r>
      <w:proofErr w:type="spellEnd"/>
      <w:r w:rsidRPr="003748C7">
        <w:rPr>
          <w:rFonts w:eastAsia="Calibri"/>
          <w:b/>
          <w:noProof w:val="0"/>
          <w:szCs w:val="22"/>
          <w:lang w:bidi="ar-SA"/>
        </w:rPr>
        <w:t xml:space="preserve"> výrobci či kolektivními systémy</w:t>
      </w:r>
    </w:p>
    <w:p w:rsidR="00ED5B2D" w:rsidRPr="0029509F" w:rsidRDefault="00ED5B2D" w:rsidP="002D66F0">
      <w:pPr>
        <w:pStyle w:val="Odstavecseseznamem"/>
        <w:numPr>
          <w:ilvl w:val="0"/>
          <w:numId w:val="66"/>
        </w:numPr>
        <w:spacing w:after="200"/>
        <w:rPr>
          <w:rFonts w:eastAsia="Calibri"/>
          <w:noProof w:val="0"/>
          <w:szCs w:val="22"/>
          <w:lang w:bidi="ar-SA"/>
        </w:rPr>
      </w:pPr>
      <w:r w:rsidRPr="0029509F">
        <w:rPr>
          <w:rFonts w:eastAsia="Calibri"/>
          <w:noProof w:val="0"/>
          <w:szCs w:val="22"/>
          <w:lang w:bidi="ar-SA"/>
        </w:rPr>
        <w:t>Podávání hlášení o OEEZ na UBA</w:t>
      </w:r>
    </w:p>
    <w:p w:rsidR="00ED5B2D" w:rsidRPr="000C7590" w:rsidRDefault="00ED5B2D" w:rsidP="00133D67">
      <w:pPr>
        <w:widowControl w:val="0"/>
      </w:pPr>
      <w:r w:rsidRPr="000C7590">
        <w:t>EAR nemůže zasahovat do toho, jakým způsobem výrobci plní své povinnosti (např. nesmí mít vazby na zpracovatele OEEZ apod.)</w:t>
      </w:r>
    </w:p>
    <w:p w:rsidR="00ED5B2D" w:rsidRPr="000C7590" w:rsidRDefault="00ED5B2D" w:rsidP="00133D67">
      <w:pPr>
        <w:widowControl w:val="0"/>
        <w:rPr>
          <w:b/>
        </w:rPr>
      </w:pPr>
      <w:r w:rsidRPr="000C7590">
        <w:rPr>
          <w:b/>
        </w:rPr>
        <w:t>Jak vyplývá z výše uvedených činností EAR, plní operátor v Německu jak funkci evidenčního centra, tak funkci zúčtovací.</w:t>
      </w:r>
    </w:p>
    <w:p w:rsidR="00ED5B2D" w:rsidRPr="005F42B3" w:rsidRDefault="00ED5B2D" w:rsidP="00133D67">
      <w:pPr>
        <w:widowControl w:val="0"/>
        <w:rPr>
          <w:rFonts w:eastAsia="Calibri"/>
          <w:noProof w:val="0"/>
          <w:szCs w:val="22"/>
          <w:lang w:bidi="ar-SA"/>
        </w:rPr>
      </w:pPr>
      <w:r w:rsidRPr="000C7590">
        <w:rPr>
          <w:b/>
        </w:rPr>
        <w:t>Aby se výrobce mohl u EAR a UBA registrovat, musí poskytnout garanci</w:t>
      </w:r>
      <w:r w:rsidRPr="001F7AC0">
        <w:t xml:space="preserve"> (na následující rok na množství EEZ které plánuje uvést na trh), že i v případě jeho insolvence bude profinancován zpětný odběr a zpracování jeho alikvotní části OEEZ, většinou ve formě pojištění, prostředků složených na účtu určeném k tomuto účelu, nebo ve formě účasti v organizaci vytvořené za tímto účelem.</w:t>
      </w:r>
    </w:p>
    <w:p w:rsidR="00ED5B2D" w:rsidRPr="00C0118D" w:rsidRDefault="00ED5B2D" w:rsidP="00792DBC">
      <w:pPr>
        <w:keepNext/>
        <w:spacing w:before="240"/>
        <w:rPr>
          <w:rStyle w:val="Siln"/>
          <w:rFonts w:eastAsia="Calibri"/>
          <w:i/>
        </w:rPr>
      </w:pPr>
      <w:r w:rsidRPr="00B24116">
        <w:rPr>
          <w:rStyle w:val="Zvraznn"/>
          <w:rFonts w:ascii="Times New Roman" w:hAnsi="Times New Roman"/>
          <w:sz w:val="24"/>
        </w:rPr>
        <w:t>Kolektivní</w:t>
      </w:r>
      <w:r w:rsidRPr="00B24116">
        <w:rPr>
          <w:rStyle w:val="Siln"/>
          <w:rFonts w:eastAsia="Calibri"/>
          <w:i/>
        </w:rPr>
        <w:t xml:space="preserve"> sys</w:t>
      </w:r>
      <w:r w:rsidRPr="0006792F">
        <w:rPr>
          <w:rStyle w:val="Siln"/>
          <w:rFonts w:eastAsia="Calibri"/>
          <w:i/>
        </w:rPr>
        <w:t>témy</w:t>
      </w:r>
    </w:p>
    <w:p w:rsidR="00ED5B2D" w:rsidRPr="00CA69D0" w:rsidRDefault="00ED5B2D" w:rsidP="00133D67">
      <w:pPr>
        <w:widowControl w:val="0"/>
      </w:pPr>
      <w:r w:rsidRPr="00474DE8">
        <w:t>Jak již bylo uvedeno, výrobci EEZ v Německu mohou plnit svoji povinnost odběru a</w:t>
      </w:r>
      <w:r w:rsidR="00F635E4" w:rsidRPr="00474DE8">
        <w:t> </w:t>
      </w:r>
      <w:r w:rsidRPr="00042A18">
        <w:t>recyklace OEEZ pomocí kolektivních systémů (ale nemusí, mohou uzavírat individuální smlouvy se zpracovateli a svozovými společnostmi OEEZ), zodpovědnost však vždy zůstává</w:t>
      </w:r>
      <w:r w:rsidR="00331677" w:rsidRPr="00331677">
        <w:t xml:space="preserve"> na výrobcích. </w:t>
      </w:r>
    </w:p>
    <w:p w:rsidR="00ED5B2D" w:rsidRPr="00CA69D0" w:rsidRDefault="00331677" w:rsidP="00133D67">
      <w:pPr>
        <w:widowControl w:val="0"/>
      </w:pPr>
      <w:r w:rsidRPr="00331677">
        <w:t xml:space="preserve">Právě v oblasti kolektivních systémů tkví hlavní specifikum německého systému nakládání s OEEZ; to spočívá v podpoře konkurence v oblasti působení kolektivních systémů. Jejich množství není nijak omezeno, výrobce může uzavřít smlouvu s kterýmkoliv z nich. Prozatím není stanovena žádná pevná hranice, jaký podíl trhu může konkrétní kolektivní systém ovládat, nicméně u bílého zboží byla tato hranice stanovena na 25% (stanovil Bundeskartellamt – Úřad pro ochranu hospodářské soutěže), proto se dá předpokládat </w:t>
      </w:r>
      <w:r w:rsidRPr="00331677">
        <w:lastRenderedPageBreak/>
        <w:t xml:space="preserve">podobný postup i u ostatních typů EEZ (každý případ je posuzován zvlášť výše uvedeným Úřadem pro ochranu hospodářské soutěže). </w:t>
      </w:r>
    </w:p>
    <w:p w:rsidR="00ED5B2D" w:rsidRPr="00CA69D0" w:rsidRDefault="00331677" w:rsidP="00133D67">
      <w:pPr>
        <w:widowControl w:val="0"/>
        <w:rPr>
          <w:rFonts w:eastAsia="Calibri"/>
          <w:noProof w:val="0"/>
          <w:szCs w:val="22"/>
          <w:lang w:bidi="ar-SA"/>
        </w:rPr>
      </w:pPr>
      <w:r w:rsidRPr="00331677">
        <w:t>Díky výše uvedené skutečnosti působí na německém trhu mnoho kolektivních systémů, např.</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ERP</w:t>
      </w:r>
    </w:p>
    <w:p w:rsidR="00ED5B2D" w:rsidRPr="00CA69D0" w:rsidRDefault="00381FB7" w:rsidP="002D66F0">
      <w:pPr>
        <w:pStyle w:val="Odstavecseseznamem"/>
        <w:numPr>
          <w:ilvl w:val="0"/>
          <w:numId w:val="67"/>
        </w:numPr>
        <w:spacing w:after="200"/>
        <w:rPr>
          <w:rFonts w:eastAsia="Calibri"/>
          <w:noProof w:val="0"/>
          <w:szCs w:val="22"/>
          <w:lang w:bidi="ar-SA"/>
        </w:rPr>
      </w:pPr>
      <w:proofErr w:type="spellStart"/>
      <w:r w:rsidRPr="00381FB7">
        <w:rPr>
          <w:rFonts w:eastAsia="Calibri"/>
          <w:noProof w:val="0"/>
          <w:szCs w:val="22"/>
          <w:lang w:bidi="ar-SA"/>
        </w:rPr>
        <w:t>ProReturn</w:t>
      </w:r>
      <w:proofErr w:type="spellEnd"/>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ENE</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LARS</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Olav</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 xml:space="preserve">BSH – </w:t>
      </w:r>
      <w:proofErr w:type="spellStart"/>
      <w:r w:rsidRPr="00381FB7">
        <w:rPr>
          <w:rFonts w:eastAsia="Calibri"/>
          <w:noProof w:val="0"/>
          <w:szCs w:val="22"/>
          <w:lang w:bidi="ar-SA"/>
        </w:rPr>
        <w:t>Miele</w:t>
      </w:r>
      <w:proofErr w:type="spellEnd"/>
      <w:r w:rsidRPr="00381FB7">
        <w:rPr>
          <w:rFonts w:eastAsia="Calibri"/>
          <w:noProof w:val="0"/>
          <w:szCs w:val="22"/>
          <w:lang w:bidi="ar-SA"/>
        </w:rPr>
        <w:t xml:space="preserve"> – Philips</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ALBA</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DSD</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DHL</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RENE</w:t>
      </w:r>
    </w:p>
    <w:p w:rsidR="00ED5B2D" w:rsidRPr="00CA69D0" w:rsidRDefault="00381FB7" w:rsidP="002D66F0">
      <w:pPr>
        <w:pStyle w:val="Odstavecseseznamem"/>
        <w:numPr>
          <w:ilvl w:val="0"/>
          <w:numId w:val="67"/>
        </w:numPr>
        <w:spacing w:after="200"/>
        <w:rPr>
          <w:rFonts w:eastAsia="Calibri"/>
          <w:noProof w:val="0"/>
          <w:szCs w:val="22"/>
          <w:lang w:bidi="ar-SA"/>
        </w:rPr>
      </w:pPr>
      <w:r w:rsidRPr="00381FB7">
        <w:rPr>
          <w:rFonts w:eastAsia="Calibri"/>
          <w:noProof w:val="0"/>
          <w:szCs w:val="22"/>
          <w:lang w:bidi="ar-SA"/>
        </w:rPr>
        <w:t>a jiné.</w:t>
      </w:r>
    </w:p>
    <w:p w:rsidR="00ED5B2D" w:rsidRPr="00CA69D0" w:rsidRDefault="00381FB7" w:rsidP="00133D67">
      <w:pPr>
        <w:rPr>
          <w:rFonts w:eastAsia="Calibri"/>
          <w:noProof w:val="0"/>
          <w:szCs w:val="22"/>
          <w:lang w:bidi="ar-SA"/>
        </w:rPr>
      </w:pPr>
      <w:r w:rsidRPr="00381FB7">
        <w:rPr>
          <w:rFonts w:eastAsia="Calibri"/>
          <w:noProof w:val="0"/>
          <w:szCs w:val="22"/>
          <w:lang w:bidi="ar-SA"/>
        </w:rPr>
        <w:t xml:space="preserve">Klíčovou charakteristikou tohoto systému je tedy </w:t>
      </w:r>
      <w:r w:rsidRPr="00381FB7">
        <w:rPr>
          <w:rFonts w:eastAsia="Calibri"/>
          <w:b/>
          <w:noProof w:val="0"/>
          <w:szCs w:val="22"/>
          <w:lang w:bidi="ar-SA"/>
        </w:rPr>
        <w:t>velká konkurence</w:t>
      </w:r>
      <w:r w:rsidRPr="00381FB7">
        <w:rPr>
          <w:rFonts w:eastAsia="Calibri"/>
          <w:noProof w:val="0"/>
          <w:szCs w:val="22"/>
          <w:lang w:bidi="ar-SA"/>
        </w:rPr>
        <w:t xml:space="preserve"> mezi kolektivními systémy (a také mezi firmami, které nabízejí transport a zpracování OEEZ výrobcům zvlášť), která má za následek nižší náklady pro výrobce na transport a zpracování OEEZ (na druhé straně vyšší administrativní náklady na chod celého systému)</w:t>
      </w:r>
      <w:r w:rsidRPr="00381FB7">
        <w:rPr>
          <w:rFonts w:eastAsia="Calibri"/>
          <w:noProof w:val="0"/>
          <w:sz w:val="18"/>
          <w:szCs w:val="18"/>
          <w:lang w:bidi="ar-SA"/>
        </w:rPr>
        <w:t xml:space="preserve"> </w:t>
      </w:r>
      <w:r w:rsidRPr="00381FB7">
        <w:rPr>
          <w:rFonts w:eastAsia="Calibri"/>
          <w:noProof w:val="0"/>
          <w:szCs w:val="22"/>
          <w:vertAlign w:val="superscript"/>
          <w:lang w:bidi="ar-SA"/>
        </w:rPr>
        <w:footnoteReference w:id="6"/>
      </w:r>
      <w:r w:rsidRPr="00381FB7">
        <w:rPr>
          <w:rFonts w:eastAsia="Calibri"/>
          <w:noProof w:val="0"/>
          <w:szCs w:val="22"/>
          <w:lang w:bidi="ar-SA"/>
        </w:rPr>
        <w:t>. Tato výhoda může nicméně vyústit také v hlavní nedostatek systému; pokud jsou náklady kolektivních systémů sráženy na minimum, může docházet k tomu, že i náklady na recyklaci OEEZ jsou sráženy na minimum, a není dosaženo „nejlepšího nakládání s OEEZ“, ale „nejlevnějšího nakládání s OEEZ“. Německému systému nakládání s obalovými odpady, který má obdobné charakteristiky jako nakládání s OEEZ, bývá díky otevřenosti systému často vyčítána také velká nepřehlednost a obtížný monitoring, z čehož plyne možnost vyhýbání se povinnosti nahlášení výrobků (tedy obalů) operátorovi</w:t>
      </w:r>
      <w:r w:rsidRPr="00381FB7">
        <w:rPr>
          <w:rFonts w:eastAsia="Calibri"/>
          <w:noProof w:val="0"/>
          <w:sz w:val="18"/>
          <w:szCs w:val="18"/>
          <w:lang w:bidi="ar-SA"/>
        </w:rPr>
        <w:t xml:space="preserve"> </w:t>
      </w:r>
      <w:r w:rsidRPr="00381FB7">
        <w:rPr>
          <w:rFonts w:eastAsia="Calibri"/>
          <w:noProof w:val="0"/>
          <w:szCs w:val="22"/>
          <w:vertAlign w:val="superscript"/>
          <w:lang w:bidi="ar-SA"/>
        </w:rPr>
        <w:footnoteReference w:id="7"/>
      </w:r>
      <w:r w:rsidRPr="00381FB7">
        <w:rPr>
          <w:rFonts w:eastAsia="Calibri"/>
          <w:noProof w:val="0"/>
          <w:szCs w:val="22"/>
          <w:lang w:bidi="ar-SA"/>
        </w:rPr>
        <w:t xml:space="preserve">. Podle zpracovatele této RIA v oblasti EEZ funguje monitoring trhu daleko lépe. Navíc některé zdroje (např. Der </w:t>
      </w:r>
      <w:proofErr w:type="spellStart"/>
      <w:r w:rsidRPr="00381FB7">
        <w:rPr>
          <w:rFonts w:eastAsia="Calibri"/>
          <w:noProof w:val="0"/>
          <w:szCs w:val="22"/>
          <w:lang w:bidi="ar-SA"/>
        </w:rPr>
        <w:t>Grüne</w:t>
      </w:r>
      <w:proofErr w:type="spellEnd"/>
      <w:r w:rsidRPr="00381FB7">
        <w:rPr>
          <w:rFonts w:eastAsia="Calibri"/>
          <w:noProof w:val="0"/>
          <w:szCs w:val="22"/>
          <w:lang w:bidi="ar-SA"/>
        </w:rPr>
        <w:t xml:space="preserve"> Punkt) uvádějí, že vyhýbání se povinnosti nahlášení obalů operátorovi v Německu je v současné době způsobeno spíše nedostatečnou legislativou. Kolektivní systémy v Německu se mohou současně starat o více skupin OEEZ, většinou tomu tak i je.</w:t>
      </w:r>
    </w:p>
    <w:p w:rsidR="00ED5B2D" w:rsidRPr="00CA69D0" w:rsidRDefault="00381FB7" w:rsidP="00133D67">
      <w:pPr>
        <w:rPr>
          <w:rFonts w:eastAsia="Calibri"/>
          <w:noProof w:val="0"/>
          <w:szCs w:val="22"/>
          <w:lang w:bidi="ar-SA"/>
        </w:rPr>
      </w:pPr>
      <w:proofErr w:type="spellStart"/>
      <w:r w:rsidRPr="00381FB7">
        <w:rPr>
          <w:rFonts w:eastAsia="Calibri"/>
          <w:noProof w:val="0"/>
          <w:szCs w:val="22"/>
          <w:lang w:bidi="ar-SA"/>
        </w:rPr>
        <w:t>ElektroG</w:t>
      </w:r>
      <w:proofErr w:type="spellEnd"/>
      <w:r w:rsidRPr="00381FB7">
        <w:rPr>
          <w:rFonts w:eastAsia="Calibri"/>
          <w:noProof w:val="0"/>
          <w:szCs w:val="22"/>
          <w:lang w:bidi="ar-SA"/>
        </w:rPr>
        <w:t xml:space="preserve"> blíže nespecifikuje, jak má takový kolektivní systém vypadat, ani nijak neupravuje jeho pole působnosti. Kolektivní systém tak vedle koordinace svozů a dalšího zpracování OEEZ může pro své členy tyto činnosti i zajišťovat (oblast zpracování OEEZ v </w:t>
      </w:r>
      <w:proofErr w:type="spellStart"/>
      <w:r w:rsidRPr="00381FB7">
        <w:rPr>
          <w:rFonts w:eastAsia="Calibri"/>
          <w:noProof w:val="0"/>
          <w:szCs w:val="22"/>
          <w:lang w:bidi="ar-SA"/>
        </w:rPr>
        <w:t>ElektroG</w:t>
      </w:r>
      <w:proofErr w:type="spellEnd"/>
      <w:r w:rsidRPr="00381FB7">
        <w:rPr>
          <w:rFonts w:eastAsia="Calibri"/>
          <w:noProof w:val="0"/>
          <w:szCs w:val="22"/>
          <w:lang w:bidi="ar-SA"/>
        </w:rPr>
        <w:t xml:space="preserve"> samozřejmě upravena je – zpracovatel musí získat certifikát opravňující k této činnosti, který musí být každých 18 měsíců obnoven; nicméně toto ustanovení nijak nebrání kolektivnímu systému, aby tuto činnost vykonával, pokud daný certifikát získá).</w:t>
      </w:r>
    </w:p>
    <w:p w:rsidR="00ED5B2D" w:rsidRPr="00CA69D0" w:rsidRDefault="00381FB7" w:rsidP="002D66F0">
      <w:pPr>
        <w:pStyle w:val="Odstavecseseznamem"/>
        <w:numPr>
          <w:ilvl w:val="0"/>
          <w:numId w:val="68"/>
        </w:numPr>
        <w:rPr>
          <w:rFonts w:eastAsia="Calibri"/>
          <w:noProof w:val="0"/>
          <w:szCs w:val="22"/>
          <w:lang w:bidi="ar-SA"/>
        </w:rPr>
      </w:pPr>
      <w:r w:rsidRPr="00381FB7">
        <w:rPr>
          <w:rFonts w:eastAsia="Calibri"/>
          <w:b/>
          <w:noProof w:val="0"/>
          <w:szCs w:val="22"/>
          <w:lang w:bidi="ar-SA"/>
        </w:rPr>
        <w:t>V praxi je toto provázání činností, tedy že kolektivní systém zároveň zajišťuje zpracování OEEZ, běžné.</w:t>
      </w:r>
      <w:r w:rsidRPr="00381FB7">
        <w:rPr>
          <w:rFonts w:eastAsia="Calibri"/>
          <w:noProof w:val="0"/>
          <w:szCs w:val="22"/>
          <w:lang w:bidi="ar-SA"/>
        </w:rPr>
        <w:t xml:space="preserve"> Příkladem může být ERP, která nabízí německým výrobcům služby pokrývající všechny povinnosti výrobce:</w:t>
      </w:r>
    </w:p>
    <w:p w:rsidR="00ED5B2D" w:rsidRPr="00CA69D0" w:rsidRDefault="00381FB7" w:rsidP="002D66F0">
      <w:pPr>
        <w:pStyle w:val="Odstavecseseznamem"/>
        <w:numPr>
          <w:ilvl w:val="0"/>
          <w:numId w:val="68"/>
        </w:numPr>
        <w:spacing w:after="200"/>
        <w:rPr>
          <w:rFonts w:eastAsia="Calibri"/>
          <w:noProof w:val="0"/>
          <w:szCs w:val="22"/>
          <w:lang w:bidi="ar-SA"/>
        </w:rPr>
      </w:pPr>
      <w:r w:rsidRPr="00381FB7">
        <w:rPr>
          <w:rFonts w:eastAsia="Calibri"/>
          <w:noProof w:val="0"/>
          <w:szCs w:val="22"/>
          <w:lang w:bidi="ar-SA"/>
        </w:rPr>
        <w:t>Registrace výrobce u EAR</w:t>
      </w:r>
    </w:p>
    <w:p w:rsidR="00ED5B2D" w:rsidRPr="00CA69D0" w:rsidRDefault="00381FB7" w:rsidP="002D66F0">
      <w:pPr>
        <w:pStyle w:val="Odstavecseseznamem"/>
        <w:numPr>
          <w:ilvl w:val="0"/>
          <w:numId w:val="68"/>
        </w:numPr>
        <w:spacing w:after="200"/>
        <w:rPr>
          <w:rFonts w:eastAsia="Calibri"/>
          <w:noProof w:val="0"/>
          <w:szCs w:val="22"/>
          <w:lang w:bidi="ar-SA"/>
        </w:rPr>
      </w:pPr>
      <w:r w:rsidRPr="00381FB7">
        <w:rPr>
          <w:rFonts w:eastAsia="Calibri"/>
          <w:noProof w:val="0"/>
          <w:szCs w:val="22"/>
          <w:lang w:bidi="ar-SA"/>
        </w:rPr>
        <w:lastRenderedPageBreak/>
        <w:t>Registrace výrobce u UBA</w:t>
      </w:r>
    </w:p>
    <w:p w:rsidR="00ED5B2D" w:rsidRPr="00CA69D0" w:rsidRDefault="00381FB7" w:rsidP="002D66F0">
      <w:pPr>
        <w:pStyle w:val="Odstavecseseznamem"/>
        <w:numPr>
          <w:ilvl w:val="0"/>
          <w:numId w:val="68"/>
        </w:numPr>
        <w:spacing w:after="200"/>
        <w:rPr>
          <w:rFonts w:eastAsia="Calibri"/>
          <w:noProof w:val="0"/>
          <w:szCs w:val="22"/>
          <w:lang w:bidi="ar-SA"/>
        </w:rPr>
      </w:pPr>
      <w:r w:rsidRPr="00381FB7">
        <w:rPr>
          <w:rFonts w:eastAsia="Calibri"/>
          <w:noProof w:val="0"/>
          <w:szCs w:val="22"/>
          <w:lang w:bidi="ar-SA"/>
        </w:rPr>
        <w:t>Pomoc s výběrem a uzavřením insolvenční garance za výrobky uvedené na trh (viz povinnosti výše)</w:t>
      </w:r>
    </w:p>
    <w:p w:rsidR="00ED5B2D" w:rsidRPr="00CA69D0" w:rsidRDefault="00381FB7" w:rsidP="002D66F0">
      <w:pPr>
        <w:pStyle w:val="Odstavecseseznamem"/>
        <w:numPr>
          <w:ilvl w:val="0"/>
          <w:numId w:val="68"/>
        </w:numPr>
        <w:spacing w:after="200"/>
        <w:rPr>
          <w:rFonts w:eastAsia="Calibri"/>
          <w:noProof w:val="0"/>
          <w:szCs w:val="22"/>
          <w:lang w:bidi="ar-SA"/>
        </w:rPr>
      </w:pPr>
      <w:r w:rsidRPr="00381FB7">
        <w:rPr>
          <w:rFonts w:eastAsia="Calibri"/>
          <w:noProof w:val="0"/>
          <w:szCs w:val="22"/>
          <w:lang w:bidi="ar-SA"/>
        </w:rPr>
        <w:t xml:space="preserve">Zajištění povinného předávání informací EAR </w:t>
      </w:r>
    </w:p>
    <w:p w:rsidR="00ED5B2D" w:rsidRPr="00CA69D0" w:rsidRDefault="00381FB7" w:rsidP="002D66F0">
      <w:pPr>
        <w:pStyle w:val="Odstavecseseznamem"/>
        <w:numPr>
          <w:ilvl w:val="0"/>
          <w:numId w:val="68"/>
        </w:numPr>
        <w:spacing w:after="200"/>
        <w:rPr>
          <w:rFonts w:eastAsia="Calibri"/>
          <w:noProof w:val="0"/>
          <w:szCs w:val="22"/>
          <w:lang w:bidi="ar-SA"/>
        </w:rPr>
      </w:pPr>
      <w:r w:rsidRPr="00381FB7">
        <w:rPr>
          <w:rFonts w:eastAsia="Calibri"/>
          <w:noProof w:val="0"/>
          <w:szCs w:val="22"/>
          <w:lang w:bidi="ar-SA"/>
        </w:rPr>
        <w:t>Zpětný odběr</w:t>
      </w:r>
    </w:p>
    <w:p w:rsidR="00ED5B2D" w:rsidRPr="00CA69D0" w:rsidRDefault="00381FB7" w:rsidP="002D66F0">
      <w:pPr>
        <w:pStyle w:val="Odstavecseseznamem"/>
        <w:numPr>
          <w:ilvl w:val="0"/>
          <w:numId w:val="68"/>
        </w:numPr>
        <w:spacing w:after="200"/>
        <w:rPr>
          <w:rFonts w:eastAsia="Calibri"/>
          <w:noProof w:val="0"/>
          <w:szCs w:val="22"/>
          <w:lang w:bidi="ar-SA"/>
        </w:rPr>
      </w:pPr>
      <w:r w:rsidRPr="00381FB7">
        <w:rPr>
          <w:rFonts w:eastAsia="Calibri"/>
          <w:noProof w:val="0"/>
          <w:szCs w:val="22"/>
          <w:lang w:bidi="ar-SA"/>
        </w:rPr>
        <w:t>Zajištění zpracování, případně likvidace OEEZ v zařízeních auditovaných ERP</w:t>
      </w:r>
    </w:p>
    <w:p w:rsidR="00ED5B2D" w:rsidRPr="00CA69D0" w:rsidRDefault="00381FB7" w:rsidP="00941870">
      <w:pPr>
        <w:rPr>
          <w:rFonts w:eastAsia="Calibri"/>
          <w:noProof w:val="0"/>
          <w:szCs w:val="22"/>
          <w:lang w:bidi="ar-SA"/>
        </w:rPr>
      </w:pPr>
      <w:r w:rsidRPr="00381FB7">
        <w:rPr>
          <w:rFonts w:eastAsia="Calibri"/>
          <w:noProof w:val="0"/>
          <w:szCs w:val="22"/>
          <w:lang w:bidi="ar-SA"/>
        </w:rPr>
        <w:t>ERP nepůsobí pouze v Německu, ale i v jiných evropských zemích.</w:t>
      </w:r>
    </w:p>
    <w:p w:rsidR="00B45E02" w:rsidRPr="00CA69D0" w:rsidRDefault="00B45E02" w:rsidP="00941870">
      <w:pPr>
        <w:rPr>
          <w:rFonts w:eastAsia="Calibri"/>
          <w:noProof w:val="0"/>
          <w:szCs w:val="22"/>
          <w:lang w:bidi="ar-SA"/>
        </w:rPr>
      </w:pPr>
    </w:p>
    <w:p w:rsidR="00ED5B2D" w:rsidRPr="00CA69D0" w:rsidRDefault="00381FB7" w:rsidP="00152383">
      <w:pPr>
        <w:pStyle w:val="Normln-tun"/>
      </w:pPr>
      <w:r w:rsidRPr="00381FB7">
        <w:t>Rakousko</w:t>
      </w:r>
    </w:p>
    <w:p w:rsidR="00ED5B2D" w:rsidRPr="00CA69D0" w:rsidRDefault="00381FB7" w:rsidP="00B45E02">
      <w:pPr>
        <w:widowControl w:val="0"/>
      </w:pPr>
      <w:r w:rsidRPr="00381FB7">
        <w:t>Zpětný odběr OEEZ v Rakousku je legislativně zakotven v tzv. EAG-VO</w:t>
      </w:r>
      <w:r w:rsidRPr="00381FB7">
        <w:footnoteReference w:id="8"/>
      </w:r>
      <w:r w:rsidRPr="00381FB7">
        <w:t xml:space="preserve"> (zákon o odpadních elektrických a elektronických zařízeních), který řeší i problematiku OEEZ (včetně problematiky operátora na trhu OEEZ, fungování kolektivních systémů a osvětové činnosti v oblasti OEEZ, které jsou důležité z hlediska této RIA) a tzv. Abfallwirtschaftsgesetz (zákon o odpadech), který řeší problematiku odpadů obecně.</w:t>
      </w:r>
    </w:p>
    <w:p w:rsidR="00ED5B2D" w:rsidRPr="00CA69D0" w:rsidRDefault="00381FB7" w:rsidP="00B45E02">
      <w:pPr>
        <w:widowControl w:val="0"/>
        <w:rPr>
          <w:rFonts w:eastAsia="Calibri"/>
          <w:noProof w:val="0"/>
          <w:szCs w:val="22"/>
          <w:lang w:bidi="ar-SA"/>
        </w:rPr>
      </w:pPr>
      <w:r w:rsidRPr="00381FB7">
        <w:t>Životní cyklus EEZ vypadá v Rakousku podobně jako v Německu; začíná jeho uvedením na trh (před kterým se musí výrobce registrovat u Ministerstva životního prostředí), kde je zakoupen spotřebitelem. Po skončení jeho životnosti ho spotřebitel odevzdá na místě zpětného odběru, která v Rakousku provozují obce nebo jejich sdružení</w:t>
      </w:r>
      <w:r w:rsidRPr="00381FB7">
        <w:rPr>
          <w:vertAlign w:val="superscript"/>
        </w:rPr>
        <w:footnoteReference w:id="9"/>
      </w:r>
      <w:r w:rsidRPr="00381FB7">
        <w:t>. V další fázi pak zodpovídá za OEEZ výrobce; ten tak může učinit skrze kolektivní systémy, nebo individuálně. V této fázi je důležitý operátor trhu EAK (Elektroaltgeräte Koordinierungsstelle Austria GmbH), který v Rakousku řídí zpětný odběr OEEZ. EAK zodpovídá za organizaci svozů OEEZ z odběrových míst, k čemuž využívá kolektivní systémy působící v Rakousku (nebo samostatné výrobce). Ty dále zajistí zpracování OEEZ; po zpracování OEEZ dojde k recyklaci části výrobku a jejich opětovnému použití, čímž je uzavřen životní cyklus výrobku.</w:t>
      </w:r>
      <w:r w:rsidRPr="00381FB7">
        <w:rPr>
          <w:rFonts w:eastAsia="Calibri"/>
          <w:noProof w:val="0"/>
          <w:szCs w:val="22"/>
          <w:lang w:bidi="ar-SA"/>
        </w:rPr>
        <w:t xml:space="preserve"> </w:t>
      </w:r>
    </w:p>
    <w:p w:rsidR="00ED5B2D" w:rsidRPr="00ED38E9" w:rsidRDefault="00ED5B2D" w:rsidP="0017046F">
      <w:pPr>
        <w:pStyle w:val="Titulek"/>
        <w:rPr>
          <w:rFonts w:cs="Arial"/>
          <w:lang w:eastAsia="cs-CZ" w:bidi="ar-SA"/>
        </w:rPr>
      </w:pPr>
      <w:r w:rsidRPr="00ED38E9">
        <w:rPr>
          <w:rFonts w:cs="Arial"/>
          <w:lang w:eastAsia="cs-CZ" w:bidi="ar-SA"/>
        </w:rPr>
        <w:lastRenderedPageBreak/>
        <w:t xml:space="preserve">Obrázek </w:t>
      </w:r>
      <w:r w:rsidR="00381FB7" w:rsidRPr="00ED38E9">
        <w:rPr>
          <w:rFonts w:cs="Arial"/>
          <w:lang w:eastAsia="cs-CZ" w:bidi="ar-SA"/>
        </w:rPr>
        <w:fldChar w:fldCharType="begin"/>
      </w:r>
      <w:r w:rsidRPr="00ED38E9">
        <w:rPr>
          <w:rFonts w:cs="Arial"/>
          <w:lang w:eastAsia="cs-CZ" w:bidi="ar-SA"/>
        </w:rPr>
        <w:instrText xml:space="preserve"> SEQ Obrázek \* ARABIC </w:instrText>
      </w:r>
      <w:r w:rsidR="00381FB7" w:rsidRPr="00ED38E9">
        <w:rPr>
          <w:rFonts w:cs="Arial"/>
          <w:lang w:eastAsia="cs-CZ" w:bidi="ar-SA"/>
        </w:rPr>
        <w:fldChar w:fldCharType="separate"/>
      </w:r>
      <w:r w:rsidR="002A3964" w:rsidRPr="00ED38E9">
        <w:rPr>
          <w:rFonts w:cs="Arial"/>
          <w:lang w:eastAsia="cs-CZ" w:bidi="ar-SA"/>
        </w:rPr>
        <w:t>5</w:t>
      </w:r>
      <w:r w:rsidR="00381FB7" w:rsidRPr="00ED38E9">
        <w:rPr>
          <w:rFonts w:cs="Arial"/>
          <w:lang w:eastAsia="cs-CZ" w:bidi="ar-SA"/>
        </w:rPr>
        <w:fldChar w:fldCharType="end"/>
      </w:r>
      <w:r w:rsidRPr="00ED38E9">
        <w:rPr>
          <w:rFonts w:cs="Arial"/>
          <w:lang w:eastAsia="cs-CZ" w:bidi="ar-SA"/>
        </w:rPr>
        <w:t>: Přehled fungování systému v Rakousku</w:t>
      </w:r>
    </w:p>
    <w:p w:rsidR="00ED5B2D" w:rsidRPr="00ED38E9" w:rsidRDefault="00ED5B2D" w:rsidP="00ED5B2D">
      <w:pPr>
        <w:keepNext/>
        <w:widowControl w:val="0"/>
        <w:spacing w:before="120" w:after="120"/>
        <w:rPr>
          <w:rFonts w:eastAsia="Calibri" w:cs="Arial"/>
          <w:b/>
          <w:i/>
          <w:noProof w:val="0"/>
          <w:szCs w:val="22"/>
          <w:lang w:bidi="ar-SA"/>
        </w:rPr>
      </w:pPr>
      <w:r w:rsidRPr="00ED38E9">
        <w:rPr>
          <w:rFonts w:eastAsia="Calibri" w:cs="Arial"/>
          <w:szCs w:val="22"/>
          <w:lang w:eastAsia="cs-CZ" w:bidi="ar-SA"/>
        </w:rPr>
        <w:drawing>
          <wp:inline distT="0" distB="0" distL="0" distR="0" wp14:anchorId="1D31F9E7" wp14:editId="214CC38C">
            <wp:extent cx="4772025" cy="4421533"/>
            <wp:effectExtent l="0" t="0" r="0" b="0"/>
            <wp:docPr id="266"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74132" cy="4423485"/>
                    </a:xfrm>
                    <a:prstGeom prst="rect">
                      <a:avLst/>
                    </a:prstGeom>
                    <a:noFill/>
                  </pic:spPr>
                </pic:pic>
              </a:graphicData>
            </a:graphic>
          </wp:inline>
        </w:drawing>
      </w:r>
    </w:p>
    <w:p w:rsidR="00ED5B2D" w:rsidRPr="00ED38E9" w:rsidRDefault="00ED5B2D" w:rsidP="00B45E02">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w:t>
      </w:r>
    </w:p>
    <w:p w:rsidR="00ED5B2D" w:rsidRPr="006A54F0" w:rsidRDefault="00ED5B2D" w:rsidP="00792DBC">
      <w:pPr>
        <w:keepNext/>
        <w:spacing w:before="240"/>
        <w:rPr>
          <w:b/>
          <w:i/>
        </w:rPr>
      </w:pPr>
      <w:r w:rsidRPr="00CA69D0">
        <w:rPr>
          <w:rStyle w:val="Zvraznn"/>
          <w:rFonts w:ascii="Times New Roman" w:hAnsi="Times New Roman"/>
          <w:sz w:val="24"/>
        </w:rPr>
        <w:t>Operátor</w:t>
      </w:r>
      <w:r w:rsidRPr="006A54F0">
        <w:rPr>
          <w:b/>
          <w:i/>
        </w:rPr>
        <w:t xml:space="preserve"> EAK</w:t>
      </w:r>
    </w:p>
    <w:p w:rsidR="00ED5B2D" w:rsidRPr="00D12FE4" w:rsidRDefault="00ED5B2D" w:rsidP="00B45E02">
      <w:pPr>
        <w:widowControl w:val="0"/>
      </w:pPr>
      <w:r w:rsidRPr="00097EE6">
        <w:t xml:space="preserve">Jako operátor trhu s OEEZ v Rakousku funguje EAK - Elektroaltgeräte Koordinierungsstelle Austria GmbH. Jedná se o společnost s ručením omezeným, která byla založena v roce 2005 jako </w:t>
      </w:r>
      <w:r w:rsidRPr="00D12FE4">
        <w:t>nezisková organizace, přičemž jejími vlastníky jsou Rakouská hospodářská komora a zástupci oborů souvisejících s OEEZ.</w:t>
      </w:r>
    </w:p>
    <w:p w:rsidR="00ED5B2D" w:rsidRPr="00212AB8" w:rsidRDefault="00ED5B2D" w:rsidP="00B45E02">
      <w:pPr>
        <w:widowControl w:val="0"/>
      </w:pPr>
      <w:r w:rsidRPr="0092438A">
        <w:t>Hlavními úkoly EAK jsou:</w:t>
      </w:r>
    </w:p>
    <w:p w:rsidR="00ED5B2D" w:rsidRPr="002E1F28" w:rsidRDefault="00ED5B2D" w:rsidP="002D66F0">
      <w:pPr>
        <w:pStyle w:val="Odstavecseseznamem"/>
        <w:numPr>
          <w:ilvl w:val="0"/>
          <w:numId w:val="69"/>
        </w:numPr>
        <w:spacing w:after="200"/>
        <w:rPr>
          <w:rFonts w:eastAsia="Calibri"/>
          <w:noProof w:val="0"/>
          <w:lang w:bidi="ar-SA"/>
        </w:rPr>
      </w:pPr>
      <w:r w:rsidRPr="00E37D0B">
        <w:rPr>
          <w:rFonts w:eastAsia="Calibri"/>
          <w:b/>
          <w:noProof w:val="0"/>
          <w:lang w:bidi="ar-SA"/>
        </w:rPr>
        <w:t>Koordin</w:t>
      </w:r>
      <w:r w:rsidRPr="00242695">
        <w:rPr>
          <w:rFonts w:eastAsia="Calibri"/>
          <w:b/>
          <w:noProof w:val="0"/>
          <w:lang w:bidi="ar-SA"/>
        </w:rPr>
        <w:t>ace svozu OEEZ z míst zpětného odběru</w:t>
      </w:r>
      <w:r w:rsidRPr="002E1F28">
        <w:rPr>
          <w:rFonts w:eastAsia="Calibri"/>
          <w:noProof w:val="0"/>
          <w:lang w:bidi="ar-SA"/>
        </w:rPr>
        <w:t xml:space="preserve"> (místo zpětného odběru nahlásí EAK potřebu odvozu OEEZ, to pak určí kolektivní systém, který tuto činnost provede; náklady míst zpětného odběru pak EAK rozpočítá na kolektivní systémy)</w:t>
      </w:r>
    </w:p>
    <w:p w:rsidR="00ED5B2D" w:rsidRPr="003748C7" w:rsidRDefault="00ED5B2D" w:rsidP="002D66F0">
      <w:pPr>
        <w:pStyle w:val="Odstavecseseznamem"/>
        <w:numPr>
          <w:ilvl w:val="0"/>
          <w:numId w:val="69"/>
        </w:numPr>
        <w:spacing w:after="200"/>
        <w:rPr>
          <w:rFonts w:eastAsia="Calibri"/>
          <w:b/>
          <w:noProof w:val="0"/>
          <w:lang w:bidi="ar-SA"/>
        </w:rPr>
      </w:pPr>
      <w:r w:rsidRPr="002E1F28">
        <w:rPr>
          <w:rFonts w:eastAsia="Calibri"/>
          <w:b/>
          <w:noProof w:val="0"/>
          <w:lang w:bidi="ar-SA"/>
        </w:rPr>
        <w:t>Informování a osvěta spotřebitelů</w:t>
      </w:r>
      <w:r w:rsidRPr="00530496">
        <w:rPr>
          <w:rFonts w:eastAsia="Calibri"/>
          <w:b/>
          <w:noProof w:val="0"/>
          <w:lang w:bidi="ar-SA"/>
        </w:rPr>
        <w:t xml:space="preserve"> o správném zacházení s OEEZ</w:t>
      </w:r>
      <w:r w:rsidRPr="003748C7">
        <w:rPr>
          <w:rFonts w:eastAsia="Calibri"/>
          <w:noProof w:val="0"/>
          <w:lang w:bidi="ar-SA"/>
        </w:rPr>
        <w:t xml:space="preserve"> (tato činnost je zakotvena přímo v EAG – VO) – informační kampaň</w:t>
      </w:r>
    </w:p>
    <w:p w:rsidR="00ED5B2D" w:rsidRPr="0029509F" w:rsidRDefault="00ED5B2D" w:rsidP="002D66F0">
      <w:pPr>
        <w:pStyle w:val="Odstavecseseznamem"/>
        <w:numPr>
          <w:ilvl w:val="0"/>
          <w:numId w:val="69"/>
        </w:numPr>
        <w:spacing w:after="200"/>
        <w:rPr>
          <w:rFonts w:eastAsia="Calibri"/>
          <w:noProof w:val="0"/>
          <w:lang w:bidi="ar-SA"/>
        </w:rPr>
      </w:pPr>
      <w:r w:rsidRPr="0029509F">
        <w:rPr>
          <w:rFonts w:eastAsia="Calibri"/>
          <w:noProof w:val="0"/>
          <w:lang w:bidi="ar-SA"/>
        </w:rPr>
        <w:t>Podávání hlášení MŽP</w:t>
      </w:r>
    </w:p>
    <w:p w:rsidR="00ED5B2D" w:rsidRPr="000C7590" w:rsidRDefault="00ED5B2D" w:rsidP="00F635E4">
      <w:pPr>
        <w:rPr>
          <w:rFonts w:eastAsia="Calibri"/>
          <w:lang w:bidi="ar-SA"/>
        </w:rPr>
      </w:pPr>
      <w:r w:rsidRPr="000C7590">
        <w:rPr>
          <w:rFonts w:eastAsia="Calibri"/>
          <w:lang w:bidi="ar-SA"/>
        </w:rPr>
        <w:t>Z uvedeného vyplývá, že rakouský operátor trhu plní mimo jiné funkci zúčtovací a</w:t>
      </w:r>
      <w:r w:rsidR="00F635E4" w:rsidRPr="000C7590">
        <w:rPr>
          <w:rFonts w:eastAsia="Calibri"/>
          <w:lang w:bidi="ar-SA"/>
        </w:rPr>
        <w:t> </w:t>
      </w:r>
      <w:r w:rsidRPr="000C7590">
        <w:rPr>
          <w:rFonts w:eastAsia="Calibri"/>
          <w:lang w:bidi="ar-SA"/>
        </w:rPr>
        <w:t>zodpovídá za osvětovou činnost.</w:t>
      </w:r>
    </w:p>
    <w:p w:rsidR="00ED5B2D" w:rsidRPr="001F7AC0" w:rsidRDefault="00ED5B2D" w:rsidP="00792DBC">
      <w:pPr>
        <w:keepNext/>
        <w:spacing w:before="240"/>
        <w:rPr>
          <w:b/>
          <w:i/>
        </w:rPr>
      </w:pPr>
      <w:r w:rsidRPr="000C7590">
        <w:rPr>
          <w:rStyle w:val="Zvraznn"/>
          <w:rFonts w:ascii="Times New Roman" w:hAnsi="Times New Roman"/>
          <w:sz w:val="24"/>
        </w:rPr>
        <w:t>Kolektivní</w:t>
      </w:r>
      <w:r w:rsidRPr="001F7AC0">
        <w:rPr>
          <w:b/>
          <w:i/>
        </w:rPr>
        <w:t xml:space="preserve"> systémy</w:t>
      </w:r>
    </w:p>
    <w:p w:rsidR="00ED5B2D" w:rsidRPr="0006792F" w:rsidRDefault="00ED5B2D" w:rsidP="00B45E02">
      <w:pPr>
        <w:widowControl w:val="0"/>
      </w:pPr>
      <w:r w:rsidRPr="001F7AC0">
        <w:t xml:space="preserve">Sběrné a </w:t>
      </w:r>
      <w:r w:rsidRPr="005F42B3">
        <w:t xml:space="preserve">recyklační kolektivní systémy v Rakousku schvaluje Ministerstvo životního prostředí. V současné době jich je pět (v závorce </w:t>
      </w:r>
      <w:r w:rsidR="00663FE3" w:rsidRPr="00B24116">
        <w:t xml:space="preserve">je </w:t>
      </w:r>
      <w:r w:rsidRPr="00B24116">
        <w:t>u</w:t>
      </w:r>
      <w:r w:rsidR="00663FE3" w:rsidRPr="00004A96">
        <w:t>veden</w:t>
      </w:r>
      <w:r w:rsidRPr="0006792F">
        <w:t xml:space="preserve"> počet výrobců, kteří tvoří </w:t>
      </w:r>
      <w:r w:rsidRPr="0006792F">
        <w:lastRenderedPageBreak/>
        <w:t>zákazníky těchto kolektivních systémů v oblasti OEEZ):</w:t>
      </w:r>
    </w:p>
    <w:p w:rsidR="00ED5B2D" w:rsidRPr="00042A18" w:rsidRDefault="00ED5B2D" w:rsidP="002D66F0">
      <w:pPr>
        <w:pStyle w:val="Odstavecseseznamem"/>
        <w:numPr>
          <w:ilvl w:val="0"/>
          <w:numId w:val="70"/>
        </w:numPr>
        <w:spacing w:after="200"/>
        <w:rPr>
          <w:rFonts w:eastAsia="Calibri"/>
          <w:noProof w:val="0"/>
          <w:lang w:bidi="ar-SA"/>
        </w:rPr>
      </w:pPr>
      <w:r w:rsidRPr="00C0118D">
        <w:rPr>
          <w:rFonts w:eastAsia="Calibri"/>
          <w:noProof w:val="0"/>
          <w:lang w:bidi="ar-SA"/>
        </w:rPr>
        <w:t xml:space="preserve">ERA Elektro Recycling </w:t>
      </w:r>
      <w:proofErr w:type="spellStart"/>
      <w:r w:rsidRPr="00C0118D">
        <w:rPr>
          <w:rFonts w:eastAsia="Calibri"/>
          <w:noProof w:val="0"/>
          <w:lang w:bidi="ar-SA"/>
        </w:rPr>
        <w:t>Austria</w:t>
      </w:r>
      <w:proofErr w:type="spellEnd"/>
      <w:r w:rsidRPr="00C0118D">
        <w:rPr>
          <w:rFonts w:eastAsia="Calibri"/>
          <w:noProof w:val="0"/>
          <w:lang w:bidi="ar-SA"/>
        </w:rPr>
        <w:t xml:space="preserve"> </w:t>
      </w:r>
      <w:proofErr w:type="spellStart"/>
      <w:r w:rsidRPr="00C0118D">
        <w:rPr>
          <w:rFonts w:eastAsia="Calibri"/>
          <w:noProof w:val="0"/>
          <w:lang w:bidi="ar-SA"/>
        </w:rPr>
        <w:t>GmbH</w:t>
      </w:r>
      <w:proofErr w:type="spellEnd"/>
      <w:r w:rsidR="00663FE3" w:rsidRPr="00474DE8">
        <w:rPr>
          <w:rFonts w:eastAsia="Calibri"/>
          <w:noProof w:val="0"/>
          <w:lang w:bidi="ar-SA"/>
        </w:rPr>
        <w:t xml:space="preserve"> </w:t>
      </w:r>
      <w:r w:rsidRPr="00474DE8">
        <w:rPr>
          <w:rFonts w:eastAsia="Calibri"/>
          <w:noProof w:val="0"/>
          <w:lang w:bidi="ar-SA"/>
        </w:rPr>
        <w:t>(1128</w:t>
      </w:r>
      <w:r w:rsidRPr="00042A18">
        <w:rPr>
          <w:rFonts w:eastAsia="Calibri"/>
          <w:noProof w:val="0"/>
          <w:lang w:bidi="ar-SA"/>
        </w:rPr>
        <w:t xml:space="preserve"> výrobců)</w:t>
      </w:r>
    </w:p>
    <w:p w:rsidR="00ED5B2D" w:rsidRPr="00CA69D0" w:rsidRDefault="00331677" w:rsidP="002D66F0">
      <w:pPr>
        <w:pStyle w:val="Odstavecseseznamem"/>
        <w:numPr>
          <w:ilvl w:val="0"/>
          <w:numId w:val="70"/>
        </w:numPr>
        <w:spacing w:after="200"/>
        <w:rPr>
          <w:rFonts w:eastAsia="Calibri"/>
          <w:noProof w:val="0"/>
          <w:lang w:bidi="ar-SA"/>
        </w:rPr>
      </w:pPr>
      <w:proofErr w:type="spellStart"/>
      <w:r w:rsidRPr="00331677">
        <w:rPr>
          <w:rFonts w:eastAsia="Calibri"/>
          <w:noProof w:val="0"/>
          <w:lang w:bidi="ar-SA"/>
        </w:rPr>
        <w:t>European</w:t>
      </w:r>
      <w:proofErr w:type="spellEnd"/>
      <w:r w:rsidRPr="00331677">
        <w:rPr>
          <w:rFonts w:eastAsia="Calibri"/>
          <w:noProof w:val="0"/>
          <w:lang w:bidi="ar-SA"/>
        </w:rPr>
        <w:t xml:space="preserve"> Recycling </w:t>
      </w:r>
      <w:proofErr w:type="spellStart"/>
      <w:r w:rsidRPr="00331677">
        <w:rPr>
          <w:rFonts w:eastAsia="Calibri"/>
          <w:noProof w:val="0"/>
          <w:lang w:bidi="ar-SA"/>
        </w:rPr>
        <w:t>Platform</w:t>
      </w:r>
      <w:proofErr w:type="spellEnd"/>
      <w:r w:rsidRPr="00331677">
        <w:rPr>
          <w:rFonts w:eastAsia="Calibri"/>
          <w:noProof w:val="0"/>
          <w:lang w:bidi="ar-SA"/>
        </w:rPr>
        <w:t xml:space="preserve"> (ERP) </w:t>
      </w:r>
      <w:proofErr w:type="spellStart"/>
      <w:r w:rsidRPr="00331677">
        <w:rPr>
          <w:rFonts w:eastAsia="Calibri"/>
          <w:noProof w:val="0"/>
          <w:lang w:bidi="ar-SA"/>
        </w:rPr>
        <w:t>Österreich</w:t>
      </w:r>
      <w:proofErr w:type="spellEnd"/>
      <w:r w:rsidRPr="00331677">
        <w:rPr>
          <w:rFonts w:eastAsia="Calibri"/>
          <w:noProof w:val="0"/>
          <w:lang w:bidi="ar-SA"/>
        </w:rPr>
        <w:t xml:space="preserve"> </w:t>
      </w:r>
      <w:proofErr w:type="spellStart"/>
      <w:proofErr w:type="gramStart"/>
      <w:r w:rsidRPr="00331677">
        <w:rPr>
          <w:rFonts w:eastAsia="Calibri"/>
          <w:noProof w:val="0"/>
          <w:lang w:bidi="ar-SA"/>
        </w:rPr>
        <w:t>GmbH</w:t>
      </w:r>
      <w:proofErr w:type="spellEnd"/>
      <w:r w:rsidRPr="00331677">
        <w:rPr>
          <w:rFonts w:eastAsia="Calibri"/>
          <w:noProof w:val="0"/>
          <w:lang w:bidi="ar-SA"/>
        </w:rPr>
        <w:t xml:space="preserve"> ( 36</w:t>
      </w:r>
      <w:proofErr w:type="gramEnd"/>
      <w:r w:rsidRPr="00331677">
        <w:rPr>
          <w:rFonts w:eastAsia="Calibri"/>
          <w:noProof w:val="0"/>
          <w:lang w:bidi="ar-SA"/>
        </w:rPr>
        <w:t xml:space="preserve"> výrobců)</w:t>
      </w:r>
    </w:p>
    <w:p w:rsidR="00ED5B2D" w:rsidRPr="00CA69D0" w:rsidRDefault="00331677" w:rsidP="002D66F0">
      <w:pPr>
        <w:pStyle w:val="Odstavecseseznamem"/>
        <w:numPr>
          <w:ilvl w:val="0"/>
          <w:numId w:val="70"/>
        </w:numPr>
        <w:spacing w:after="200"/>
        <w:rPr>
          <w:rFonts w:eastAsia="Calibri"/>
          <w:noProof w:val="0"/>
          <w:lang w:bidi="ar-SA"/>
        </w:rPr>
      </w:pPr>
      <w:r w:rsidRPr="00331677">
        <w:rPr>
          <w:rFonts w:eastAsia="Calibri"/>
          <w:noProof w:val="0"/>
          <w:lang w:bidi="ar-SA"/>
        </w:rPr>
        <w:t xml:space="preserve">INTERSEROH </w:t>
      </w:r>
      <w:proofErr w:type="spellStart"/>
      <w:r w:rsidRPr="00331677">
        <w:rPr>
          <w:rFonts w:eastAsia="Calibri"/>
          <w:noProof w:val="0"/>
          <w:lang w:bidi="ar-SA"/>
        </w:rPr>
        <w:t>Austria</w:t>
      </w:r>
      <w:proofErr w:type="spellEnd"/>
      <w:r w:rsidRPr="00331677">
        <w:rPr>
          <w:rFonts w:eastAsia="Calibri"/>
          <w:noProof w:val="0"/>
          <w:lang w:bidi="ar-SA"/>
        </w:rPr>
        <w:t xml:space="preserve"> </w:t>
      </w:r>
      <w:proofErr w:type="spellStart"/>
      <w:r w:rsidRPr="00331677">
        <w:rPr>
          <w:rFonts w:eastAsia="Calibri"/>
          <w:noProof w:val="0"/>
          <w:lang w:bidi="ar-SA"/>
        </w:rPr>
        <w:t>GmbH</w:t>
      </w:r>
      <w:proofErr w:type="spellEnd"/>
      <w:r w:rsidRPr="00331677">
        <w:rPr>
          <w:rFonts w:eastAsia="Calibri"/>
          <w:noProof w:val="0"/>
          <w:lang w:bidi="ar-SA"/>
        </w:rPr>
        <w:t xml:space="preserve"> (267 výrobců)</w:t>
      </w:r>
    </w:p>
    <w:p w:rsidR="00B45E02" w:rsidRPr="00CA69D0" w:rsidRDefault="00331677" w:rsidP="002D66F0">
      <w:pPr>
        <w:pStyle w:val="Odstavecseseznamem"/>
        <w:numPr>
          <w:ilvl w:val="1"/>
          <w:numId w:val="71"/>
        </w:numPr>
        <w:spacing w:after="200"/>
        <w:rPr>
          <w:rFonts w:eastAsia="Calibri"/>
          <w:noProof w:val="0"/>
          <w:lang w:bidi="ar-SA"/>
        </w:rPr>
      </w:pPr>
      <w:r w:rsidRPr="00331677">
        <w:rPr>
          <w:rFonts w:eastAsia="Calibri"/>
          <w:noProof w:val="0"/>
          <w:lang w:bidi="ar-SA"/>
        </w:rPr>
        <w:t>UFH (548 výrobců)</w:t>
      </w:r>
    </w:p>
    <w:p w:rsidR="00B45E02" w:rsidRPr="00CA69D0" w:rsidRDefault="00331677" w:rsidP="002D66F0">
      <w:pPr>
        <w:pStyle w:val="Odstavecseseznamem"/>
        <w:numPr>
          <w:ilvl w:val="1"/>
          <w:numId w:val="71"/>
        </w:numPr>
        <w:spacing w:after="200"/>
        <w:rPr>
          <w:rFonts w:eastAsia="Calibri"/>
          <w:noProof w:val="0"/>
          <w:lang w:bidi="ar-SA"/>
        </w:rPr>
      </w:pPr>
      <w:r w:rsidRPr="00331677">
        <w:rPr>
          <w:rFonts w:eastAsia="Calibri"/>
          <w:noProof w:val="0"/>
          <w:lang w:bidi="ar-SA"/>
        </w:rPr>
        <w:t xml:space="preserve">UFH </w:t>
      </w:r>
      <w:proofErr w:type="spellStart"/>
      <w:r w:rsidRPr="00331677">
        <w:rPr>
          <w:rFonts w:eastAsia="Calibri"/>
          <w:noProof w:val="0"/>
          <w:lang w:bidi="ar-SA"/>
        </w:rPr>
        <w:t>Altlampen</w:t>
      </w:r>
      <w:proofErr w:type="spellEnd"/>
      <w:r w:rsidRPr="00331677">
        <w:rPr>
          <w:rFonts w:eastAsia="Calibri"/>
          <w:noProof w:val="0"/>
          <w:lang w:bidi="ar-SA"/>
        </w:rPr>
        <w:t xml:space="preserve"> </w:t>
      </w:r>
      <w:proofErr w:type="spellStart"/>
      <w:r w:rsidRPr="00331677">
        <w:rPr>
          <w:rFonts w:eastAsia="Calibri"/>
          <w:noProof w:val="0"/>
          <w:lang w:bidi="ar-SA"/>
        </w:rPr>
        <w:t>Systembetreiber</w:t>
      </w:r>
      <w:proofErr w:type="spellEnd"/>
      <w:r w:rsidRPr="00331677">
        <w:rPr>
          <w:rFonts w:eastAsia="Calibri"/>
          <w:noProof w:val="0"/>
          <w:lang w:bidi="ar-SA"/>
        </w:rPr>
        <w:t xml:space="preserve"> </w:t>
      </w:r>
      <w:proofErr w:type="spellStart"/>
      <w:r w:rsidRPr="00331677">
        <w:rPr>
          <w:rFonts w:eastAsia="Calibri"/>
          <w:noProof w:val="0"/>
          <w:lang w:bidi="ar-SA"/>
        </w:rPr>
        <w:t>GmbH</w:t>
      </w:r>
      <w:proofErr w:type="spellEnd"/>
    </w:p>
    <w:p w:rsidR="00ED5B2D" w:rsidRPr="00CA69D0" w:rsidRDefault="00381FB7" w:rsidP="002D66F0">
      <w:pPr>
        <w:pStyle w:val="Odstavecseseznamem"/>
        <w:numPr>
          <w:ilvl w:val="1"/>
          <w:numId w:val="71"/>
        </w:numPr>
        <w:spacing w:after="200"/>
        <w:rPr>
          <w:rFonts w:eastAsia="Calibri"/>
          <w:noProof w:val="0"/>
          <w:lang w:bidi="ar-SA"/>
        </w:rPr>
      </w:pPr>
      <w:r w:rsidRPr="00381FB7">
        <w:rPr>
          <w:rFonts w:eastAsia="Calibri"/>
          <w:noProof w:val="0"/>
          <w:lang w:bidi="ar-SA"/>
        </w:rPr>
        <w:t xml:space="preserve">UFH </w:t>
      </w:r>
      <w:proofErr w:type="spellStart"/>
      <w:r w:rsidRPr="00381FB7">
        <w:rPr>
          <w:rFonts w:eastAsia="Calibri"/>
          <w:noProof w:val="0"/>
          <w:lang w:bidi="ar-SA"/>
        </w:rPr>
        <w:t>Elektroaltgeräte</w:t>
      </w:r>
      <w:proofErr w:type="spellEnd"/>
      <w:r w:rsidRPr="00381FB7">
        <w:rPr>
          <w:rFonts w:eastAsia="Calibri"/>
          <w:noProof w:val="0"/>
          <w:lang w:bidi="ar-SA"/>
        </w:rPr>
        <w:t xml:space="preserve"> </w:t>
      </w:r>
      <w:proofErr w:type="spellStart"/>
      <w:r w:rsidRPr="00381FB7">
        <w:rPr>
          <w:rFonts w:eastAsia="Calibri"/>
          <w:noProof w:val="0"/>
          <w:lang w:bidi="ar-SA"/>
        </w:rPr>
        <w:t>System</w:t>
      </w:r>
      <w:proofErr w:type="spellEnd"/>
      <w:r w:rsidRPr="00381FB7">
        <w:rPr>
          <w:rFonts w:eastAsia="Calibri"/>
          <w:noProof w:val="0"/>
          <w:lang w:bidi="ar-SA"/>
        </w:rPr>
        <w:t xml:space="preserve"> </w:t>
      </w:r>
      <w:proofErr w:type="spellStart"/>
      <w:r w:rsidRPr="00381FB7">
        <w:rPr>
          <w:rFonts w:eastAsia="Calibri"/>
          <w:noProof w:val="0"/>
          <w:lang w:bidi="ar-SA"/>
        </w:rPr>
        <w:t>Betreiber</w:t>
      </w:r>
      <w:proofErr w:type="spellEnd"/>
      <w:r w:rsidRPr="00381FB7">
        <w:rPr>
          <w:rFonts w:eastAsia="Calibri"/>
          <w:noProof w:val="0"/>
          <w:lang w:bidi="ar-SA"/>
        </w:rPr>
        <w:t xml:space="preserve"> </w:t>
      </w:r>
      <w:proofErr w:type="spellStart"/>
      <w:r w:rsidRPr="00381FB7">
        <w:rPr>
          <w:rFonts w:eastAsia="Calibri"/>
          <w:noProof w:val="0"/>
          <w:lang w:bidi="ar-SA"/>
        </w:rPr>
        <w:t>GmbH</w:t>
      </w:r>
      <w:proofErr w:type="spellEnd"/>
    </w:p>
    <w:p w:rsidR="00ED5B2D" w:rsidRPr="00CA69D0" w:rsidRDefault="00381FB7" w:rsidP="00B45E02">
      <w:pPr>
        <w:rPr>
          <w:rFonts w:eastAsia="Calibri"/>
          <w:noProof w:val="0"/>
          <w:lang w:bidi="ar-SA"/>
        </w:rPr>
      </w:pPr>
      <w:r w:rsidRPr="00381FB7">
        <w:rPr>
          <w:rFonts w:eastAsia="Calibri"/>
          <w:noProof w:val="0"/>
          <w:lang w:bidi="ar-SA"/>
        </w:rPr>
        <w:t xml:space="preserve">Kromě UFH </w:t>
      </w:r>
      <w:proofErr w:type="spellStart"/>
      <w:r w:rsidRPr="00381FB7">
        <w:rPr>
          <w:rFonts w:eastAsia="Calibri"/>
          <w:noProof w:val="0"/>
          <w:lang w:bidi="ar-SA"/>
        </w:rPr>
        <w:t>Altlampen</w:t>
      </w:r>
      <w:proofErr w:type="spellEnd"/>
      <w:r w:rsidRPr="00381FB7">
        <w:rPr>
          <w:rFonts w:eastAsia="Calibri"/>
          <w:noProof w:val="0"/>
          <w:lang w:bidi="ar-SA"/>
        </w:rPr>
        <w:t xml:space="preserve"> </w:t>
      </w:r>
      <w:proofErr w:type="spellStart"/>
      <w:r w:rsidRPr="00381FB7">
        <w:rPr>
          <w:rFonts w:eastAsia="Calibri"/>
          <w:noProof w:val="0"/>
          <w:lang w:bidi="ar-SA"/>
        </w:rPr>
        <w:t>Systembetreiber</w:t>
      </w:r>
      <w:proofErr w:type="spellEnd"/>
      <w:r w:rsidRPr="00381FB7">
        <w:rPr>
          <w:rFonts w:eastAsia="Calibri"/>
          <w:noProof w:val="0"/>
          <w:lang w:bidi="ar-SA"/>
        </w:rPr>
        <w:t xml:space="preserve"> </w:t>
      </w:r>
      <w:proofErr w:type="spellStart"/>
      <w:r w:rsidRPr="00381FB7">
        <w:rPr>
          <w:rFonts w:eastAsia="Calibri"/>
          <w:noProof w:val="0"/>
          <w:lang w:bidi="ar-SA"/>
        </w:rPr>
        <w:t>GmbH</w:t>
      </w:r>
      <w:proofErr w:type="spellEnd"/>
      <w:r w:rsidRPr="00381FB7">
        <w:rPr>
          <w:rFonts w:eastAsia="Calibri"/>
          <w:noProof w:val="0"/>
          <w:lang w:bidi="ar-SA"/>
        </w:rPr>
        <w:t>, který se specializuje na osvětlovací zařízení, působí kolektivní systémy ve všech kategoriích OEEZ.</w:t>
      </w:r>
    </w:p>
    <w:p w:rsidR="00ED5B2D" w:rsidRPr="00CA69D0" w:rsidRDefault="00381FB7" w:rsidP="00B45E02">
      <w:pPr>
        <w:rPr>
          <w:rFonts w:eastAsia="Calibri"/>
          <w:noProof w:val="0"/>
          <w:lang w:bidi="ar-SA"/>
        </w:rPr>
      </w:pPr>
      <w:r w:rsidRPr="00381FB7">
        <w:rPr>
          <w:rFonts w:eastAsia="Calibri"/>
          <w:noProof w:val="0"/>
          <w:lang w:bidi="ar-SA"/>
        </w:rPr>
        <w:t>Počet kolektivních systémů není omezen ze zákona, nicméně každý kolektivní systém musí být zaregistrovaný u MŽP, s jinými výrobci nemohou spolupracovat; Rakousko spoléhá na dostatečné vytvoření konkurence a konkurenčního prostředí díky tomu, že EAK má se všemi kolektivními systémy uzavřenou totožnou smlouvu, a ze zákona k nim musí přistupovat stejně.</w:t>
      </w:r>
    </w:p>
    <w:p w:rsidR="00ED5B2D" w:rsidRPr="00CA69D0" w:rsidRDefault="00381FB7" w:rsidP="00B45E02">
      <w:pPr>
        <w:rPr>
          <w:rFonts w:eastAsia="Calibri"/>
          <w:noProof w:val="0"/>
          <w:lang w:bidi="ar-SA"/>
        </w:rPr>
      </w:pPr>
      <w:r w:rsidRPr="00381FB7">
        <w:rPr>
          <w:rFonts w:eastAsia="Calibri"/>
          <w:b/>
          <w:noProof w:val="0"/>
          <w:lang w:bidi="ar-SA"/>
        </w:rPr>
        <w:t>Kolektivní systémy v Rakousku zajišťují funkci transportní i zpracovatelskou</w:t>
      </w:r>
      <w:r w:rsidRPr="00381FB7">
        <w:rPr>
          <w:rFonts w:eastAsia="Calibri"/>
          <w:noProof w:val="0"/>
          <w:lang w:bidi="ar-SA"/>
        </w:rPr>
        <w:t xml:space="preserve">. Příkladem opět může být ERP, který působí i v Rakousku pod názvem </w:t>
      </w:r>
      <w:proofErr w:type="spellStart"/>
      <w:r w:rsidRPr="00381FB7">
        <w:rPr>
          <w:rFonts w:eastAsia="Calibri"/>
          <w:noProof w:val="0"/>
          <w:lang w:bidi="ar-SA"/>
        </w:rPr>
        <w:t>European</w:t>
      </w:r>
      <w:proofErr w:type="spellEnd"/>
      <w:r w:rsidRPr="00381FB7">
        <w:rPr>
          <w:rFonts w:eastAsia="Calibri"/>
          <w:noProof w:val="0"/>
          <w:lang w:bidi="ar-SA"/>
        </w:rPr>
        <w:t xml:space="preserve"> Recycling </w:t>
      </w:r>
      <w:proofErr w:type="spellStart"/>
      <w:r w:rsidRPr="00381FB7">
        <w:rPr>
          <w:rFonts w:eastAsia="Calibri"/>
          <w:noProof w:val="0"/>
          <w:lang w:bidi="ar-SA"/>
        </w:rPr>
        <w:t>Platform</w:t>
      </w:r>
      <w:proofErr w:type="spellEnd"/>
      <w:r w:rsidRPr="00381FB7">
        <w:rPr>
          <w:rFonts w:eastAsia="Calibri"/>
          <w:noProof w:val="0"/>
          <w:lang w:bidi="ar-SA"/>
        </w:rPr>
        <w:t xml:space="preserve"> (ERP) </w:t>
      </w:r>
      <w:proofErr w:type="spellStart"/>
      <w:r w:rsidRPr="00381FB7">
        <w:rPr>
          <w:rFonts w:eastAsia="Calibri"/>
          <w:noProof w:val="0"/>
          <w:lang w:bidi="ar-SA"/>
        </w:rPr>
        <w:t>Österreich</w:t>
      </w:r>
      <w:proofErr w:type="spellEnd"/>
      <w:r w:rsidRPr="00381FB7">
        <w:rPr>
          <w:rFonts w:eastAsia="Calibri"/>
          <w:noProof w:val="0"/>
          <w:lang w:bidi="ar-SA"/>
        </w:rPr>
        <w:t xml:space="preserve"> </w:t>
      </w:r>
      <w:proofErr w:type="spellStart"/>
      <w:r w:rsidRPr="00381FB7">
        <w:rPr>
          <w:rFonts w:eastAsia="Calibri"/>
          <w:noProof w:val="0"/>
          <w:lang w:bidi="ar-SA"/>
        </w:rPr>
        <w:t>GmbH</w:t>
      </w:r>
      <w:proofErr w:type="spellEnd"/>
      <w:r w:rsidRPr="00381FB7">
        <w:rPr>
          <w:rFonts w:eastAsia="Calibri"/>
          <w:noProof w:val="0"/>
          <w:lang w:bidi="ar-SA"/>
        </w:rPr>
        <w:t xml:space="preserve"> a který nabízí svým členům obě tyto činnosti.</w:t>
      </w:r>
    </w:p>
    <w:p w:rsidR="00ED5B2D" w:rsidRPr="00CA69D0" w:rsidRDefault="00381FB7" w:rsidP="00152383">
      <w:pPr>
        <w:pStyle w:val="Normln-tun"/>
        <w:rPr>
          <w:rFonts w:eastAsia="Calibri"/>
          <w:szCs w:val="24"/>
        </w:rPr>
      </w:pPr>
      <w:r w:rsidRPr="00381FB7">
        <w:rPr>
          <w:rFonts w:eastAsia="Calibri"/>
          <w:szCs w:val="24"/>
        </w:rPr>
        <w:t>Dánsko</w:t>
      </w:r>
    </w:p>
    <w:p w:rsidR="00ED5B2D" w:rsidRPr="00CA69D0" w:rsidRDefault="00381FB7" w:rsidP="00B45E02">
      <w:pPr>
        <w:rPr>
          <w:rFonts w:eastAsia="Calibri"/>
          <w:noProof w:val="0"/>
          <w:lang w:bidi="ar-SA"/>
        </w:rPr>
      </w:pPr>
      <w:r w:rsidRPr="00381FB7">
        <w:rPr>
          <w:rFonts w:eastAsia="Calibri"/>
          <w:noProof w:val="0"/>
          <w:lang w:bidi="ar-SA"/>
        </w:rPr>
        <w:t>Zpětný odběr OEEZ v Dánsku je legislativně zakotven v Zákoně o ochraně životního prostředí</w:t>
      </w:r>
      <w:r w:rsidRPr="00381FB7">
        <w:rPr>
          <w:rFonts w:eastAsia="Calibri"/>
          <w:noProof w:val="0"/>
          <w:vertAlign w:val="superscript"/>
          <w:lang w:bidi="ar-SA"/>
        </w:rPr>
        <w:footnoteReference w:id="10"/>
      </w:r>
      <w:r w:rsidRPr="00381FB7">
        <w:rPr>
          <w:rFonts w:eastAsia="Calibri"/>
          <w:noProof w:val="0"/>
          <w:lang w:bidi="ar-SA"/>
        </w:rPr>
        <w:t xml:space="preserve"> a zákonným opatřením o bateriích a akumulátorech a odpadních bateriích a odpadních akumulátorech</w:t>
      </w:r>
      <w:r w:rsidRPr="00381FB7">
        <w:rPr>
          <w:rFonts w:eastAsia="Calibri"/>
          <w:noProof w:val="0"/>
          <w:vertAlign w:val="superscript"/>
          <w:lang w:bidi="ar-SA"/>
        </w:rPr>
        <w:footnoteReference w:id="11"/>
      </w:r>
      <w:r w:rsidRPr="00381FB7">
        <w:rPr>
          <w:rFonts w:eastAsia="Calibri"/>
          <w:noProof w:val="0"/>
          <w:lang w:bidi="ar-SA"/>
        </w:rPr>
        <w:t>.</w:t>
      </w:r>
    </w:p>
    <w:p w:rsidR="00ED5B2D" w:rsidRPr="00CA69D0" w:rsidRDefault="00381FB7" w:rsidP="00B45E02">
      <w:pPr>
        <w:rPr>
          <w:rFonts w:eastAsia="Calibri"/>
          <w:noProof w:val="0"/>
          <w:lang w:bidi="ar-SA"/>
        </w:rPr>
      </w:pPr>
      <w:r w:rsidRPr="00381FB7">
        <w:rPr>
          <w:rFonts w:eastAsia="Calibri"/>
          <w:noProof w:val="0"/>
          <w:lang w:bidi="ar-SA"/>
        </w:rPr>
        <w:t>Životní cyklus EEZ vypadá v Dánsku podobně jako v Německu; začíná jeho uvedením na trh (před kterým se musí výrobce registrovat u dánského operátora DPA), kde je zakoupen spotřebitelem. Po skončení jeho životnosti ho spotřebitel odevzdá na odběrovém místě, které v Dánsku provozují společnosti zajišťující odpadový management pro místní správy. V další fázi pak zodpovídá za OEEZ výrobce; ten tak může učinit skrze kolektivní systémy, nebo individuálně. V této fázi je důležitý operátor trhu DPA, který v Dánsku řídí zpětný odběr OEEZ. DPA zodpovídá za organizaci vyzvednutí OEEZ z odběrových míst (DPA každý rok spočítá, za jakou část OEEZ v Dánsku je konkrétní výrobce zodpovědný na základě podílu na trhu podle EEZ uvedených na trh) a u této části OEEZ pak musí výrobce zajistit vyzvednutí z odběrových míst).  K zajištění svozu může výrobce využít kolektivní systémy nebo jednat sám (sám uzavřít smlouvu s transportní a zpracovatelskou společností). Ty dále zajistí zpracování OEEZ; po zpracování OEEZ dojde k recyklaci části výrobku a jejich opětovnému použití, čímž je uzavřen životní cyklus výrobku. Dánské Ministerstvo životního prostředí (EPA) působí především jako dohledová instituce, kontroluje, zda vše probíhá podle platné legislativy.</w:t>
      </w:r>
    </w:p>
    <w:p w:rsidR="00ED5B2D" w:rsidRPr="00ED38E9" w:rsidRDefault="00ED5B2D" w:rsidP="0017046F">
      <w:pPr>
        <w:pStyle w:val="Titulek"/>
        <w:rPr>
          <w:rFonts w:cs="Arial"/>
          <w:lang w:eastAsia="cs-CZ" w:bidi="ar-SA"/>
        </w:rPr>
      </w:pPr>
      <w:r w:rsidRPr="00ED38E9">
        <w:rPr>
          <w:rFonts w:cs="Arial"/>
          <w:lang w:eastAsia="cs-CZ" w:bidi="ar-SA"/>
        </w:rPr>
        <w:lastRenderedPageBreak/>
        <w:t xml:space="preserve">Obrázek </w:t>
      </w:r>
      <w:r w:rsidR="00381FB7" w:rsidRPr="00ED38E9">
        <w:rPr>
          <w:rFonts w:cs="Arial"/>
          <w:lang w:eastAsia="cs-CZ" w:bidi="ar-SA"/>
        </w:rPr>
        <w:fldChar w:fldCharType="begin"/>
      </w:r>
      <w:r w:rsidRPr="00ED38E9">
        <w:rPr>
          <w:rFonts w:cs="Arial"/>
          <w:lang w:eastAsia="cs-CZ" w:bidi="ar-SA"/>
        </w:rPr>
        <w:instrText xml:space="preserve"> SEQ Obrázek \* ARABIC </w:instrText>
      </w:r>
      <w:r w:rsidR="00381FB7" w:rsidRPr="00ED38E9">
        <w:rPr>
          <w:rFonts w:cs="Arial"/>
          <w:lang w:eastAsia="cs-CZ" w:bidi="ar-SA"/>
        </w:rPr>
        <w:fldChar w:fldCharType="separate"/>
      </w:r>
      <w:r w:rsidR="002A3964" w:rsidRPr="00ED38E9">
        <w:rPr>
          <w:rFonts w:cs="Arial"/>
          <w:lang w:eastAsia="cs-CZ" w:bidi="ar-SA"/>
        </w:rPr>
        <w:t>6</w:t>
      </w:r>
      <w:r w:rsidR="00381FB7" w:rsidRPr="00ED38E9">
        <w:rPr>
          <w:rFonts w:cs="Arial"/>
          <w:lang w:eastAsia="cs-CZ" w:bidi="ar-SA"/>
        </w:rPr>
        <w:fldChar w:fldCharType="end"/>
      </w:r>
      <w:r w:rsidRPr="00ED38E9">
        <w:rPr>
          <w:rFonts w:cs="Arial"/>
          <w:lang w:eastAsia="cs-CZ" w:bidi="ar-SA"/>
        </w:rPr>
        <w:t>: Přehled fungování systému v Dánsku</w:t>
      </w:r>
    </w:p>
    <w:p w:rsidR="00ED5B2D" w:rsidRPr="00ED38E9" w:rsidRDefault="00ED5B2D" w:rsidP="00ED5B2D">
      <w:pPr>
        <w:keepNext/>
        <w:widowControl w:val="0"/>
        <w:spacing w:before="120" w:after="120"/>
        <w:rPr>
          <w:rFonts w:eastAsia="Calibri" w:cs="Arial"/>
          <w:b/>
          <w:i/>
          <w:noProof w:val="0"/>
          <w:szCs w:val="22"/>
          <w:lang w:bidi="ar-SA"/>
        </w:rPr>
      </w:pPr>
      <w:r w:rsidRPr="00ED38E9">
        <w:rPr>
          <w:rFonts w:eastAsia="Calibri" w:cs="Arial"/>
          <w:szCs w:val="22"/>
          <w:lang w:eastAsia="cs-CZ" w:bidi="ar-SA"/>
        </w:rPr>
        <w:drawing>
          <wp:inline distT="0" distB="0" distL="0" distR="0" wp14:anchorId="18F6A748" wp14:editId="497C2B54">
            <wp:extent cx="5070542" cy="4698124"/>
            <wp:effectExtent l="0" t="0" r="0" b="7620"/>
            <wp:docPr id="26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8942" cy="4696642"/>
                    </a:xfrm>
                    <a:prstGeom prst="rect">
                      <a:avLst/>
                    </a:prstGeom>
                    <a:noFill/>
                  </pic:spPr>
                </pic:pic>
              </a:graphicData>
            </a:graphic>
          </wp:inline>
        </w:drawing>
      </w:r>
    </w:p>
    <w:p w:rsidR="00ED5B2D" w:rsidRPr="00ED38E9" w:rsidRDefault="00ED5B2D" w:rsidP="00B45E02">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w:t>
      </w:r>
    </w:p>
    <w:p w:rsidR="00ED5B2D" w:rsidRPr="00CA69D0" w:rsidRDefault="00ED5B2D" w:rsidP="00792DBC">
      <w:pPr>
        <w:keepNext/>
        <w:spacing w:before="240"/>
        <w:rPr>
          <w:b/>
          <w:i/>
        </w:rPr>
      </w:pPr>
      <w:r w:rsidRPr="00CA69D0">
        <w:rPr>
          <w:rStyle w:val="Zvraznn"/>
          <w:rFonts w:ascii="Times New Roman" w:hAnsi="Times New Roman"/>
          <w:sz w:val="24"/>
        </w:rPr>
        <w:t>Operátor</w:t>
      </w:r>
      <w:r w:rsidRPr="00CA69D0">
        <w:rPr>
          <w:b/>
          <w:i/>
        </w:rPr>
        <w:t xml:space="preserve"> DPA</w:t>
      </w:r>
    </w:p>
    <w:p w:rsidR="00ED5B2D" w:rsidRPr="00D12FE4" w:rsidRDefault="00ED5B2D" w:rsidP="00B45E02">
      <w:pPr>
        <w:rPr>
          <w:rFonts w:eastAsia="Calibri"/>
          <w:noProof w:val="0"/>
          <w:lang w:bidi="ar-SA"/>
        </w:rPr>
      </w:pPr>
      <w:r w:rsidRPr="00097EE6">
        <w:rPr>
          <w:rFonts w:eastAsia="Calibri"/>
          <w:noProof w:val="0"/>
          <w:lang w:bidi="ar-SA"/>
        </w:rPr>
        <w:t xml:space="preserve">DPA (DPA </w:t>
      </w:r>
      <w:proofErr w:type="spellStart"/>
      <w:r w:rsidRPr="00097EE6">
        <w:rPr>
          <w:rFonts w:eastAsia="Calibri"/>
          <w:noProof w:val="0"/>
          <w:lang w:bidi="ar-SA"/>
        </w:rPr>
        <w:t>System</w:t>
      </w:r>
      <w:proofErr w:type="spellEnd"/>
      <w:r w:rsidRPr="00097EE6">
        <w:rPr>
          <w:rFonts w:eastAsia="Calibri"/>
          <w:noProof w:val="0"/>
          <w:lang w:bidi="ar-SA"/>
        </w:rPr>
        <w:t xml:space="preserve"> – </w:t>
      </w:r>
      <w:proofErr w:type="spellStart"/>
      <w:r w:rsidRPr="00097EE6">
        <w:rPr>
          <w:rFonts w:eastAsia="Calibri"/>
          <w:noProof w:val="0"/>
          <w:lang w:bidi="ar-SA"/>
        </w:rPr>
        <w:t>Danish</w:t>
      </w:r>
      <w:proofErr w:type="spellEnd"/>
      <w:r w:rsidRPr="00097EE6">
        <w:rPr>
          <w:rFonts w:eastAsia="Calibri"/>
          <w:noProof w:val="0"/>
          <w:lang w:bidi="ar-SA"/>
        </w:rPr>
        <w:t xml:space="preserve"> </w:t>
      </w:r>
      <w:proofErr w:type="spellStart"/>
      <w:r w:rsidRPr="00097EE6">
        <w:rPr>
          <w:rFonts w:eastAsia="Calibri"/>
          <w:noProof w:val="0"/>
          <w:lang w:bidi="ar-SA"/>
        </w:rPr>
        <w:t>Producer</w:t>
      </w:r>
      <w:proofErr w:type="spellEnd"/>
      <w:r w:rsidRPr="00097EE6">
        <w:rPr>
          <w:rFonts w:eastAsia="Calibri"/>
          <w:noProof w:val="0"/>
          <w:lang w:bidi="ar-SA"/>
        </w:rPr>
        <w:t xml:space="preserve"> </w:t>
      </w:r>
      <w:proofErr w:type="spellStart"/>
      <w:r w:rsidRPr="00097EE6">
        <w:rPr>
          <w:rFonts w:eastAsia="Calibri"/>
          <w:noProof w:val="0"/>
          <w:lang w:bidi="ar-SA"/>
        </w:rPr>
        <w:t>Responsibility</w:t>
      </w:r>
      <w:proofErr w:type="spellEnd"/>
      <w:r w:rsidRPr="00097EE6">
        <w:rPr>
          <w:rFonts w:eastAsia="Calibri"/>
          <w:noProof w:val="0"/>
          <w:lang w:bidi="ar-SA"/>
        </w:rPr>
        <w:t>) byl založen v souladu se Zákonem o ochraně životního</w:t>
      </w:r>
      <w:r w:rsidRPr="00D12FE4">
        <w:rPr>
          <w:rFonts w:eastAsia="Calibri"/>
          <w:noProof w:val="0"/>
          <w:lang w:bidi="ar-SA"/>
        </w:rPr>
        <w:t xml:space="preserve"> prostředí. Top management DPA je jmenován Ministerstvem životního prostředí. Činnost DPA je financován z poplatků výrobců.</w:t>
      </w:r>
    </w:p>
    <w:p w:rsidR="00ED5B2D" w:rsidRPr="00212AB8" w:rsidRDefault="00ED5B2D" w:rsidP="00B45E02">
      <w:pPr>
        <w:rPr>
          <w:rFonts w:eastAsia="Calibri"/>
          <w:noProof w:val="0"/>
          <w:lang w:bidi="ar-SA"/>
        </w:rPr>
      </w:pPr>
      <w:r w:rsidRPr="0092438A">
        <w:rPr>
          <w:rFonts w:eastAsia="Calibri"/>
          <w:noProof w:val="0"/>
          <w:lang w:bidi="ar-SA"/>
        </w:rPr>
        <w:t xml:space="preserve">Mezi hlavní </w:t>
      </w:r>
      <w:r w:rsidRPr="00212AB8">
        <w:rPr>
          <w:rFonts w:eastAsia="Calibri"/>
          <w:noProof w:val="0"/>
          <w:lang w:bidi="ar-SA"/>
        </w:rPr>
        <w:t>činnosti DPA patří především:</w:t>
      </w:r>
    </w:p>
    <w:p w:rsidR="00ED5B2D" w:rsidRPr="00E37D0B" w:rsidRDefault="00ED5B2D" w:rsidP="002D66F0">
      <w:pPr>
        <w:pStyle w:val="Odstavecseseznamem"/>
        <w:numPr>
          <w:ilvl w:val="0"/>
          <w:numId w:val="72"/>
        </w:numPr>
        <w:spacing w:after="200"/>
        <w:rPr>
          <w:rFonts w:eastAsia="Calibri"/>
          <w:b/>
          <w:noProof w:val="0"/>
          <w:lang w:bidi="ar-SA"/>
        </w:rPr>
      </w:pPr>
      <w:r w:rsidRPr="00E37D0B">
        <w:rPr>
          <w:rFonts w:eastAsia="Calibri"/>
          <w:b/>
          <w:noProof w:val="0"/>
          <w:lang w:bidi="ar-SA"/>
        </w:rPr>
        <w:t>Provozování centrálního registru výrobců</w:t>
      </w:r>
    </w:p>
    <w:p w:rsidR="00ED5B2D" w:rsidRPr="002E1F28" w:rsidRDefault="00ED5B2D" w:rsidP="002D66F0">
      <w:pPr>
        <w:pStyle w:val="Odstavecseseznamem"/>
        <w:numPr>
          <w:ilvl w:val="0"/>
          <w:numId w:val="72"/>
        </w:numPr>
        <w:spacing w:after="200"/>
        <w:rPr>
          <w:rFonts w:eastAsia="Calibri"/>
          <w:b/>
          <w:noProof w:val="0"/>
          <w:lang w:bidi="ar-SA"/>
        </w:rPr>
      </w:pPr>
      <w:r w:rsidRPr="00242695">
        <w:rPr>
          <w:rFonts w:eastAsia="Calibri"/>
          <w:b/>
          <w:noProof w:val="0"/>
          <w:lang w:bidi="ar-SA"/>
        </w:rPr>
        <w:t>Výpočet EEZ uvede</w:t>
      </w:r>
      <w:r w:rsidRPr="002E1F28">
        <w:rPr>
          <w:rFonts w:eastAsia="Calibri"/>
          <w:b/>
          <w:noProof w:val="0"/>
          <w:lang w:bidi="ar-SA"/>
        </w:rPr>
        <w:t xml:space="preserve">ných na trh </w:t>
      </w:r>
    </w:p>
    <w:p w:rsidR="00ED5B2D" w:rsidRPr="002E1F28" w:rsidRDefault="00ED5B2D" w:rsidP="002D66F0">
      <w:pPr>
        <w:pStyle w:val="Odstavecseseznamem"/>
        <w:numPr>
          <w:ilvl w:val="0"/>
          <w:numId w:val="72"/>
        </w:numPr>
        <w:spacing w:after="200"/>
        <w:rPr>
          <w:rFonts w:eastAsia="Calibri"/>
          <w:noProof w:val="0"/>
          <w:lang w:bidi="ar-SA"/>
        </w:rPr>
      </w:pPr>
      <w:r w:rsidRPr="002E1F28">
        <w:rPr>
          <w:rFonts w:eastAsia="Calibri"/>
          <w:noProof w:val="0"/>
          <w:lang w:bidi="ar-SA"/>
        </w:rPr>
        <w:t>Koordinace odvozu OEEZ mezi odběrovými místy a kolektivními systémy</w:t>
      </w:r>
    </w:p>
    <w:p w:rsidR="00ED5B2D" w:rsidRPr="00530496" w:rsidRDefault="00ED5B2D" w:rsidP="002D66F0">
      <w:pPr>
        <w:pStyle w:val="Odstavecseseznamem"/>
        <w:numPr>
          <w:ilvl w:val="0"/>
          <w:numId w:val="72"/>
        </w:numPr>
        <w:spacing w:after="200"/>
        <w:rPr>
          <w:rFonts w:eastAsia="Calibri"/>
          <w:noProof w:val="0"/>
          <w:lang w:bidi="ar-SA"/>
        </w:rPr>
      </w:pPr>
      <w:r w:rsidRPr="00530496">
        <w:rPr>
          <w:rFonts w:eastAsia="Calibri"/>
          <w:noProof w:val="0"/>
          <w:lang w:bidi="ar-SA"/>
        </w:rPr>
        <w:t>Registrace kolektivních systémů</w:t>
      </w:r>
    </w:p>
    <w:p w:rsidR="00ED5B2D" w:rsidRPr="003748C7" w:rsidRDefault="00ED5B2D" w:rsidP="00B45E02">
      <w:pPr>
        <w:widowControl w:val="0"/>
        <w:rPr>
          <w:rFonts w:eastAsia="Calibri"/>
          <w:b/>
          <w:noProof w:val="0"/>
          <w:lang w:bidi="ar-SA"/>
        </w:rPr>
      </w:pPr>
      <w:r w:rsidRPr="003748C7">
        <w:rPr>
          <w:rFonts w:eastAsia="Calibri"/>
          <w:b/>
          <w:noProof w:val="0"/>
          <w:lang w:bidi="ar-SA"/>
        </w:rPr>
        <w:t>Z </w:t>
      </w:r>
      <w:r w:rsidRPr="003748C7">
        <w:rPr>
          <w:b/>
        </w:rPr>
        <w:t>uvedeného</w:t>
      </w:r>
      <w:r w:rsidRPr="003748C7">
        <w:rPr>
          <w:rFonts w:eastAsia="Calibri"/>
          <w:b/>
          <w:noProof w:val="0"/>
          <w:lang w:bidi="ar-SA"/>
        </w:rPr>
        <w:t xml:space="preserve"> vyplývá, že DPA jako operátor plní funkci evidenční i účtovací.</w:t>
      </w:r>
    </w:p>
    <w:p w:rsidR="00ED5B2D" w:rsidRPr="0029509F" w:rsidRDefault="00ED5B2D" w:rsidP="00792DBC">
      <w:pPr>
        <w:keepNext/>
        <w:spacing w:before="240"/>
        <w:rPr>
          <w:b/>
          <w:i/>
        </w:rPr>
      </w:pPr>
      <w:r w:rsidRPr="003748C7">
        <w:rPr>
          <w:rStyle w:val="Zvraznn"/>
          <w:rFonts w:ascii="Times New Roman" w:hAnsi="Times New Roman"/>
          <w:sz w:val="24"/>
        </w:rPr>
        <w:t>Kolektivní</w:t>
      </w:r>
      <w:r w:rsidRPr="0029509F">
        <w:rPr>
          <w:b/>
          <w:i/>
        </w:rPr>
        <w:t xml:space="preserve"> systémy</w:t>
      </w:r>
    </w:p>
    <w:p w:rsidR="00ED5B2D" w:rsidRPr="000C7590" w:rsidRDefault="00ED5B2D" w:rsidP="00691CBC">
      <w:pPr>
        <w:widowControl w:val="0"/>
        <w:rPr>
          <w:rFonts w:eastAsia="Calibri"/>
          <w:noProof w:val="0"/>
          <w:lang w:bidi="ar-SA"/>
        </w:rPr>
      </w:pPr>
      <w:r w:rsidRPr="000C7590">
        <w:rPr>
          <w:rFonts w:eastAsia="Calibri"/>
          <w:noProof w:val="0"/>
          <w:lang w:bidi="ar-SA"/>
        </w:rPr>
        <w:t xml:space="preserve">V Dánsku je </w:t>
      </w:r>
      <w:r w:rsidRPr="000C7590">
        <w:t>registrováno</w:t>
      </w:r>
      <w:r w:rsidRPr="000C7590">
        <w:rPr>
          <w:rFonts w:eastAsia="Calibri"/>
          <w:noProof w:val="0"/>
          <w:lang w:bidi="ar-SA"/>
        </w:rPr>
        <w:t xml:space="preserve"> celkem 1 576 výrobců, z čehož:</w:t>
      </w:r>
    </w:p>
    <w:p w:rsidR="00ED5B2D" w:rsidRPr="001F7AC0" w:rsidRDefault="00ED5B2D" w:rsidP="002D66F0">
      <w:pPr>
        <w:pStyle w:val="Odstavecseseznamem"/>
        <w:widowControl w:val="0"/>
        <w:numPr>
          <w:ilvl w:val="0"/>
          <w:numId w:val="73"/>
        </w:numPr>
        <w:spacing w:after="200"/>
        <w:jc w:val="left"/>
      </w:pPr>
      <w:r w:rsidRPr="001F7AC0">
        <w:t>976 je v kolektivním systému</w:t>
      </w:r>
    </w:p>
    <w:p w:rsidR="00ED5B2D" w:rsidRPr="001F7AC0" w:rsidRDefault="00ED5B2D" w:rsidP="002D66F0">
      <w:pPr>
        <w:pStyle w:val="Odstavecseseznamem"/>
        <w:widowControl w:val="0"/>
        <w:numPr>
          <w:ilvl w:val="0"/>
          <w:numId w:val="73"/>
        </w:numPr>
        <w:spacing w:after="200"/>
        <w:jc w:val="left"/>
      </w:pPr>
      <w:r w:rsidRPr="001F7AC0">
        <w:t>602 plní povinnosti individuálně.</w:t>
      </w:r>
    </w:p>
    <w:p w:rsidR="00ED5B2D" w:rsidRPr="00B24116" w:rsidRDefault="00ED5B2D" w:rsidP="00691CBC">
      <w:pPr>
        <w:widowControl w:val="0"/>
        <w:rPr>
          <w:rFonts w:eastAsia="Calibri"/>
          <w:noProof w:val="0"/>
          <w:lang w:bidi="ar-SA"/>
        </w:rPr>
      </w:pPr>
      <w:r w:rsidRPr="005F42B3">
        <w:rPr>
          <w:rFonts w:eastAsia="Calibri"/>
          <w:noProof w:val="0"/>
          <w:lang w:bidi="ar-SA"/>
        </w:rPr>
        <w:t xml:space="preserve">V Dánsku </w:t>
      </w:r>
      <w:r w:rsidRPr="00B24116">
        <w:t>působí</w:t>
      </w:r>
      <w:r w:rsidRPr="00B24116">
        <w:rPr>
          <w:rFonts w:eastAsia="Calibri"/>
          <w:noProof w:val="0"/>
          <w:lang w:bidi="ar-SA"/>
        </w:rPr>
        <w:t xml:space="preserve"> následující kolektivní systémy:</w:t>
      </w:r>
    </w:p>
    <w:p w:rsidR="00ED5B2D" w:rsidRPr="00B24116" w:rsidRDefault="00ED5B2D" w:rsidP="002D66F0">
      <w:pPr>
        <w:pStyle w:val="Odstavecseseznamem"/>
        <w:numPr>
          <w:ilvl w:val="0"/>
          <w:numId w:val="74"/>
        </w:numPr>
        <w:spacing w:after="200"/>
        <w:rPr>
          <w:rFonts w:eastAsia="Calibri"/>
          <w:noProof w:val="0"/>
          <w:lang w:bidi="ar-SA"/>
        </w:rPr>
      </w:pPr>
      <w:proofErr w:type="spellStart"/>
      <w:r w:rsidRPr="00B24116">
        <w:rPr>
          <w:rFonts w:eastAsia="Calibri"/>
          <w:noProof w:val="0"/>
          <w:lang w:bidi="ar-SA"/>
        </w:rPr>
        <w:lastRenderedPageBreak/>
        <w:t>Elretur</w:t>
      </w:r>
      <w:proofErr w:type="spellEnd"/>
    </w:p>
    <w:p w:rsidR="00ED5B2D" w:rsidRPr="00C0118D" w:rsidRDefault="00ED5B2D" w:rsidP="002D66F0">
      <w:pPr>
        <w:pStyle w:val="Odstavecseseznamem"/>
        <w:numPr>
          <w:ilvl w:val="0"/>
          <w:numId w:val="74"/>
        </w:numPr>
        <w:spacing w:after="200"/>
        <w:rPr>
          <w:rFonts w:eastAsia="Calibri"/>
          <w:noProof w:val="0"/>
          <w:lang w:bidi="ar-SA"/>
        </w:rPr>
      </w:pPr>
      <w:r w:rsidRPr="0006792F">
        <w:rPr>
          <w:rFonts w:eastAsia="Calibri"/>
          <w:noProof w:val="0"/>
          <w:lang w:bidi="ar-SA"/>
        </w:rPr>
        <w:t xml:space="preserve">ERP </w:t>
      </w:r>
      <w:proofErr w:type="spellStart"/>
      <w:r w:rsidRPr="0006792F">
        <w:rPr>
          <w:rFonts w:eastAsia="Calibri"/>
          <w:noProof w:val="0"/>
          <w:lang w:bidi="ar-SA"/>
        </w:rPr>
        <w:t>Danmark</w:t>
      </w:r>
      <w:proofErr w:type="spellEnd"/>
      <w:r w:rsidRPr="0006792F">
        <w:rPr>
          <w:rFonts w:eastAsia="Calibri"/>
          <w:noProof w:val="0"/>
          <w:lang w:bidi="ar-SA"/>
        </w:rPr>
        <w:t xml:space="preserve"> </w:t>
      </w:r>
      <w:proofErr w:type="spellStart"/>
      <w:r w:rsidRPr="0006792F">
        <w:rPr>
          <w:rFonts w:eastAsia="Calibri"/>
          <w:noProof w:val="0"/>
          <w:lang w:bidi="ar-SA"/>
        </w:rPr>
        <w:t>aps</w:t>
      </w:r>
      <w:proofErr w:type="spellEnd"/>
    </w:p>
    <w:p w:rsidR="00ED5B2D" w:rsidRPr="00474DE8" w:rsidRDefault="00ED5B2D" w:rsidP="002D66F0">
      <w:pPr>
        <w:pStyle w:val="Odstavecseseznamem"/>
        <w:numPr>
          <w:ilvl w:val="0"/>
          <w:numId w:val="74"/>
        </w:numPr>
        <w:spacing w:after="200"/>
        <w:rPr>
          <w:rFonts w:eastAsia="Calibri"/>
          <w:noProof w:val="0"/>
          <w:lang w:bidi="ar-SA"/>
        </w:rPr>
      </w:pPr>
      <w:r w:rsidRPr="00474DE8">
        <w:rPr>
          <w:rFonts w:eastAsia="Calibri"/>
          <w:noProof w:val="0"/>
          <w:lang w:bidi="ar-SA"/>
        </w:rPr>
        <w:t>LWF</w:t>
      </w:r>
    </w:p>
    <w:p w:rsidR="00ED5B2D" w:rsidRPr="00042A18" w:rsidRDefault="00ED5B2D" w:rsidP="002D66F0">
      <w:pPr>
        <w:pStyle w:val="Odstavecseseznamem"/>
        <w:numPr>
          <w:ilvl w:val="0"/>
          <w:numId w:val="74"/>
        </w:numPr>
        <w:spacing w:after="200"/>
        <w:rPr>
          <w:rFonts w:eastAsia="Calibri"/>
          <w:noProof w:val="0"/>
          <w:lang w:bidi="ar-SA"/>
        </w:rPr>
      </w:pPr>
      <w:r w:rsidRPr="00042A18">
        <w:rPr>
          <w:rFonts w:eastAsia="Calibri"/>
          <w:noProof w:val="0"/>
          <w:lang w:bidi="ar-SA"/>
        </w:rPr>
        <w:t>RENE</w:t>
      </w:r>
    </w:p>
    <w:p w:rsidR="00ED5B2D" w:rsidRPr="00CA69D0" w:rsidRDefault="00331677" w:rsidP="00314F00">
      <w:pPr>
        <w:rPr>
          <w:rFonts w:eastAsia="Calibri"/>
          <w:noProof w:val="0"/>
          <w:lang w:bidi="ar-SA"/>
        </w:rPr>
      </w:pPr>
      <w:r w:rsidRPr="00331677">
        <w:rPr>
          <w:rFonts w:eastAsia="Calibri"/>
          <w:b/>
          <w:noProof w:val="0"/>
          <w:lang w:bidi="ar-SA"/>
        </w:rPr>
        <w:t>Každý kolektivní systém musí být registrován u DPA</w:t>
      </w:r>
      <w:r w:rsidRPr="00331677">
        <w:rPr>
          <w:rFonts w:eastAsia="Calibri"/>
          <w:noProof w:val="0"/>
          <w:lang w:bidi="ar-SA"/>
        </w:rPr>
        <w:t xml:space="preserve"> a zveřejněn na webových stránkách DPA. Počet kolektivních systémů není omezen ze zákona. Kolektivní systémy v Dánsku se mohou současně starat o více skupin OEEZ, většinou tomu tak i je.</w:t>
      </w:r>
    </w:p>
    <w:p w:rsidR="00ED5B2D" w:rsidRPr="00CA69D0" w:rsidRDefault="00331677" w:rsidP="00314F00">
      <w:pPr>
        <w:rPr>
          <w:rFonts w:eastAsia="Calibri"/>
          <w:noProof w:val="0"/>
          <w:lang w:bidi="ar-SA"/>
        </w:rPr>
      </w:pPr>
      <w:r w:rsidRPr="00331677">
        <w:rPr>
          <w:rFonts w:eastAsia="Calibri"/>
          <w:noProof w:val="0"/>
          <w:lang w:bidi="ar-SA"/>
        </w:rPr>
        <w:t xml:space="preserve">V Dánsku finanční garanci (na likvidaci EEZ uvedených v aktuálním roce na trh v případě úpadku výrobce) poskytují kolektivní systémy (v případě, že je výrobce součástí kolektivního systému). </w:t>
      </w:r>
    </w:p>
    <w:p w:rsidR="00ED5B2D" w:rsidRPr="00ED38E9" w:rsidRDefault="00ED5B2D" w:rsidP="0017046F">
      <w:pPr>
        <w:pStyle w:val="Titulek"/>
        <w:rPr>
          <w:rFonts w:cs="Arial"/>
          <w:lang w:eastAsia="cs-CZ" w:bidi="ar-SA"/>
        </w:rPr>
      </w:pPr>
      <w:r w:rsidRPr="00ED38E9">
        <w:rPr>
          <w:rFonts w:cs="Arial"/>
          <w:lang w:eastAsia="cs-CZ" w:bidi="ar-SA"/>
        </w:rPr>
        <w:t xml:space="preserve">Tabulka </w:t>
      </w:r>
      <w:r w:rsidR="00381FB7" w:rsidRPr="00ED38E9">
        <w:rPr>
          <w:rFonts w:cs="Arial"/>
          <w:lang w:eastAsia="cs-CZ" w:bidi="ar-SA"/>
        </w:rPr>
        <w:fldChar w:fldCharType="begin"/>
      </w:r>
      <w:r w:rsidRPr="00ED38E9">
        <w:rPr>
          <w:rFonts w:cs="Arial"/>
          <w:lang w:eastAsia="cs-CZ" w:bidi="ar-SA"/>
        </w:rPr>
        <w:instrText xml:space="preserve"> SEQ Tabulka \* ARABIC </w:instrText>
      </w:r>
      <w:r w:rsidR="00381FB7" w:rsidRPr="00ED38E9">
        <w:rPr>
          <w:rFonts w:cs="Arial"/>
          <w:lang w:eastAsia="cs-CZ" w:bidi="ar-SA"/>
        </w:rPr>
        <w:fldChar w:fldCharType="separate"/>
      </w:r>
      <w:r w:rsidR="00FD5E92">
        <w:rPr>
          <w:rFonts w:cs="Arial"/>
          <w:lang w:eastAsia="cs-CZ" w:bidi="ar-SA"/>
        </w:rPr>
        <w:t>30</w:t>
      </w:r>
      <w:r w:rsidR="00381FB7" w:rsidRPr="00ED38E9">
        <w:rPr>
          <w:rFonts w:cs="Arial"/>
          <w:lang w:eastAsia="cs-CZ" w:bidi="ar-SA"/>
        </w:rPr>
        <w:fldChar w:fldCharType="end"/>
      </w:r>
      <w:r w:rsidRPr="00ED38E9">
        <w:rPr>
          <w:rFonts w:cs="Arial"/>
          <w:lang w:eastAsia="cs-CZ" w:bidi="ar-SA"/>
        </w:rPr>
        <w:t>: Legislativní řešení v oblasti zpětného odběru EEZ</w:t>
      </w:r>
    </w:p>
    <w:tbl>
      <w:tblPr>
        <w:tblW w:w="7867" w:type="dxa"/>
        <w:tblCellMar>
          <w:left w:w="70" w:type="dxa"/>
          <w:right w:w="70" w:type="dxa"/>
        </w:tblCellMar>
        <w:tblLook w:val="04A0" w:firstRow="1" w:lastRow="0" w:firstColumn="1" w:lastColumn="0" w:noHBand="0" w:noVBand="1"/>
      </w:tblPr>
      <w:tblGrid>
        <w:gridCol w:w="2480"/>
        <w:gridCol w:w="1731"/>
        <w:gridCol w:w="3656"/>
      </w:tblGrid>
      <w:tr w:rsidR="00F367DB" w:rsidRPr="00F367DB" w:rsidTr="00F367DB">
        <w:trPr>
          <w:trHeight w:val="592"/>
        </w:trPr>
        <w:tc>
          <w:tcPr>
            <w:tcW w:w="2480" w:type="dxa"/>
            <w:shd w:val="clear" w:color="auto" w:fill="auto"/>
            <w:noWrap/>
            <w:vAlign w:val="center"/>
            <w:hideMark/>
          </w:tcPr>
          <w:p w:rsidR="00ED5B2D" w:rsidRPr="00ED38E9" w:rsidRDefault="00ED5B2D" w:rsidP="00314F00">
            <w:pPr>
              <w:keepNext/>
              <w:jc w:val="center"/>
              <w:rPr>
                <w:rFonts w:eastAsia="MS Mincho" w:cs="Arial"/>
                <w:b/>
                <w:noProof w:val="0"/>
                <w:color w:val="0D0D0D" w:themeColor="text1" w:themeTint="F2"/>
                <w:sz w:val="18"/>
                <w:szCs w:val="20"/>
                <w:lang w:eastAsia="cs-CZ" w:bidi="ar-SA"/>
              </w:rPr>
            </w:pPr>
            <w:r w:rsidRPr="00ED38E9">
              <w:rPr>
                <w:rFonts w:eastAsia="MS Mincho" w:cs="Arial"/>
                <w:b/>
                <w:noProof w:val="0"/>
                <w:color w:val="0D0D0D" w:themeColor="text1" w:themeTint="F2"/>
                <w:sz w:val="18"/>
                <w:szCs w:val="20"/>
                <w:lang w:eastAsia="cs-CZ" w:bidi="ar-SA"/>
              </w:rPr>
              <w:t>Stát</w:t>
            </w:r>
          </w:p>
        </w:tc>
        <w:tc>
          <w:tcPr>
            <w:tcW w:w="1731" w:type="dxa"/>
            <w:shd w:val="clear" w:color="auto" w:fill="auto"/>
            <w:noWrap/>
            <w:vAlign w:val="center"/>
            <w:hideMark/>
          </w:tcPr>
          <w:p w:rsidR="00ED5B2D" w:rsidRPr="00ED38E9" w:rsidRDefault="00ED5B2D" w:rsidP="00314F00">
            <w:pPr>
              <w:keepNext/>
              <w:jc w:val="center"/>
              <w:rPr>
                <w:rFonts w:eastAsia="MS Mincho" w:cs="Arial"/>
                <w:b/>
                <w:noProof w:val="0"/>
                <w:color w:val="0D0D0D" w:themeColor="text1" w:themeTint="F2"/>
                <w:sz w:val="18"/>
                <w:szCs w:val="20"/>
                <w:lang w:eastAsia="cs-CZ" w:bidi="ar-SA"/>
              </w:rPr>
            </w:pPr>
            <w:r w:rsidRPr="00ED38E9">
              <w:rPr>
                <w:rFonts w:eastAsia="MS Mincho" w:cs="Arial"/>
                <w:b/>
                <w:noProof w:val="0"/>
                <w:color w:val="0D0D0D" w:themeColor="text1" w:themeTint="F2"/>
                <w:sz w:val="18"/>
                <w:szCs w:val="20"/>
                <w:lang w:eastAsia="cs-CZ" w:bidi="ar-SA"/>
              </w:rPr>
              <w:t>Vyčleněno (ANO/NE)</w:t>
            </w:r>
          </w:p>
        </w:tc>
        <w:tc>
          <w:tcPr>
            <w:tcW w:w="3656" w:type="dxa"/>
            <w:shd w:val="clear" w:color="auto" w:fill="auto"/>
            <w:vAlign w:val="center"/>
            <w:hideMark/>
          </w:tcPr>
          <w:p w:rsidR="00ED5B2D" w:rsidRPr="00ED38E9" w:rsidRDefault="00ED5B2D" w:rsidP="00314F00">
            <w:pPr>
              <w:keepNext/>
              <w:jc w:val="center"/>
              <w:rPr>
                <w:rFonts w:eastAsia="MS Mincho" w:cs="Arial"/>
                <w:b/>
                <w:noProof w:val="0"/>
                <w:color w:val="0D0D0D" w:themeColor="text1" w:themeTint="F2"/>
                <w:sz w:val="18"/>
                <w:szCs w:val="20"/>
                <w:lang w:eastAsia="cs-CZ" w:bidi="ar-SA"/>
              </w:rPr>
            </w:pPr>
            <w:r w:rsidRPr="00ED38E9">
              <w:rPr>
                <w:rFonts w:eastAsia="MS Mincho" w:cs="Arial"/>
                <w:b/>
                <w:noProof w:val="0"/>
                <w:color w:val="0D0D0D" w:themeColor="text1" w:themeTint="F2"/>
                <w:sz w:val="18"/>
                <w:szCs w:val="20"/>
                <w:lang w:eastAsia="cs-CZ" w:bidi="ar-SA"/>
              </w:rPr>
              <w:t>Upravující právní předpis</w:t>
            </w:r>
          </w:p>
        </w:tc>
      </w:tr>
      <w:tr w:rsidR="00ED5B2D" w:rsidRPr="000B7CBF" w:rsidTr="001820AA">
        <w:trPr>
          <w:trHeight w:val="185"/>
        </w:trPr>
        <w:tc>
          <w:tcPr>
            <w:tcW w:w="2480"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Česká republika</w:t>
            </w:r>
          </w:p>
        </w:tc>
        <w:tc>
          <w:tcPr>
            <w:tcW w:w="1731"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ANO</w:t>
            </w:r>
          </w:p>
        </w:tc>
        <w:tc>
          <w:tcPr>
            <w:tcW w:w="3656"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Zákon o výrobcích s ukončenou životností</w:t>
            </w:r>
          </w:p>
        </w:tc>
      </w:tr>
      <w:tr w:rsidR="00ED5B2D" w:rsidRPr="000B7CBF" w:rsidTr="001820AA">
        <w:trPr>
          <w:trHeight w:val="296"/>
        </w:trPr>
        <w:tc>
          <w:tcPr>
            <w:tcW w:w="2480"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Německo</w:t>
            </w:r>
          </w:p>
        </w:tc>
        <w:tc>
          <w:tcPr>
            <w:tcW w:w="1731"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ANO</w:t>
            </w:r>
          </w:p>
        </w:tc>
        <w:tc>
          <w:tcPr>
            <w:tcW w:w="3656"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 xml:space="preserve">tzv. </w:t>
            </w:r>
            <w:proofErr w:type="spellStart"/>
            <w:r w:rsidRPr="00ED38E9">
              <w:rPr>
                <w:rFonts w:eastAsia="MS Mincho" w:cs="Arial"/>
                <w:noProof w:val="0"/>
                <w:sz w:val="18"/>
                <w:szCs w:val="20"/>
                <w:lang w:eastAsia="cs-CZ" w:bidi="ar-SA"/>
              </w:rPr>
              <w:t>ElektroG</w:t>
            </w:r>
            <w:proofErr w:type="spellEnd"/>
          </w:p>
        </w:tc>
      </w:tr>
      <w:tr w:rsidR="00ED5B2D" w:rsidRPr="000B7CBF" w:rsidTr="001820AA">
        <w:trPr>
          <w:trHeight w:val="185"/>
        </w:trPr>
        <w:tc>
          <w:tcPr>
            <w:tcW w:w="2480"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Rakousko</w:t>
            </w:r>
          </w:p>
        </w:tc>
        <w:tc>
          <w:tcPr>
            <w:tcW w:w="1731"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ANO</w:t>
            </w:r>
          </w:p>
        </w:tc>
        <w:tc>
          <w:tcPr>
            <w:tcW w:w="3656" w:type="dxa"/>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tzv. EAG-VO</w:t>
            </w:r>
          </w:p>
        </w:tc>
      </w:tr>
      <w:tr w:rsidR="00ED5B2D" w:rsidRPr="000B7CBF" w:rsidTr="001820AA">
        <w:trPr>
          <w:trHeight w:val="185"/>
        </w:trPr>
        <w:tc>
          <w:tcPr>
            <w:tcW w:w="2480" w:type="dxa"/>
            <w:tcBorders>
              <w:bottom w:val="single" w:sz="4" w:space="0" w:color="auto"/>
            </w:tcBorders>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Dánsko</w:t>
            </w:r>
          </w:p>
        </w:tc>
        <w:tc>
          <w:tcPr>
            <w:tcW w:w="1731" w:type="dxa"/>
            <w:tcBorders>
              <w:bottom w:val="single" w:sz="4" w:space="0" w:color="auto"/>
            </w:tcBorders>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NE</w:t>
            </w:r>
          </w:p>
        </w:tc>
        <w:tc>
          <w:tcPr>
            <w:tcW w:w="3656" w:type="dxa"/>
            <w:tcBorders>
              <w:bottom w:val="single" w:sz="4" w:space="0" w:color="auto"/>
            </w:tcBorders>
            <w:shd w:val="clear" w:color="000000" w:fill="FFFFFF"/>
            <w:vAlign w:val="center"/>
            <w:hideMark/>
          </w:tcPr>
          <w:p w:rsidR="00ED5B2D" w:rsidRPr="00ED38E9" w:rsidRDefault="00ED5B2D" w:rsidP="00314F00">
            <w:pPr>
              <w:keepNext/>
              <w:jc w:val="center"/>
              <w:rPr>
                <w:rFonts w:eastAsia="MS Mincho" w:cs="Arial"/>
                <w:noProof w:val="0"/>
                <w:sz w:val="18"/>
                <w:szCs w:val="20"/>
                <w:lang w:eastAsia="cs-CZ" w:bidi="ar-SA"/>
              </w:rPr>
            </w:pPr>
            <w:proofErr w:type="spellStart"/>
            <w:r w:rsidRPr="00ED38E9">
              <w:rPr>
                <w:rFonts w:eastAsia="MS Mincho" w:cs="Arial"/>
                <w:noProof w:val="0"/>
                <w:sz w:val="18"/>
                <w:szCs w:val="20"/>
                <w:lang w:eastAsia="cs-CZ" w:bidi="ar-SA"/>
              </w:rPr>
              <w:t>Environmental</w:t>
            </w:r>
            <w:proofErr w:type="spellEnd"/>
            <w:r w:rsidRPr="00ED38E9">
              <w:rPr>
                <w:rFonts w:eastAsia="MS Mincho" w:cs="Arial"/>
                <w:noProof w:val="0"/>
                <w:sz w:val="18"/>
                <w:szCs w:val="20"/>
                <w:lang w:eastAsia="cs-CZ" w:bidi="ar-SA"/>
              </w:rPr>
              <w:t xml:space="preserve"> </w:t>
            </w:r>
            <w:proofErr w:type="spellStart"/>
            <w:r w:rsidRPr="00ED38E9">
              <w:rPr>
                <w:rFonts w:eastAsia="MS Mincho" w:cs="Arial"/>
                <w:noProof w:val="0"/>
                <w:sz w:val="18"/>
                <w:szCs w:val="20"/>
                <w:lang w:eastAsia="cs-CZ" w:bidi="ar-SA"/>
              </w:rPr>
              <w:t>protection</w:t>
            </w:r>
            <w:proofErr w:type="spellEnd"/>
            <w:r w:rsidRPr="00ED38E9">
              <w:rPr>
                <w:rFonts w:eastAsia="MS Mincho" w:cs="Arial"/>
                <w:noProof w:val="0"/>
                <w:sz w:val="18"/>
                <w:szCs w:val="20"/>
                <w:lang w:eastAsia="cs-CZ" w:bidi="ar-SA"/>
              </w:rPr>
              <w:t xml:space="preserve"> </w:t>
            </w:r>
            <w:proofErr w:type="spellStart"/>
            <w:r w:rsidRPr="00ED38E9">
              <w:rPr>
                <w:rFonts w:eastAsia="MS Mincho" w:cs="Arial"/>
                <w:noProof w:val="0"/>
                <w:sz w:val="18"/>
                <w:szCs w:val="20"/>
                <w:lang w:eastAsia="cs-CZ" w:bidi="ar-SA"/>
              </w:rPr>
              <w:t>act</w:t>
            </w:r>
            <w:proofErr w:type="spellEnd"/>
          </w:p>
        </w:tc>
      </w:tr>
    </w:tbl>
    <w:p w:rsidR="00ED5B2D" w:rsidRPr="00ED38E9" w:rsidRDefault="00ED5B2D" w:rsidP="00314F00">
      <w:pPr>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w:t>
      </w:r>
    </w:p>
    <w:p w:rsidR="006415EE" w:rsidRPr="00ED38E9" w:rsidRDefault="006415EE" w:rsidP="00F97AF3">
      <w:pPr>
        <w:pStyle w:val="Nadpis3"/>
        <w:rPr>
          <w:rFonts w:eastAsia="Calibri"/>
        </w:rPr>
      </w:pPr>
      <w:bookmarkStart w:id="55" w:name="_Toc402706641"/>
      <w:r w:rsidRPr="00ED38E9">
        <w:rPr>
          <w:rFonts w:eastAsia="Calibri"/>
        </w:rPr>
        <w:t>Popis existujícího právního stavu v dané oblasti</w:t>
      </w:r>
      <w:bookmarkEnd w:id="55"/>
      <w:r w:rsidRPr="00ED38E9">
        <w:rPr>
          <w:rFonts w:eastAsia="Calibri"/>
        </w:rPr>
        <w:t xml:space="preserve"> </w:t>
      </w:r>
    </w:p>
    <w:p w:rsidR="00314F00" w:rsidRPr="00ED38E9" w:rsidRDefault="00314F00" w:rsidP="00351BBF">
      <w:pPr>
        <w:rPr>
          <w:rFonts w:eastAsia="Calibri" w:cs="Arial"/>
          <w:lang w:bidi="ar-SA"/>
        </w:rPr>
      </w:pPr>
      <w:r w:rsidRPr="00ED38E9">
        <w:rPr>
          <w:rFonts w:eastAsia="Calibri" w:cs="Arial"/>
          <w:lang w:bidi="ar-SA"/>
        </w:rPr>
        <w:t>V současnosti je problematika zpětného odběru výrobků s ukončenou životností a</w:t>
      </w:r>
      <w:r w:rsidR="00AF0E01" w:rsidRPr="00ED38E9">
        <w:rPr>
          <w:rFonts w:eastAsia="Calibri" w:cs="Arial"/>
          <w:lang w:bidi="ar-SA"/>
        </w:rPr>
        <w:t> </w:t>
      </w:r>
      <w:r w:rsidRPr="00ED38E9">
        <w:rPr>
          <w:rFonts w:eastAsia="Calibri" w:cs="Arial"/>
          <w:lang w:bidi="ar-SA"/>
        </w:rPr>
        <w:t>následného nakládání s odpadním elektronickým zařízením (OEEZ) upravena především následujícími právními předpisy:</w:t>
      </w:r>
    </w:p>
    <w:p w:rsidR="00314F00" w:rsidRPr="00ED38E9" w:rsidRDefault="00314F00" w:rsidP="002D66F0">
      <w:pPr>
        <w:pStyle w:val="Odstavecseseznamem"/>
        <w:widowControl w:val="0"/>
        <w:numPr>
          <w:ilvl w:val="0"/>
          <w:numId w:val="75"/>
        </w:numPr>
        <w:spacing w:before="120" w:after="120" w:line="240" w:lineRule="auto"/>
        <w:rPr>
          <w:rFonts w:eastAsia="Calibri" w:cs="Arial"/>
          <w:noProof w:val="0"/>
          <w:szCs w:val="22"/>
          <w:lang w:bidi="ar-SA"/>
        </w:rPr>
      </w:pPr>
      <w:r w:rsidRPr="00ED38E9">
        <w:rPr>
          <w:rFonts w:eastAsia="Calibri" w:cs="Arial"/>
          <w:noProof w:val="0"/>
          <w:szCs w:val="22"/>
          <w:lang w:bidi="ar-SA"/>
        </w:rPr>
        <w:t>zákon č. 185/2001 Sb., o odpadech a o změně některých dalších zákonů, ve</w:t>
      </w:r>
      <w:r w:rsidR="00AF0E01" w:rsidRPr="00ED38E9">
        <w:rPr>
          <w:rFonts w:eastAsia="Calibri" w:cs="Arial"/>
          <w:noProof w:val="0"/>
          <w:szCs w:val="22"/>
          <w:lang w:bidi="ar-SA"/>
        </w:rPr>
        <w:t> </w:t>
      </w:r>
      <w:r w:rsidRPr="00ED38E9">
        <w:rPr>
          <w:rFonts w:eastAsia="Calibri" w:cs="Arial"/>
          <w:noProof w:val="0"/>
          <w:szCs w:val="22"/>
          <w:lang w:bidi="ar-SA"/>
        </w:rPr>
        <w:t>znění pozdějších předpisů – DÍL 8 Elektrická a elektronická zařízení</w:t>
      </w:r>
    </w:p>
    <w:p w:rsidR="00314F00" w:rsidRPr="00ED38E9" w:rsidRDefault="00314F00" w:rsidP="002D66F0">
      <w:pPr>
        <w:pStyle w:val="Odstavecseseznamem"/>
        <w:widowControl w:val="0"/>
        <w:numPr>
          <w:ilvl w:val="0"/>
          <w:numId w:val="75"/>
        </w:numPr>
        <w:spacing w:before="120" w:after="120" w:line="240" w:lineRule="auto"/>
        <w:rPr>
          <w:rFonts w:eastAsia="Calibri" w:cs="Arial"/>
          <w:noProof w:val="0"/>
          <w:szCs w:val="22"/>
          <w:lang w:bidi="ar-SA"/>
        </w:rPr>
      </w:pPr>
      <w:r w:rsidRPr="00ED38E9">
        <w:rPr>
          <w:rFonts w:eastAsia="Calibri" w:cs="Arial"/>
          <w:noProof w:val="0"/>
          <w:szCs w:val="22"/>
          <w:lang w:bidi="ar-SA"/>
        </w:rPr>
        <w:t xml:space="preserve">vyhláška č. 237/2002 Sb., o podrobnostech způsobu provedení zpětného odběru některých výrobků, ve znění pozdějších předpisů, </w:t>
      </w:r>
    </w:p>
    <w:p w:rsidR="00314F00" w:rsidRPr="00ED38E9" w:rsidRDefault="00314F00" w:rsidP="002D66F0">
      <w:pPr>
        <w:pStyle w:val="Odstavecseseznamem"/>
        <w:widowControl w:val="0"/>
        <w:numPr>
          <w:ilvl w:val="0"/>
          <w:numId w:val="75"/>
        </w:numPr>
        <w:spacing w:before="120" w:after="120" w:line="240" w:lineRule="auto"/>
        <w:rPr>
          <w:rFonts w:eastAsia="Calibri" w:cs="Arial"/>
          <w:noProof w:val="0"/>
          <w:szCs w:val="22"/>
          <w:lang w:bidi="ar-SA"/>
        </w:rPr>
      </w:pPr>
      <w:r w:rsidRPr="00ED38E9">
        <w:rPr>
          <w:rFonts w:eastAsia="Calibri" w:cs="Arial"/>
          <w:noProof w:val="0"/>
          <w:szCs w:val="22"/>
          <w:lang w:bidi="ar-SA"/>
        </w:rPr>
        <w:t xml:space="preserve">vyhláška č. 352/2005 Sb., o nakládání s elektrozařízeními a elektroodpady (dále jen „vyhláška“), </w:t>
      </w:r>
    </w:p>
    <w:p w:rsidR="00314F00" w:rsidRPr="00ED38E9" w:rsidRDefault="00314F00" w:rsidP="002D66F0">
      <w:pPr>
        <w:pStyle w:val="Odstavecseseznamem"/>
        <w:widowControl w:val="0"/>
        <w:numPr>
          <w:ilvl w:val="0"/>
          <w:numId w:val="75"/>
        </w:numPr>
        <w:spacing w:before="120" w:after="120" w:line="240" w:lineRule="auto"/>
        <w:rPr>
          <w:rFonts w:eastAsia="Calibri" w:cs="Arial"/>
          <w:noProof w:val="0"/>
          <w:szCs w:val="22"/>
          <w:lang w:bidi="ar-SA"/>
        </w:rPr>
      </w:pPr>
      <w:r w:rsidRPr="00ED38E9">
        <w:rPr>
          <w:rFonts w:eastAsia="Calibri" w:cs="Arial"/>
          <w:noProof w:val="0"/>
          <w:szCs w:val="22"/>
          <w:lang w:bidi="ar-SA"/>
        </w:rPr>
        <w:t>vyhláška č. 178/2013 Sb., kterou se mění vyhláška č. 352/2005 Sb., o</w:t>
      </w:r>
      <w:r w:rsidR="00AF0E01" w:rsidRPr="00ED38E9">
        <w:rPr>
          <w:rFonts w:eastAsia="Calibri" w:cs="Arial"/>
          <w:noProof w:val="0"/>
          <w:szCs w:val="22"/>
          <w:lang w:bidi="ar-SA"/>
        </w:rPr>
        <w:t> </w:t>
      </w:r>
      <w:r w:rsidRPr="00ED38E9">
        <w:rPr>
          <w:rFonts w:eastAsia="Calibri" w:cs="Arial"/>
          <w:noProof w:val="0"/>
          <w:szCs w:val="22"/>
          <w:lang w:bidi="ar-SA"/>
        </w:rPr>
        <w:t>podrobnostech nakládání s elektrozařízeními a elektroodpady a o bližších podmínkách financování nakládání s nimi (vyhláška o nakládání s</w:t>
      </w:r>
      <w:r w:rsidR="00AF0E01" w:rsidRPr="00ED38E9">
        <w:rPr>
          <w:rFonts w:eastAsia="Calibri" w:cs="Arial"/>
          <w:noProof w:val="0"/>
          <w:szCs w:val="22"/>
          <w:lang w:bidi="ar-SA"/>
        </w:rPr>
        <w:t> </w:t>
      </w:r>
      <w:r w:rsidRPr="00ED38E9">
        <w:rPr>
          <w:rFonts w:eastAsia="Calibri" w:cs="Arial"/>
          <w:noProof w:val="0"/>
          <w:szCs w:val="22"/>
          <w:lang w:bidi="ar-SA"/>
        </w:rPr>
        <w:t>elektrozařízeními a elektroodpady), ve znění pozdějších předpisů,</w:t>
      </w:r>
    </w:p>
    <w:p w:rsidR="00314F00" w:rsidRPr="00ED38E9" w:rsidRDefault="00314F00" w:rsidP="002D66F0">
      <w:pPr>
        <w:pStyle w:val="Odstavecseseznamem"/>
        <w:widowControl w:val="0"/>
        <w:numPr>
          <w:ilvl w:val="0"/>
          <w:numId w:val="75"/>
        </w:numPr>
        <w:spacing w:before="120" w:after="120" w:line="240" w:lineRule="auto"/>
        <w:rPr>
          <w:rFonts w:eastAsia="Calibri" w:cs="Arial"/>
          <w:noProof w:val="0"/>
          <w:szCs w:val="22"/>
          <w:lang w:bidi="ar-SA"/>
        </w:rPr>
      </w:pPr>
      <w:r w:rsidRPr="00ED38E9">
        <w:rPr>
          <w:rFonts w:eastAsia="Calibri" w:cs="Arial"/>
          <w:noProof w:val="0"/>
          <w:szCs w:val="22"/>
          <w:lang w:bidi="ar-SA"/>
        </w:rPr>
        <w:t>vyhláška č. 200/2014 Sb., kterou se mění vyhláška č. 352/2005 Sb., o</w:t>
      </w:r>
      <w:r w:rsidR="00AF0E01" w:rsidRPr="00ED38E9">
        <w:rPr>
          <w:rFonts w:eastAsia="Calibri" w:cs="Arial"/>
          <w:noProof w:val="0"/>
          <w:szCs w:val="22"/>
          <w:lang w:bidi="ar-SA"/>
        </w:rPr>
        <w:t> </w:t>
      </w:r>
      <w:r w:rsidRPr="00ED38E9">
        <w:rPr>
          <w:rFonts w:eastAsia="Calibri" w:cs="Arial"/>
          <w:noProof w:val="0"/>
          <w:szCs w:val="22"/>
          <w:lang w:bidi="ar-SA"/>
        </w:rPr>
        <w:t>podrobnostech nakládání s elektrozařízeními a elektroodpady a o bližších podmínkách financování nakládání s nimi (vyhláška o nakládání s</w:t>
      </w:r>
      <w:r w:rsidR="00AF0E01" w:rsidRPr="00ED38E9">
        <w:rPr>
          <w:rFonts w:eastAsia="Calibri" w:cs="Arial"/>
          <w:noProof w:val="0"/>
          <w:szCs w:val="22"/>
          <w:lang w:bidi="ar-SA"/>
        </w:rPr>
        <w:t> </w:t>
      </w:r>
      <w:r w:rsidRPr="00ED38E9">
        <w:rPr>
          <w:rFonts w:eastAsia="Calibri" w:cs="Arial"/>
          <w:noProof w:val="0"/>
          <w:szCs w:val="22"/>
          <w:lang w:bidi="ar-SA"/>
        </w:rPr>
        <w:t>elektrozařízeními a elektroodpady), ve znění pozdějších předpisů (účinnost této vyhlášky od 1. 10. 2014).</w:t>
      </w:r>
    </w:p>
    <w:p w:rsidR="00314F00" w:rsidRPr="00ED38E9" w:rsidRDefault="00314F00" w:rsidP="00351BBF">
      <w:pPr>
        <w:rPr>
          <w:rFonts w:eastAsia="Calibri" w:cs="Arial"/>
          <w:lang w:bidi="ar-SA"/>
        </w:rPr>
      </w:pPr>
      <w:r w:rsidRPr="00ED38E9">
        <w:rPr>
          <w:rFonts w:eastAsia="Calibri" w:cs="Arial"/>
          <w:lang w:bidi="ar-SA"/>
        </w:rPr>
        <w:t>S ohledem na členství České republiky v Evropské unii je nezbytný soulad národních právních předpisů s evropskými předpisy, zejména pak s novou právní úpravou ve formě směrnice Evropského parlamentu a Rady 2012/19/EU o odpadních elektrických a elektronických zařízení ze dne 4. 6. 2012 s účinností od 15. 2. 2014.</w:t>
      </w:r>
    </w:p>
    <w:p w:rsidR="006415EE" w:rsidRPr="00ED38E9" w:rsidRDefault="006415EE" w:rsidP="00F97AF3">
      <w:pPr>
        <w:pStyle w:val="Nadpis3"/>
        <w:rPr>
          <w:rFonts w:eastAsia="Calibri"/>
        </w:rPr>
      </w:pPr>
      <w:bookmarkStart w:id="56" w:name="_Toc402706644"/>
      <w:r w:rsidRPr="00ED38E9">
        <w:rPr>
          <w:rFonts w:eastAsia="Calibri"/>
        </w:rPr>
        <w:lastRenderedPageBreak/>
        <w:t>Identifikace dotčených subjektů</w:t>
      </w:r>
      <w:bookmarkEnd w:id="56"/>
      <w:r w:rsidRPr="00ED38E9">
        <w:rPr>
          <w:rFonts w:eastAsia="Calibri"/>
        </w:rPr>
        <w:t xml:space="preserve"> </w:t>
      </w:r>
    </w:p>
    <w:p w:rsidR="00591A71" w:rsidRPr="00ED38E9" w:rsidRDefault="00591A71" w:rsidP="008C2A42">
      <w:pPr>
        <w:pStyle w:val="Normln-tun"/>
        <w:rPr>
          <w:rFonts w:cs="Arial"/>
        </w:rPr>
      </w:pPr>
      <w:bookmarkStart w:id="57" w:name="_Toc406598319"/>
      <w:r w:rsidRPr="00ED38E9">
        <w:rPr>
          <w:rFonts w:cs="Arial"/>
        </w:rPr>
        <w:t>Výrobci elektrozařízení</w:t>
      </w:r>
      <w:bookmarkEnd w:id="57"/>
    </w:p>
    <w:p w:rsidR="00591A71" w:rsidRPr="00ED38E9" w:rsidRDefault="00591A71" w:rsidP="0093548C">
      <w:pPr>
        <w:rPr>
          <w:rFonts w:eastAsia="Calibri" w:cs="Arial"/>
          <w:lang w:bidi="ar-SA"/>
        </w:rPr>
      </w:pPr>
      <w:r w:rsidRPr="00ED38E9">
        <w:rPr>
          <w:rFonts w:eastAsia="Calibri" w:cs="Arial"/>
          <w:lang w:bidi="ar-SA"/>
        </w:rPr>
        <w:t>V souvislosti s touto rozšířenou odpovědností jsou výrobci elektrozařízení povinni zajistit (individuálně, solidárně nebo kolektivně) jejich co nejefektivnější oddělený sběr/zpětný odběr, zpracování, využití a odstranění. Všichni tito výrobci jsou vedeni v</w:t>
      </w:r>
      <w:r w:rsidR="008B37AA">
        <w:rPr>
          <w:rFonts w:eastAsia="Calibri" w:cs="Arial"/>
          <w:lang w:bidi="ar-SA"/>
        </w:rPr>
        <w:t> S</w:t>
      </w:r>
      <w:r w:rsidRPr="00ED38E9">
        <w:rPr>
          <w:rFonts w:eastAsia="Calibri" w:cs="Arial"/>
          <w:lang w:bidi="ar-SA"/>
        </w:rPr>
        <w:t>eznamu</w:t>
      </w:r>
      <w:r w:rsidR="008B37AA">
        <w:rPr>
          <w:rFonts w:eastAsia="Calibri" w:cs="Arial"/>
          <w:lang w:bidi="ar-SA"/>
        </w:rPr>
        <w:t xml:space="preserve"> výrobců elektrozařízení vedeném</w:t>
      </w:r>
      <w:r w:rsidRPr="00ED38E9">
        <w:rPr>
          <w:rFonts w:eastAsia="Calibri" w:cs="Arial"/>
          <w:lang w:bidi="ar-SA"/>
        </w:rPr>
        <w:t xml:space="preserve"> </w:t>
      </w:r>
      <w:r w:rsidR="00A56310" w:rsidRPr="00ED38E9">
        <w:rPr>
          <w:rFonts w:eastAsia="Calibri" w:cs="Arial"/>
          <w:lang w:bidi="ar-SA"/>
        </w:rPr>
        <w:t>MŽP</w:t>
      </w:r>
      <w:r w:rsidRPr="00ED38E9">
        <w:rPr>
          <w:rFonts w:eastAsia="Calibri" w:cs="Arial"/>
          <w:lang w:bidi="ar-SA"/>
        </w:rPr>
        <w:t xml:space="preserve">, </w:t>
      </w:r>
      <w:r w:rsidR="008B37AA">
        <w:rPr>
          <w:rFonts w:eastAsia="Calibri" w:cs="Arial"/>
          <w:lang w:bidi="ar-SA"/>
        </w:rPr>
        <w:t xml:space="preserve">který </w:t>
      </w:r>
      <w:r w:rsidRPr="00ED38E9">
        <w:rPr>
          <w:rFonts w:eastAsia="Calibri" w:cs="Arial"/>
          <w:lang w:bidi="ar-SA"/>
        </w:rPr>
        <w:t>obsahuj</w:t>
      </w:r>
      <w:r w:rsidR="008B37AA">
        <w:rPr>
          <w:rFonts w:eastAsia="Calibri" w:cs="Arial"/>
          <w:lang w:bidi="ar-SA"/>
        </w:rPr>
        <w:t>e</w:t>
      </w:r>
      <w:r w:rsidRPr="00ED38E9">
        <w:rPr>
          <w:rFonts w:eastAsia="Calibri" w:cs="Arial"/>
          <w:lang w:bidi="ar-SA"/>
        </w:rPr>
        <w:t xml:space="preserve"> údaje o typu jejich elektrozařízení i o způsobu plnění jejich povinností. Financování odděleného sběru/zpětného odběru a následného nakládání s OEEZ je rovněž jednou z povinností na straně výrobce elektrozařízení.</w:t>
      </w:r>
      <w:r w:rsidR="008B37AA">
        <w:rPr>
          <w:rFonts w:eastAsia="Calibri" w:cs="Arial"/>
          <w:lang w:bidi="ar-SA"/>
        </w:rPr>
        <w:t xml:space="preserve"> Za výrobce jsou považováni i dovozci EEZ do ČR a osoby, které zde uvádí na trh EEZ nabytá v jiných členských zemích EU.</w:t>
      </w:r>
    </w:p>
    <w:p w:rsidR="00591A71" w:rsidRPr="00ED38E9" w:rsidRDefault="00591A71" w:rsidP="008C2A42">
      <w:pPr>
        <w:pStyle w:val="Normln-tun"/>
        <w:rPr>
          <w:rFonts w:cs="Arial"/>
        </w:rPr>
      </w:pPr>
      <w:bookmarkStart w:id="58" w:name="_Toc406598321"/>
      <w:r w:rsidRPr="00ED38E9">
        <w:rPr>
          <w:rFonts w:cs="Arial"/>
        </w:rPr>
        <w:t>Distributoři a poslední prodejci</w:t>
      </w:r>
      <w:bookmarkEnd w:id="58"/>
    </w:p>
    <w:p w:rsidR="00591A71" w:rsidRPr="00ED38E9" w:rsidRDefault="00591A71" w:rsidP="0051030C">
      <w:pPr>
        <w:rPr>
          <w:rFonts w:eastAsia="Calibri" w:cs="Arial"/>
          <w:lang w:bidi="ar-SA"/>
        </w:rPr>
      </w:pPr>
      <w:r w:rsidRPr="00ED38E9">
        <w:rPr>
          <w:rFonts w:eastAsia="Calibri" w:cs="Arial"/>
          <w:lang w:bidi="ar-SA"/>
        </w:rPr>
        <w:t>Distributoři distribuující elektrozařízení (včetně internetových prodejců) musí informovat konečného uživatele o způsobu, jakým je zpětný odběr popřípadě oddělený sběr prováděn. Poslední prodejce informuje spotřebitele (domácnost) a zároveň zajišťuje přijímání tohoto zboží nebo zboží historického ke zpětnému odběru.</w:t>
      </w:r>
    </w:p>
    <w:p w:rsidR="00591A71" w:rsidRPr="00ED38E9" w:rsidRDefault="00591A71" w:rsidP="008C2A42">
      <w:pPr>
        <w:pStyle w:val="Normln-tun"/>
        <w:rPr>
          <w:rFonts w:cs="Arial"/>
        </w:rPr>
      </w:pPr>
      <w:bookmarkStart w:id="59" w:name="_Toc406598322"/>
      <w:r w:rsidRPr="00ED38E9">
        <w:rPr>
          <w:rFonts w:cs="Arial"/>
        </w:rPr>
        <w:t>Koneční uživatelé elektrozařízení</w:t>
      </w:r>
      <w:bookmarkEnd w:id="59"/>
    </w:p>
    <w:p w:rsidR="00591A71" w:rsidRPr="00ED38E9" w:rsidRDefault="00591A71" w:rsidP="0051030C">
      <w:pPr>
        <w:rPr>
          <w:rFonts w:eastAsia="Calibri" w:cs="Arial"/>
          <w:lang w:bidi="ar-SA"/>
        </w:rPr>
      </w:pPr>
      <w:r w:rsidRPr="00ED38E9">
        <w:rPr>
          <w:rFonts w:eastAsia="Calibri" w:cs="Arial"/>
          <w:lang w:bidi="ar-SA"/>
        </w:rPr>
        <w:t xml:space="preserve">Financování zpětného odběru/odděleného sběru a jiných povinností mohou firmy promítnout formou recyklačního </w:t>
      </w:r>
      <w:r w:rsidR="00473E00">
        <w:rPr>
          <w:rFonts w:eastAsia="Calibri" w:cs="Arial"/>
          <w:lang w:bidi="ar-SA"/>
        </w:rPr>
        <w:t>příspěvku</w:t>
      </w:r>
      <w:r w:rsidR="00473E00" w:rsidRPr="00ED38E9">
        <w:rPr>
          <w:rFonts w:eastAsia="Calibri" w:cs="Arial"/>
          <w:lang w:bidi="ar-SA"/>
        </w:rPr>
        <w:t xml:space="preserve"> </w:t>
      </w:r>
      <w:r w:rsidRPr="00ED38E9">
        <w:rPr>
          <w:rFonts w:eastAsia="Calibri" w:cs="Arial"/>
          <w:lang w:bidi="ar-SA"/>
        </w:rPr>
        <w:t>do ceny výrobků a potenciálně tak navýšit náklady spotřebitele. Distribuce dopadu mezi spotřebitele a výrobce pak závisí na stupni konkuren</w:t>
      </w:r>
      <w:r w:rsidR="008E11D0" w:rsidRPr="00ED38E9">
        <w:rPr>
          <w:rFonts w:eastAsia="Calibri" w:cs="Arial"/>
          <w:lang w:bidi="ar-SA"/>
        </w:rPr>
        <w:t>ce na</w:t>
      </w:r>
      <w:r w:rsidRPr="00ED38E9">
        <w:rPr>
          <w:rFonts w:eastAsia="Calibri" w:cs="Arial"/>
          <w:lang w:bidi="ar-SA"/>
        </w:rPr>
        <w:t xml:space="preserve"> trhu s EEZ, příp. elasticitě poptávky po EEZ. Čím </w:t>
      </w:r>
      <w:r w:rsidR="00421D20">
        <w:rPr>
          <w:rFonts w:eastAsia="Calibri" w:cs="Arial"/>
          <w:lang w:bidi="ar-SA"/>
        </w:rPr>
        <w:t xml:space="preserve">je </w:t>
      </w:r>
      <w:r w:rsidRPr="00ED38E9">
        <w:rPr>
          <w:rFonts w:eastAsia="Calibri" w:cs="Arial"/>
          <w:lang w:bidi="ar-SA"/>
        </w:rPr>
        <w:t xml:space="preserve">vyšší konkurence mezi výrobci/distributory/prodejci, tím se dopad přesouvá směrem k těmto subjektům ve formě snižování marží, totéž platí s rostoucí elasticitou poptávky po EEZ.  </w:t>
      </w:r>
    </w:p>
    <w:p w:rsidR="00591A71" w:rsidRPr="00ED38E9" w:rsidRDefault="00591A71" w:rsidP="0051030C">
      <w:pPr>
        <w:rPr>
          <w:rFonts w:eastAsia="Calibri" w:cs="Arial"/>
          <w:lang w:bidi="ar-SA"/>
        </w:rPr>
      </w:pPr>
      <w:r w:rsidRPr="00ED38E9">
        <w:rPr>
          <w:rFonts w:eastAsia="Calibri" w:cs="Arial"/>
          <w:lang w:bidi="ar-SA"/>
        </w:rPr>
        <w:t>Konečný uživatel je v současnosti klíčovým prvkem v procesu zpětného odběru</w:t>
      </w:r>
      <w:r w:rsidR="00473E00">
        <w:rPr>
          <w:rFonts w:eastAsia="Calibri" w:cs="Arial"/>
          <w:lang w:bidi="ar-SA"/>
        </w:rPr>
        <w:t xml:space="preserve"> a</w:t>
      </w:r>
      <w:r w:rsidRPr="00ED38E9">
        <w:rPr>
          <w:rFonts w:eastAsia="Calibri" w:cs="Arial"/>
          <w:lang w:bidi="ar-SA"/>
        </w:rPr>
        <w:t xml:space="preserve"> je třeba </w:t>
      </w:r>
      <w:r w:rsidR="00473E00">
        <w:rPr>
          <w:rFonts w:eastAsia="Calibri" w:cs="Arial"/>
          <w:lang w:bidi="ar-SA"/>
        </w:rPr>
        <w:t>ho</w:t>
      </w:r>
      <w:r w:rsidR="00473E00" w:rsidRPr="00ED38E9">
        <w:rPr>
          <w:rFonts w:eastAsia="Calibri" w:cs="Arial"/>
          <w:lang w:bidi="ar-SA"/>
        </w:rPr>
        <w:t xml:space="preserve"> </w:t>
      </w:r>
      <w:r w:rsidRPr="00ED38E9">
        <w:rPr>
          <w:rFonts w:eastAsia="Calibri" w:cs="Arial"/>
          <w:lang w:bidi="ar-SA"/>
        </w:rPr>
        <w:t xml:space="preserve">dostatečně motivovat k tomu, aby výrobek po ukončení jeho životnosti odevzdával do systému zpětného odběru/odděleného sběru. Jednou z možností, která vyplývá z evropské směrnice 2012/19/EU, je motivace finanční. Konečný uživatel může dostat buď přímo zaplaceno za odevzdání výrobku (zvláště v případě, kdy má OEEZ kladnou finanční hodnotu), anebo může být osvobozen od některých </w:t>
      </w:r>
      <w:r w:rsidR="00473E00">
        <w:rPr>
          <w:rFonts w:eastAsia="Calibri" w:cs="Arial"/>
          <w:lang w:bidi="ar-SA"/>
        </w:rPr>
        <w:t>plateb</w:t>
      </w:r>
      <w:r w:rsidRPr="00ED38E9">
        <w:rPr>
          <w:rFonts w:eastAsia="Calibri" w:cs="Arial"/>
          <w:lang w:bidi="ar-SA"/>
        </w:rPr>
        <w:t xml:space="preserve"> či jinak nepřímo finančně kompenzován. </w:t>
      </w:r>
    </w:p>
    <w:p w:rsidR="00591A71" w:rsidRPr="00ED38E9" w:rsidRDefault="00591A71" w:rsidP="008C2A42">
      <w:pPr>
        <w:pStyle w:val="Normln-tun"/>
        <w:rPr>
          <w:rFonts w:cs="Arial"/>
        </w:rPr>
      </w:pPr>
      <w:bookmarkStart w:id="60" w:name="_Toc406598324"/>
      <w:r w:rsidRPr="00ED38E9">
        <w:rPr>
          <w:rFonts w:cs="Arial"/>
        </w:rPr>
        <w:t>Stávající provozovatelé kolektivních systémů</w:t>
      </w:r>
      <w:bookmarkEnd w:id="60"/>
    </w:p>
    <w:p w:rsidR="00591A71" w:rsidRPr="00ED38E9" w:rsidRDefault="00591A71" w:rsidP="0051030C">
      <w:pPr>
        <w:rPr>
          <w:rFonts w:eastAsia="Calibri" w:cs="Arial"/>
          <w:lang w:bidi="ar-SA"/>
        </w:rPr>
      </w:pPr>
      <w:r w:rsidRPr="00ED38E9">
        <w:rPr>
          <w:rFonts w:eastAsia="Calibri" w:cs="Arial"/>
          <w:lang w:bidi="ar-SA"/>
        </w:rPr>
        <w:t>Kolektivní systém, který zajišťuje</w:t>
      </w:r>
      <w:r w:rsidR="00252C86" w:rsidRPr="00ED38E9">
        <w:rPr>
          <w:rFonts w:eastAsia="Calibri" w:cs="Arial"/>
        </w:rPr>
        <w:t xml:space="preserve"> z</w:t>
      </w:r>
      <w:r w:rsidRPr="00ED38E9">
        <w:rPr>
          <w:rFonts w:eastAsia="Calibri" w:cs="Arial"/>
        </w:rPr>
        <w:t>pětný odběr/oddělený sběr</w:t>
      </w:r>
      <w:r w:rsidR="00DB1B9A" w:rsidRPr="00ED38E9">
        <w:rPr>
          <w:rFonts w:eastAsia="Calibri" w:cs="Arial"/>
        </w:rPr>
        <w:t>,</w:t>
      </w:r>
      <w:r w:rsidRPr="00ED38E9">
        <w:rPr>
          <w:rFonts w:eastAsia="Calibri" w:cs="Arial"/>
          <w:lang w:bidi="ar-SA"/>
        </w:rPr>
        <w:t xml:space="preserve"> svoz </w:t>
      </w:r>
      <w:r w:rsidR="00783E53">
        <w:rPr>
          <w:rFonts w:eastAsia="Calibri" w:cs="Arial"/>
          <w:lang w:bidi="ar-SA"/>
        </w:rPr>
        <w:t xml:space="preserve">a </w:t>
      </w:r>
      <w:r w:rsidRPr="00ED38E9">
        <w:rPr>
          <w:rFonts w:eastAsia="Calibri" w:cs="Arial"/>
          <w:lang w:bidi="ar-SA"/>
        </w:rPr>
        <w:t>zpracov</w:t>
      </w:r>
      <w:r w:rsidR="00783E53">
        <w:rPr>
          <w:rFonts w:eastAsia="Calibri" w:cs="Arial"/>
          <w:lang w:bidi="ar-SA"/>
        </w:rPr>
        <w:t>ání</w:t>
      </w:r>
      <w:r w:rsidRPr="00ED38E9">
        <w:rPr>
          <w:rFonts w:eastAsia="Calibri" w:cs="Arial"/>
          <w:lang w:bidi="ar-SA"/>
        </w:rPr>
        <w:t xml:space="preserve"> elektroodpadu, je neziskovou organizací, jejíž fungování financují výrobci, kteří se rozhodli přes kolektivní systém svou povinnost plnit. Kolektivní systém tedy funguje na základě jejich příspěvků (včetně příspěvků za historická elektrozařízení), které jsou determinovány počtem a typem produktů, které daný výrobce uvádí na trh. </w:t>
      </w:r>
    </w:p>
    <w:p w:rsidR="00591A71" w:rsidRPr="00ED38E9" w:rsidRDefault="00591A71" w:rsidP="0051030C">
      <w:pPr>
        <w:rPr>
          <w:rFonts w:eastAsia="Calibri" w:cs="Arial"/>
          <w:lang w:bidi="ar-SA"/>
        </w:rPr>
      </w:pPr>
      <w:r w:rsidRPr="00ED38E9">
        <w:rPr>
          <w:rFonts w:eastAsia="Calibri" w:cs="Arial"/>
          <w:lang w:bidi="ar-SA"/>
        </w:rPr>
        <w:t>Náklady KS jsou dány množstvím míst zpětného odběru/odděleného sběru, podmínkami smluv s provozovateli těchto míst, se zpracovateli a svozovými společnostmi.</w:t>
      </w:r>
    </w:p>
    <w:p w:rsidR="00591A71" w:rsidRPr="00ED38E9" w:rsidRDefault="00591A71" w:rsidP="008C2A42">
      <w:pPr>
        <w:pStyle w:val="Normln-tun"/>
        <w:rPr>
          <w:rFonts w:cs="Arial"/>
        </w:rPr>
      </w:pPr>
      <w:bookmarkStart w:id="61" w:name="_Toc406598325"/>
      <w:r w:rsidRPr="00ED38E9">
        <w:rPr>
          <w:rFonts w:cs="Arial"/>
        </w:rPr>
        <w:lastRenderedPageBreak/>
        <w:t>Noví provozovatelé kolektivních systému</w:t>
      </w:r>
      <w:bookmarkEnd w:id="61"/>
    </w:p>
    <w:p w:rsidR="00591A71" w:rsidRPr="00ED38E9" w:rsidRDefault="00591A71" w:rsidP="0051030C">
      <w:pPr>
        <w:rPr>
          <w:rFonts w:eastAsia="Calibri" w:cs="Arial"/>
          <w:lang w:bidi="ar-SA"/>
        </w:rPr>
      </w:pPr>
      <w:r w:rsidRPr="00ED38E9">
        <w:rPr>
          <w:rFonts w:eastAsia="Calibri" w:cs="Arial"/>
          <w:lang w:bidi="ar-SA"/>
        </w:rPr>
        <w:t>Postavení nových provozovatelů kolektivních systémů se bude odvíjet od nastaven</w:t>
      </w:r>
      <w:r w:rsidR="004D62BE">
        <w:rPr>
          <w:rFonts w:eastAsia="Calibri" w:cs="Arial"/>
          <w:lang w:bidi="ar-SA"/>
        </w:rPr>
        <w:t>ých</w:t>
      </w:r>
      <w:r w:rsidRPr="00ED38E9">
        <w:rPr>
          <w:rFonts w:eastAsia="Calibri" w:cs="Arial"/>
          <w:lang w:bidi="ar-SA"/>
        </w:rPr>
        <w:t xml:space="preserve"> podmínek novou právní úpravou</w:t>
      </w:r>
      <w:r w:rsidR="004D62BE">
        <w:rPr>
          <w:rFonts w:eastAsia="Calibri" w:cs="Arial"/>
          <w:lang w:bidi="ar-SA"/>
        </w:rPr>
        <w:t>, které by měly zaručit jejich řádné a transparentní fungování</w:t>
      </w:r>
      <w:r w:rsidR="00783E53">
        <w:rPr>
          <w:rFonts w:eastAsia="Calibri" w:cs="Arial"/>
          <w:lang w:bidi="ar-SA"/>
        </w:rPr>
        <w:t>.</w:t>
      </w:r>
    </w:p>
    <w:p w:rsidR="00591A71" w:rsidRPr="00ED38E9" w:rsidRDefault="00591A71" w:rsidP="008C2A42">
      <w:pPr>
        <w:pStyle w:val="Normln-tun"/>
        <w:rPr>
          <w:rFonts w:cs="Arial"/>
        </w:rPr>
      </w:pPr>
      <w:bookmarkStart w:id="62" w:name="_Toc406598326"/>
      <w:r w:rsidRPr="00ED38E9">
        <w:rPr>
          <w:rFonts w:cs="Arial"/>
        </w:rPr>
        <w:t>Svozové společnosti</w:t>
      </w:r>
      <w:bookmarkEnd w:id="62"/>
    </w:p>
    <w:p w:rsidR="00591A71" w:rsidRPr="00ED38E9" w:rsidRDefault="00591A71" w:rsidP="0051030C">
      <w:pPr>
        <w:rPr>
          <w:rFonts w:eastAsia="Calibri" w:cs="Arial"/>
          <w:lang w:bidi="ar-SA"/>
        </w:rPr>
      </w:pPr>
      <w:r w:rsidRPr="00ED38E9">
        <w:rPr>
          <w:rFonts w:eastAsia="Calibri" w:cs="Arial"/>
          <w:lang w:bidi="ar-SA"/>
        </w:rPr>
        <w:t xml:space="preserve">Svozové společnosti jsou najímány kolektivními systémy (případně samotnými výrobci) k přepravě elektrozařízení ze sběrného místa do místa jeho dalšího zpracování. Současná právní úprava nepovažuje elektrozařízení pocházející z domácností za odpad do doby, než je předán ke zpracování. Svozové společnosti tak nemusí </w:t>
      </w:r>
      <w:r w:rsidR="00DB1B9A" w:rsidRPr="00ED38E9">
        <w:rPr>
          <w:rFonts w:eastAsia="Calibri" w:cs="Arial"/>
          <w:lang w:bidi="ar-SA"/>
        </w:rPr>
        <w:t xml:space="preserve">zacházet </w:t>
      </w:r>
      <w:r w:rsidRPr="00ED38E9">
        <w:rPr>
          <w:rFonts w:eastAsia="Calibri" w:cs="Arial"/>
          <w:lang w:bidi="ar-SA"/>
        </w:rPr>
        <w:t>s</w:t>
      </w:r>
      <w:r w:rsidR="00DB1B9A" w:rsidRPr="00ED38E9">
        <w:rPr>
          <w:rFonts w:eastAsia="Calibri" w:cs="Arial"/>
          <w:lang w:bidi="ar-SA"/>
        </w:rPr>
        <w:t xml:space="preserve"> tímto </w:t>
      </w:r>
      <w:r w:rsidRPr="00ED38E9">
        <w:rPr>
          <w:rFonts w:eastAsia="Calibri" w:cs="Arial"/>
          <w:lang w:bidi="ar-SA"/>
        </w:rPr>
        <w:t>elektrozařízením jako s odpadem. Změna odpadového režimu by mohla dle nastavených podmínek znamenat navýšení nákladů na svoz.</w:t>
      </w:r>
    </w:p>
    <w:p w:rsidR="00591A71" w:rsidRPr="00ED38E9" w:rsidRDefault="00591A71" w:rsidP="008C2A42">
      <w:pPr>
        <w:pStyle w:val="Normln-tun"/>
        <w:rPr>
          <w:rFonts w:cs="Arial"/>
        </w:rPr>
      </w:pPr>
      <w:bookmarkStart w:id="63" w:name="_Toc406598327"/>
      <w:r w:rsidRPr="00ED38E9">
        <w:rPr>
          <w:rFonts w:cs="Arial"/>
        </w:rPr>
        <w:t>Zpracovatelé odpadních elektrozařízení</w:t>
      </w:r>
      <w:bookmarkEnd w:id="63"/>
    </w:p>
    <w:p w:rsidR="00591A71" w:rsidRPr="00ED38E9" w:rsidRDefault="00591A71" w:rsidP="0051030C">
      <w:pPr>
        <w:rPr>
          <w:rFonts w:eastAsia="Calibri" w:cs="Arial"/>
          <w:lang w:bidi="ar-SA"/>
        </w:rPr>
      </w:pPr>
      <w:r w:rsidRPr="00ED38E9">
        <w:rPr>
          <w:rFonts w:eastAsia="Calibri" w:cs="Arial"/>
          <w:lang w:bidi="ar-SA"/>
        </w:rPr>
        <w:t xml:space="preserve">Jejich hlavní činností je </w:t>
      </w:r>
      <w:r w:rsidR="00977513">
        <w:rPr>
          <w:rFonts w:eastAsia="Calibri" w:cs="Arial"/>
          <w:lang w:bidi="ar-SA"/>
        </w:rPr>
        <w:t>získá</w:t>
      </w:r>
      <w:r w:rsidR="00A20C3D">
        <w:rPr>
          <w:rFonts w:eastAsia="Calibri" w:cs="Arial"/>
          <w:lang w:bidi="ar-SA"/>
        </w:rPr>
        <w:t>vá</w:t>
      </w:r>
      <w:r w:rsidR="00977513">
        <w:rPr>
          <w:rFonts w:eastAsia="Calibri" w:cs="Arial"/>
          <w:lang w:bidi="ar-SA"/>
        </w:rPr>
        <w:t>ní</w:t>
      </w:r>
      <w:r w:rsidR="00977513" w:rsidRPr="00ED38E9">
        <w:rPr>
          <w:rFonts w:eastAsia="Calibri" w:cs="Arial"/>
          <w:lang w:bidi="ar-SA"/>
        </w:rPr>
        <w:t xml:space="preserve"> </w:t>
      </w:r>
      <w:r w:rsidRPr="00ED38E9">
        <w:rPr>
          <w:rFonts w:eastAsia="Calibri" w:cs="Arial"/>
          <w:lang w:bidi="ar-SA"/>
        </w:rPr>
        <w:t>elektroodpadu od kolektivních systémů</w:t>
      </w:r>
      <w:r w:rsidR="00977513">
        <w:rPr>
          <w:rFonts w:eastAsia="Calibri" w:cs="Arial"/>
          <w:lang w:bidi="ar-SA"/>
        </w:rPr>
        <w:t>, ať již úplatně nebo bezúplatně,</w:t>
      </w:r>
      <w:r w:rsidRPr="00ED38E9">
        <w:rPr>
          <w:rFonts w:eastAsia="Calibri" w:cs="Arial"/>
          <w:lang w:bidi="ar-SA"/>
        </w:rPr>
        <w:t xml:space="preserve"> </w:t>
      </w:r>
      <w:r w:rsidR="00977513">
        <w:rPr>
          <w:rFonts w:eastAsia="Calibri" w:cs="Arial"/>
          <w:lang w:bidi="ar-SA"/>
        </w:rPr>
        <w:t>případně</w:t>
      </w:r>
      <w:r w:rsidRPr="00ED38E9">
        <w:rPr>
          <w:rFonts w:eastAsia="Calibri" w:cs="Arial"/>
          <w:lang w:bidi="ar-SA"/>
        </w:rPr>
        <w:t xml:space="preserve"> nákup odpadu ze</w:t>
      </w:r>
      <w:r w:rsidR="00F635E4" w:rsidRPr="00ED38E9">
        <w:rPr>
          <w:rFonts w:eastAsia="Calibri" w:cs="Arial"/>
          <w:lang w:bidi="ar-SA"/>
        </w:rPr>
        <w:t> </w:t>
      </w:r>
      <w:r w:rsidRPr="00ED38E9">
        <w:rPr>
          <w:rFonts w:eastAsia="Calibri" w:cs="Arial"/>
          <w:lang w:bidi="ar-SA"/>
        </w:rPr>
        <w:t>zahraničí</w:t>
      </w:r>
      <w:r w:rsidR="00DB1B9A" w:rsidRPr="00ED38E9">
        <w:rPr>
          <w:rFonts w:eastAsia="Calibri" w:cs="Arial"/>
          <w:lang w:bidi="ar-SA"/>
        </w:rPr>
        <w:t>,</w:t>
      </w:r>
      <w:r w:rsidRPr="00ED38E9">
        <w:rPr>
          <w:rFonts w:eastAsia="Calibri" w:cs="Arial"/>
          <w:lang w:bidi="ar-SA"/>
        </w:rPr>
        <w:t xml:space="preserve"> jeho skladování, </w:t>
      </w:r>
      <w:r w:rsidR="00977513">
        <w:rPr>
          <w:rFonts w:eastAsia="Calibri" w:cs="Arial"/>
          <w:lang w:bidi="ar-SA"/>
        </w:rPr>
        <w:t>zpracování a</w:t>
      </w:r>
      <w:r w:rsidR="00EB1018">
        <w:rPr>
          <w:rFonts w:eastAsia="Calibri" w:cs="Arial"/>
          <w:lang w:bidi="ar-SA"/>
        </w:rPr>
        <w:t> </w:t>
      </w:r>
      <w:r w:rsidRPr="00ED38E9">
        <w:rPr>
          <w:rFonts w:eastAsia="Calibri" w:cs="Arial"/>
          <w:lang w:bidi="ar-SA"/>
        </w:rPr>
        <w:t>odstraňování nežádoucích látek</w:t>
      </w:r>
      <w:r w:rsidR="00977513">
        <w:rPr>
          <w:rFonts w:eastAsia="Calibri" w:cs="Arial"/>
          <w:lang w:bidi="ar-SA"/>
        </w:rPr>
        <w:t xml:space="preserve"> nebo dále nevyužitelných částí</w:t>
      </w:r>
      <w:r w:rsidR="00A20C3D">
        <w:rPr>
          <w:rFonts w:eastAsia="Calibri" w:cs="Arial"/>
          <w:lang w:bidi="ar-SA"/>
        </w:rPr>
        <w:t xml:space="preserve"> a nás</w:t>
      </w:r>
      <w:r w:rsidR="00FD1EC9">
        <w:rPr>
          <w:rFonts w:eastAsia="Calibri" w:cs="Arial"/>
          <w:lang w:bidi="ar-SA"/>
        </w:rPr>
        <w:t>le</w:t>
      </w:r>
      <w:r w:rsidR="00A20C3D">
        <w:rPr>
          <w:rFonts w:eastAsia="Calibri" w:cs="Arial"/>
          <w:lang w:bidi="ar-SA"/>
        </w:rPr>
        <w:t>dný prodej odpadů (druhotných surovin) zejména finálním zpracovatelům.</w:t>
      </w:r>
      <w:r w:rsidRPr="00ED38E9">
        <w:rPr>
          <w:rFonts w:eastAsia="Calibri" w:cs="Arial"/>
          <w:lang w:bidi="ar-SA"/>
        </w:rPr>
        <w:t xml:space="preserve"> </w:t>
      </w:r>
    </w:p>
    <w:p w:rsidR="00591A71" w:rsidRPr="00ED38E9" w:rsidRDefault="00591A71" w:rsidP="008C2A42">
      <w:pPr>
        <w:pStyle w:val="Normln-tun"/>
        <w:rPr>
          <w:rFonts w:cs="Arial"/>
        </w:rPr>
      </w:pPr>
      <w:bookmarkStart w:id="64" w:name="_Toc406598328"/>
      <w:r w:rsidRPr="00ED38E9">
        <w:rPr>
          <w:rFonts w:cs="Arial"/>
        </w:rPr>
        <w:t>Orgány státní správy</w:t>
      </w:r>
      <w:bookmarkEnd w:id="64"/>
    </w:p>
    <w:p w:rsidR="00591A71" w:rsidRPr="00ED38E9" w:rsidRDefault="00A56310" w:rsidP="0051030C">
      <w:pPr>
        <w:rPr>
          <w:rFonts w:eastAsia="Calibri" w:cs="Arial"/>
          <w:lang w:bidi="ar-SA"/>
        </w:rPr>
      </w:pPr>
      <w:r w:rsidRPr="00ED38E9">
        <w:rPr>
          <w:rFonts w:eastAsia="Calibri" w:cs="Arial"/>
          <w:lang w:bidi="ar-SA"/>
        </w:rPr>
        <w:t>MŽP</w:t>
      </w:r>
      <w:r w:rsidR="00591A71" w:rsidRPr="00ED38E9">
        <w:rPr>
          <w:rFonts w:eastAsia="Calibri" w:cs="Arial"/>
          <w:lang w:bidi="ar-SA"/>
        </w:rPr>
        <w:t xml:space="preserve"> má v kompetenci vedení </w:t>
      </w:r>
      <w:r w:rsidR="00783E53">
        <w:rPr>
          <w:rFonts w:eastAsia="Calibri" w:cs="Arial"/>
          <w:lang w:bidi="ar-SA"/>
        </w:rPr>
        <w:t>S</w:t>
      </w:r>
      <w:r w:rsidR="00591A71" w:rsidRPr="00ED38E9">
        <w:rPr>
          <w:rFonts w:eastAsia="Calibri" w:cs="Arial"/>
          <w:lang w:bidi="ar-SA"/>
        </w:rPr>
        <w:t xml:space="preserve">eznamu výrobců elektrozařízení. Kontrolu dodržování předpisů mají na starosti ČIŽP, </w:t>
      </w:r>
      <w:r w:rsidR="00C10084" w:rsidRPr="00ED38E9">
        <w:rPr>
          <w:rFonts w:eastAsia="Calibri" w:cs="Arial"/>
          <w:lang w:bidi="ar-SA"/>
        </w:rPr>
        <w:t xml:space="preserve">obcení úřady </w:t>
      </w:r>
      <w:r w:rsidR="00591A71" w:rsidRPr="00ED38E9">
        <w:rPr>
          <w:rFonts w:eastAsia="Calibri" w:cs="Arial"/>
          <w:lang w:bidi="ar-SA"/>
        </w:rPr>
        <w:t>obc</w:t>
      </w:r>
      <w:r w:rsidR="00C10084" w:rsidRPr="00ED38E9">
        <w:rPr>
          <w:rFonts w:eastAsia="Calibri" w:cs="Arial"/>
          <w:lang w:bidi="ar-SA"/>
        </w:rPr>
        <w:t>í</w:t>
      </w:r>
      <w:r w:rsidR="00591A71" w:rsidRPr="00ED38E9">
        <w:rPr>
          <w:rFonts w:eastAsia="Calibri" w:cs="Arial"/>
          <w:lang w:bidi="ar-SA"/>
        </w:rPr>
        <w:t xml:space="preserve"> s rozšířenou působností</w:t>
      </w:r>
      <w:r w:rsidR="00C10084" w:rsidRPr="00ED38E9">
        <w:rPr>
          <w:rFonts w:eastAsia="Calibri" w:cs="Arial"/>
          <w:lang w:bidi="ar-SA"/>
        </w:rPr>
        <w:t xml:space="preserve"> a</w:t>
      </w:r>
      <w:r w:rsidR="00591A71" w:rsidRPr="00ED38E9">
        <w:rPr>
          <w:rFonts w:eastAsia="Calibri" w:cs="Arial"/>
          <w:lang w:bidi="ar-SA"/>
        </w:rPr>
        <w:t xml:space="preserve"> kraj</w:t>
      </w:r>
      <w:r w:rsidR="00C10084" w:rsidRPr="00ED38E9">
        <w:rPr>
          <w:rFonts w:eastAsia="Calibri" w:cs="Arial"/>
          <w:lang w:bidi="ar-SA"/>
        </w:rPr>
        <w:t>ské</w:t>
      </w:r>
      <w:r w:rsidR="00591A71" w:rsidRPr="00ED38E9">
        <w:rPr>
          <w:rFonts w:eastAsia="Calibri" w:cs="Arial"/>
          <w:lang w:bidi="ar-SA"/>
        </w:rPr>
        <w:t xml:space="preserve"> </w:t>
      </w:r>
      <w:r w:rsidR="00C10084" w:rsidRPr="00ED38E9">
        <w:rPr>
          <w:rFonts w:eastAsia="Calibri" w:cs="Arial"/>
          <w:lang w:bidi="ar-SA"/>
        </w:rPr>
        <w:t>úřady</w:t>
      </w:r>
      <w:r w:rsidR="00591A71" w:rsidRPr="00ED38E9">
        <w:rPr>
          <w:rFonts w:eastAsia="Calibri" w:cs="Arial"/>
          <w:lang w:bidi="ar-SA"/>
        </w:rPr>
        <w:t>. Do kontroly finančního hospodaření jsou zapojeny orgány finanční správy, a protože se povinnosti dané zákonem týkají i dovozců, mají určité pravomoci v oblasti nakládání s OEEZ i celní orgány.</w:t>
      </w:r>
    </w:p>
    <w:p w:rsidR="00591A71" w:rsidRPr="00ED38E9" w:rsidRDefault="00591A71" w:rsidP="008C2A42">
      <w:pPr>
        <w:pStyle w:val="Normln-tun"/>
        <w:rPr>
          <w:rFonts w:cs="Arial"/>
        </w:rPr>
      </w:pPr>
      <w:bookmarkStart w:id="65" w:name="_Toc406598329"/>
      <w:r w:rsidRPr="00ED38E9">
        <w:rPr>
          <w:rFonts w:cs="Arial"/>
        </w:rPr>
        <w:t>Obce</w:t>
      </w:r>
      <w:bookmarkEnd w:id="65"/>
    </w:p>
    <w:p w:rsidR="006415EE" w:rsidRPr="00ED38E9" w:rsidRDefault="00591A71" w:rsidP="0051030C">
      <w:pPr>
        <w:rPr>
          <w:rFonts w:eastAsia="Calibri" w:cs="Arial"/>
          <w:lang w:bidi="ar-SA"/>
        </w:rPr>
      </w:pPr>
      <w:r w:rsidRPr="00ED38E9">
        <w:rPr>
          <w:rFonts w:eastAsia="Calibri" w:cs="Arial"/>
          <w:lang w:bidi="ar-SA"/>
        </w:rPr>
        <w:t xml:space="preserve">Obce uzavírají dohody s kolektivními systémy </w:t>
      </w:r>
      <w:r w:rsidR="00CE3E50" w:rsidRPr="00ED38E9">
        <w:rPr>
          <w:rFonts w:eastAsia="Calibri" w:cs="Arial"/>
          <w:lang w:bidi="ar-SA"/>
        </w:rPr>
        <w:t>o</w:t>
      </w:r>
      <w:r w:rsidRPr="00ED38E9">
        <w:rPr>
          <w:rFonts w:eastAsia="Calibri" w:cs="Arial"/>
          <w:lang w:bidi="ar-SA"/>
        </w:rPr>
        <w:t> vytvoření sběrných míst. Největším přínosem pro obce je zamezení znečišťování životního prostředí na jejich území nebo v jejich blízkém okolí.</w:t>
      </w:r>
    </w:p>
    <w:p w:rsidR="006415EE" w:rsidRPr="00ED38E9" w:rsidRDefault="006415EE" w:rsidP="00F97AF3">
      <w:pPr>
        <w:pStyle w:val="Nadpis3"/>
        <w:rPr>
          <w:rFonts w:eastAsia="Calibri"/>
        </w:rPr>
      </w:pPr>
      <w:bookmarkStart w:id="66" w:name="_Toc402706656"/>
      <w:r w:rsidRPr="00ED38E9">
        <w:rPr>
          <w:rFonts w:eastAsia="Calibri"/>
        </w:rPr>
        <w:t>Popis cílového stavu</w:t>
      </w:r>
      <w:bookmarkEnd w:id="66"/>
      <w:r w:rsidRPr="00ED38E9">
        <w:rPr>
          <w:rFonts w:eastAsia="Calibri"/>
        </w:rPr>
        <w:t xml:space="preserve"> </w:t>
      </w:r>
    </w:p>
    <w:p w:rsidR="00012BA9" w:rsidRPr="00ED38E9" w:rsidRDefault="00FD1EC9" w:rsidP="00012BA9">
      <w:pPr>
        <w:rPr>
          <w:rFonts w:cs="Arial"/>
        </w:rPr>
      </w:pPr>
      <w:bookmarkStart w:id="67" w:name="_Toc399509833"/>
      <w:bookmarkStart w:id="68" w:name="_Toc402706658"/>
      <w:r>
        <w:rPr>
          <w:rFonts w:cs="Arial"/>
        </w:rPr>
        <w:t>V důsledku</w:t>
      </w:r>
      <w:r w:rsidRPr="00ED38E9">
        <w:rPr>
          <w:rFonts w:cs="Arial"/>
        </w:rPr>
        <w:t xml:space="preserve"> </w:t>
      </w:r>
      <w:r w:rsidR="00012BA9" w:rsidRPr="00ED38E9">
        <w:rPr>
          <w:rFonts w:cs="Arial"/>
        </w:rPr>
        <w:t>neustálé</w:t>
      </w:r>
      <w:r>
        <w:rPr>
          <w:rFonts w:cs="Arial"/>
        </w:rPr>
        <w:t>ho</w:t>
      </w:r>
      <w:r w:rsidR="00012BA9" w:rsidRPr="00ED38E9">
        <w:rPr>
          <w:rFonts w:cs="Arial"/>
        </w:rPr>
        <w:t xml:space="preserve"> rozšiřování trhu a zkracování cyklů </w:t>
      </w:r>
      <w:r>
        <w:rPr>
          <w:rFonts w:cs="Arial"/>
        </w:rPr>
        <w:t xml:space="preserve">životnosti </w:t>
      </w:r>
      <w:r w:rsidR="00012BA9" w:rsidRPr="00ED38E9">
        <w:rPr>
          <w:rFonts w:cs="Arial"/>
        </w:rPr>
        <w:t>se z elektrozařízení stává</w:t>
      </w:r>
      <w:r w:rsidR="00012BA9" w:rsidRPr="00ED38E9" w:rsidDel="00E93176">
        <w:rPr>
          <w:rFonts w:cs="Arial"/>
        </w:rPr>
        <w:t xml:space="preserve"> </w:t>
      </w:r>
      <w:r w:rsidR="00F367DB" w:rsidRPr="00F367DB">
        <w:rPr>
          <w:rFonts w:cs="Arial"/>
        </w:rPr>
        <w:t xml:space="preserve">rapidně </w:t>
      </w:r>
      <w:r w:rsidR="00012BA9" w:rsidRPr="00ED38E9">
        <w:rPr>
          <w:rFonts w:cs="Arial"/>
        </w:rPr>
        <w:t xml:space="preserve">rostoucí zdroj nebezpečného odpadu a </w:t>
      </w:r>
      <w:r>
        <w:rPr>
          <w:rFonts w:cs="Arial"/>
        </w:rPr>
        <w:t xml:space="preserve">potenciální </w:t>
      </w:r>
      <w:r w:rsidR="00012BA9" w:rsidRPr="00ED38E9">
        <w:rPr>
          <w:rFonts w:cs="Arial"/>
        </w:rPr>
        <w:t>hrozba pro životní prostředí. ČR je vázána směrnicí 2012/19/EU, jež požaduje splnění jistých úrovní sběru a</w:t>
      </w:r>
      <w:r w:rsidR="00EB1018">
        <w:rPr>
          <w:rFonts w:cs="Arial"/>
        </w:rPr>
        <w:t> </w:t>
      </w:r>
      <w:r w:rsidR="00012BA9" w:rsidRPr="00ED38E9">
        <w:rPr>
          <w:rFonts w:cs="Arial"/>
        </w:rPr>
        <w:t>využití OEEZ. Cílem je tedy zajištění toho, aby česká legislativa umožňovala a</w:t>
      </w:r>
      <w:r w:rsidR="00EB1018">
        <w:rPr>
          <w:rFonts w:cs="Arial"/>
        </w:rPr>
        <w:t> </w:t>
      </w:r>
      <w:r w:rsidR="00012BA9" w:rsidRPr="00ED38E9">
        <w:rPr>
          <w:rFonts w:cs="Arial"/>
        </w:rPr>
        <w:t>pomáhala</w:t>
      </w:r>
      <w:r w:rsidR="00EB1018">
        <w:rPr>
          <w:rFonts w:cs="Arial"/>
        </w:rPr>
        <w:t> </w:t>
      </w:r>
      <w:r w:rsidR="00012BA9" w:rsidRPr="00ED38E9">
        <w:rPr>
          <w:rFonts w:cs="Arial"/>
        </w:rPr>
        <w:t xml:space="preserve">dosažení úrovně sběru požadovaného ve zmíněné směrnici a </w:t>
      </w:r>
      <w:r>
        <w:rPr>
          <w:rFonts w:cs="Arial"/>
        </w:rPr>
        <w:t>snižovala</w:t>
      </w:r>
      <w:r w:rsidR="00012BA9" w:rsidRPr="00ED38E9">
        <w:rPr>
          <w:rFonts w:cs="Arial"/>
        </w:rPr>
        <w:t xml:space="preserve"> </w:t>
      </w:r>
      <w:r>
        <w:rPr>
          <w:rFonts w:cs="Arial"/>
        </w:rPr>
        <w:t xml:space="preserve">množství </w:t>
      </w:r>
      <w:r w:rsidR="00012BA9" w:rsidRPr="00ED38E9">
        <w:rPr>
          <w:rFonts w:cs="Arial"/>
        </w:rPr>
        <w:t>elektroodpadu, který neb</w:t>
      </w:r>
      <w:r>
        <w:rPr>
          <w:rFonts w:cs="Arial"/>
        </w:rPr>
        <w:t>ude</w:t>
      </w:r>
      <w:r w:rsidR="00012BA9" w:rsidRPr="00ED38E9">
        <w:rPr>
          <w:rFonts w:cs="Arial"/>
        </w:rPr>
        <w:t xml:space="preserve"> zpětně odebrán. V roce 2013 dosáhla v ČR úroveň zpětného odběru a odděleného sběru OEEZ cca 27,7 %. Cíle sběru definované Evropskou směrnicí 2012/19/EU se dělí dle termínu, kdy mají být plněny. Do 31. 12. 2015 by mělo být vybíráno 4 kg/osobu od spotřebitelů případně průměrné množství OEEZ sebraných v předešlých třech letech - nutno splnit vyšší hodnotu z těchto dvou možností. Novou směrnicí se cíl členských zemí EU mění. Země by měly od</w:t>
      </w:r>
      <w:r w:rsidR="00F635E4" w:rsidRPr="00ED38E9">
        <w:rPr>
          <w:rFonts w:cs="Arial"/>
        </w:rPr>
        <w:t> </w:t>
      </w:r>
      <w:r w:rsidR="00012BA9" w:rsidRPr="00ED38E9">
        <w:rPr>
          <w:rFonts w:cs="Arial"/>
        </w:rPr>
        <w:t>1.</w:t>
      </w:r>
      <w:r w:rsidR="00F635E4" w:rsidRPr="00ED38E9">
        <w:rPr>
          <w:rFonts w:cs="Arial"/>
        </w:rPr>
        <w:t> </w:t>
      </w:r>
      <w:r w:rsidR="00012BA9" w:rsidRPr="00ED38E9">
        <w:rPr>
          <w:rFonts w:cs="Arial"/>
        </w:rPr>
        <w:t xml:space="preserve">1. 2016 vybírat 45 % průměrné hmotnosti elektrozařízení uvedených na trh v předešlých třech letech. Novější členské země včetně ČR však mají udělenu výjimku. </w:t>
      </w:r>
      <w:r w:rsidR="00012BA9" w:rsidRPr="00ED38E9">
        <w:rPr>
          <w:rFonts w:cs="Arial"/>
        </w:rPr>
        <w:lastRenderedPageBreak/>
        <w:t>Do</w:t>
      </w:r>
      <w:r w:rsidR="00F635E4" w:rsidRPr="00ED38E9">
        <w:rPr>
          <w:rFonts w:cs="Arial"/>
        </w:rPr>
        <w:t> </w:t>
      </w:r>
      <w:r w:rsidR="00012BA9" w:rsidRPr="00ED38E9">
        <w:rPr>
          <w:rFonts w:cs="Arial"/>
        </w:rPr>
        <w:t>14. 8. 2016 mohou tyto členské země sebrat méně než 45</w:t>
      </w:r>
      <w:r w:rsidR="00AF7732" w:rsidRPr="00ED38E9">
        <w:rPr>
          <w:rFonts w:cs="Arial"/>
        </w:rPr>
        <w:t xml:space="preserve"> </w:t>
      </w:r>
      <w:r w:rsidR="00012BA9" w:rsidRPr="00ED38E9">
        <w:rPr>
          <w:rFonts w:cs="Arial"/>
        </w:rPr>
        <w:t>%, ale více než 40 % průměrné hmotnosti elektrozařízení uvedených na trh v předešlých třech letech. od 14. 8. 2016 pak platí stejný cíl jako pro ostatní členské země. Dalším cílem je navýšení procenta sebraných výrobků. Od 1.</w:t>
      </w:r>
      <w:r w:rsidR="00AF0E01" w:rsidRPr="00ED38E9">
        <w:rPr>
          <w:rFonts w:cs="Arial"/>
        </w:rPr>
        <w:t> </w:t>
      </w:r>
      <w:r w:rsidR="00012BA9" w:rsidRPr="00ED38E9">
        <w:rPr>
          <w:rFonts w:cs="Arial"/>
        </w:rPr>
        <w:t xml:space="preserve">1. 2019 by měly členské země sesbírat 65 % průměrné hmotnosti zařízení uvedených na trh v předešlých třech letech nebo 85 % vyprodukovaných OEEZ. ČR spolu s ostatními novějšími členskými zeměmi EU mají opět udělenou výjimku – cíl sběru může odložit až do 14. 8. 2021 a do té doby plnit požadovaný 45 % cíl. </w:t>
      </w:r>
      <w:r w:rsidR="00A56310" w:rsidRPr="00ED38E9">
        <w:rPr>
          <w:rFonts w:cs="Arial"/>
        </w:rPr>
        <w:t>MŽP</w:t>
      </w:r>
      <w:r w:rsidR="00012BA9" w:rsidRPr="00ED38E9">
        <w:rPr>
          <w:rFonts w:cs="Arial"/>
        </w:rPr>
        <w:t xml:space="preserve"> předpokládá zvolení cíle pro období od 1. 1. 2019 ve formě dos</w:t>
      </w:r>
      <w:r w:rsidR="00AF7732" w:rsidRPr="00ED38E9">
        <w:rPr>
          <w:rFonts w:cs="Arial"/>
        </w:rPr>
        <w:t>ažení</w:t>
      </w:r>
      <w:r w:rsidR="00012BA9" w:rsidRPr="00ED38E9">
        <w:rPr>
          <w:rFonts w:cs="Arial"/>
        </w:rPr>
        <w:t xml:space="preserve"> úrovně sběru 65 % z průměrné hmotnosti zařízení uvedených na trh v předešlých třech letech.</w:t>
      </w:r>
    </w:p>
    <w:p w:rsidR="00012BA9" w:rsidRPr="00ED38E9" w:rsidRDefault="00012BA9" w:rsidP="00012BA9">
      <w:pPr>
        <w:rPr>
          <w:rFonts w:cs="Arial"/>
        </w:rPr>
      </w:pPr>
      <w:r w:rsidRPr="00ED38E9">
        <w:rPr>
          <w:rFonts w:cs="Arial"/>
        </w:rPr>
        <w:t>Krom</w:t>
      </w:r>
      <w:r w:rsidR="00AF7732" w:rsidRPr="00ED38E9">
        <w:rPr>
          <w:rFonts w:cs="Arial"/>
        </w:rPr>
        <w:t>ě</w:t>
      </w:r>
      <w:r w:rsidRPr="00ED38E9">
        <w:rPr>
          <w:rFonts w:cs="Arial"/>
        </w:rPr>
        <w:t xml:space="preserve"> požadavků na sebraný elektroodpad jsou dány požadavky a cíle ze strany EU na využití OEEZ. Tyto cíle jsou uvedeny v Tabulce </w:t>
      </w:r>
      <w:r w:rsidR="00CC5248">
        <w:rPr>
          <w:rFonts w:cs="Arial"/>
        </w:rPr>
        <w:t>31</w:t>
      </w:r>
      <w:r w:rsidRPr="00ED38E9">
        <w:rPr>
          <w:rFonts w:cs="Arial"/>
        </w:rPr>
        <w:t>.</w:t>
      </w:r>
    </w:p>
    <w:p w:rsidR="00012BA9" w:rsidRPr="00ED38E9" w:rsidRDefault="00012BA9" w:rsidP="0017046F">
      <w:pPr>
        <w:pStyle w:val="Titulek"/>
        <w:rPr>
          <w:rFonts w:cs="Arial"/>
          <w:lang w:eastAsia="cs-CZ" w:bidi="ar-SA"/>
        </w:rPr>
      </w:pPr>
      <w:r w:rsidRPr="00ED38E9">
        <w:rPr>
          <w:rFonts w:cs="Arial"/>
          <w:lang w:eastAsia="cs-CZ" w:bidi="ar-SA"/>
        </w:rPr>
        <w:lastRenderedPageBreak/>
        <w:t xml:space="preserve">Tabulka </w:t>
      </w:r>
      <w:r w:rsidR="00381FB7" w:rsidRPr="00ED38E9">
        <w:rPr>
          <w:rFonts w:cs="Arial"/>
          <w:lang w:eastAsia="cs-CZ" w:bidi="ar-SA"/>
        </w:rPr>
        <w:fldChar w:fldCharType="begin"/>
      </w:r>
      <w:r w:rsidRPr="00ED38E9">
        <w:rPr>
          <w:rFonts w:cs="Arial"/>
          <w:lang w:eastAsia="cs-CZ" w:bidi="ar-SA"/>
        </w:rPr>
        <w:instrText xml:space="preserve"> SEQ Tabulka \* ARABIC </w:instrText>
      </w:r>
      <w:r w:rsidR="00381FB7" w:rsidRPr="00ED38E9">
        <w:rPr>
          <w:rFonts w:cs="Arial"/>
          <w:lang w:eastAsia="cs-CZ" w:bidi="ar-SA"/>
        </w:rPr>
        <w:fldChar w:fldCharType="separate"/>
      </w:r>
      <w:r w:rsidR="00FD5E92">
        <w:rPr>
          <w:rFonts w:cs="Arial"/>
          <w:lang w:eastAsia="cs-CZ" w:bidi="ar-SA"/>
        </w:rPr>
        <w:t>31</w:t>
      </w:r>
      <w:r w:rsidR="00381FB7" w:rsidRPr="00ED38E9">
        <w:rPr>
          <w:rFonts w:cs="Arial"/>
          <w:lang w:eastAsia="cs-CZ" w:bidi="ar-SA"/>
        </w:rPr>
        <w:fldChar w:fldCharType="end"/>
      </w:r>
      <w:r w:rsidRPr="00ED38E9">
        <w:rPr>
          <w:rFonts w:cs="Arial"/>
          <w:lang w:eastAsia="cs-CZ" w:bidi="ar-SA"/>
        </w:rPr>
        <w:t>: Cíle sběru OEEZ dle směrnice 2012/19/EU</w:t>
      </w:r>
    </w:p>
    <w:tbl>
      <w:tblPr>
        <w:tblW w:w="0" w:type="auto"/>
        <w:tblInd w:w="70" w:type="dxa"/>
        <w:tblLayout w:type="fixed"/>
        <w:tblCellMar>
          <w:left w:w="70" w:type="dxa"/>
          <w:right w:w="70" w:type="dxa"/>
        </w:tblCellMar>
        <w:tblLook w:val="04A0" w:firstRow="1" w:lastRow="0" w:firstColumn="1" w:lastColumn="0" w:noHBand="0" w:noVBand="1"/>
      </w:tblPr>
      <w:tblGrid>
        <w:gridCol w:w="604"/>
        <w:gridCol w:w="2933"/>
        <w:gridCol w:w="2214"/>
        <w:gridCol w:w="2924"/>
      </w:tblGrid>
      <w:tr w:rsidR="00012BA9" w:rsidRPr="000B7CBF" w:rsidTr="00ED38E9">
        <w:trPr>
          <w:trHeight w:val="397"/>
        </w:trPr>
        <w:tc>
          <w:tcPr>
            <w:tcW w:w="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BA9" w:rsidRPr="00ED38E9" w:rsidRDefault="00012BA9" w:rsidP="00937B55">
            <w:pPr>
              <w:keepNext/>
              <w:jc w:val="left"/>
              <w:rPr>
                <w:rFonts w:eastAsia="MS Mincho" w:cs="Arial"/>
                <w:b/>
                <w:noProof w:val="0"/>
                <w:sz w:val="18"/>
                <w:szCs w:val="20"/>
                <w:lang w:eastAsia="cs-CZ" w:bidi="ar-SA"/>
              </w:rPr>
            </w:pPr>
            <w:r w:rsidRPr="00ED38E9">
              <w:rPr>
                <w:rFonts w:eastAsia="MS Mincho" w:cs="Arial"/>
                <w:b/>
                <w:noProof w:val="0"/>
                <w:sz w:val="18"/>
                <w:szCs w:val="20"/>
                <w:lang w:eastAsia="cs-CZ" w:bidi="ar-SA"/>
              </w:rPr>
              <w:t>Cíl</w:t>
            </w:r>
          </w:p>
        </w:tc>
        <w:tc>
          <w:tcPr>
            <w:tcW w:w="29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BA9" w:rsidRPr="00ED38E9" w:rsidRDefault="00012BA9" w:rsidP="00937B55">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do 31. 12. 2015</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BA9" w:rsidRPr="00ED38E9" w:rsidRDefault="00012BA9" w:rsidP="00937B55">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od 1. 1. 2016</w:t>
            </w:r>
          </w:p>
        </w:tc>
        <w:tc>
          <w:tcPr>
            <w:tcW w:w="29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2BA9" w:rsidRPr="00ED38E9" w:rsidRDefault="00012BA9" w:rsidP="00937B55">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od 1. 1. 2019</w:t>
            </w:r>
          </w:p>
        </w:tc>
      </w:tr>
      <w:tr w:rsidR="00012BA9" w:rsidRPr="000B7CBF" w:rsidTr="00937B55">
        <w:trPr>
          <w:trHeight w:val="1341"/>
        </w:trPr>
        <w:tc>
          <w:tcPr>
            <w:tcW w:w="6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EU</w:t>
            </w:r>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4 kg/os u OEEZ od spotřebitelů nebo průměrné množství OEEZ sebraných v předešlých třech letech (spotřebitelé i podnikatelé) - dle toho, která z hodnot je vyšší</w:t>
            </w:r>
          </w:p>
        </w:tc>
        <w:tc>
          <w:tcPr>
            <w:tcW w:w="2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45 % průměrné hmotnosti zařízení uvedených na trh v předešlých třech letech</w:t>
            </w:r>
          </w:p>
        </w:tc>
        <w:tc>
          <w:tcPr>
            <w:tcW w:w="2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65 % průměrné hmotnosti zařízení uvedených na trh v předešlých třech letech nebo 85 % z vyprodukovaných OEEZ</w:t>
            </w:r>
          </w:p>
        </w:tc>
      </w:tr>
      <w:tr w:rsidR="00012BA9" w:rsidRPr="000B7CBF" w:rsidTr="00937B55">
        <w:trPr>
          <w:trHeight w:val="963"/>
        </w:trPr>
        <w:tc>
          <w:tcPr>
            <w:tcW w:w="60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ČR</w:t>
            </w:r>
          </w:p>
        </w:tc>
        <w:tc>
          <w:tcPr>
            <w:tcW w:w="293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Totožný</w:t>
            </w:r>
          </w:p>
        </w:tc>
        <w:tc>
          <w:tcPr>
            <w:tcW w:w="221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40 % průměrné hmotnosti zařízení uvedených na trh v předešlých třech letech</w:t>
            </w:r>
            <w:r w:rsidRPr="00ED38E9">
              <w:rPr>
                <w:rFonts w:eastAsia="MS Mincho" w:cs="Arial"/>
                <w:i/>
                <w:iCs/>
                <w:noProof w:val="0"/>
                <w:color w:val="000000"/>
                <w:sz w:val="20"/>
                <w:szCs w:val="20"/>
                <w:vertAlign w:val="superscript"/>
                <w:lang w:eastAsia="cs-CZ" w:bidi="ar-SA"/>
              </w:rPr>
              <w:t>*</w:t>
            </w:r>
          </w:p>
        </w:tc>
        <w:tc>
          <w:tcPr>
            <w:tcW w:w="292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totožný, ale termín posunut</w:t>
            </w:r>
            <w:r w:rsidRPr="00ED38E9">
              <w:rPr>
                <w:rFonts w:eastAsia="MS Mincho" w:cs="Arial"/>
                <w:i/>
                <w:iCs/>
                <w:noProof w:val="0"/>
                <w:color w:val="000000"/>
                <w:sz w:val="20"/>
                <w:szCs w:val="20"/>
                <w:vertAlign w:val="superscript"/>
                <w:lang w:eastAsia="cs-CZ" w:bidi="ar-SA"/>
              </w:rPr>
              <w:t>**</w:t>
            </w:r>
          </w:p>
        </w:tc>
      </w:tr>
      <w:tr w:rsidR="00012BA9" w:rsidRPr="000B7CBF" w:rsidTr="00937B55">
        <w:trPr>
          <w:trHeight w:val="176"/>
        </w:trPr>
        <w:tc>
          <w:tcPr>
            <w:tcW w:w="8675" w:type="dxa"/>
            <w:gridSpan w:val="4"/>
            <w:tcBorders>
              <w:top w:val="single" w:sz="4" w:space="0" w:color="auto"/>
              <w:left w:val="nil"/>
              <w:bottom w:val="nil"/>
              <w:right w:val="nil"/>
            </w:tcBorders>
            <w:shd w:val="clear" w:color="auto" w:fill="auto"/>
            <w:hideMark/>
          </w:tcPr>
          <w:p w:rsidR="00012BA9" w:rsidRPr="00ED38E9" w:rsidRDefault="00012BA9" w:rsidP="00012BA9">
            <w:pPr>
              <w:keepNext/>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Směrnice Evropského parlamentu a rady 2012/19/EU</w:t>
            </w:r>
          </w:p>
          <w:p w:rsidR="00012BA9" w:rsidRPr="00ED38E9" w:rsidRDefault="00012BA9" w:rsidP="00012BA9">
            <w:pPr>
              <w:keepNext/>
              <w:widowControl w:val="0"/>
              <w:spacing w:after="120" w:line="240" w:lineRule="auto"/>
              <w:rPr>
                <w:rFonts w:cs="Arial"/>
                <w:i/>
                <w:iCs/>
                <w:noProof w:val="0"/>
                <w:color w:val="000000"/>
                <w:sz w:val="20"/>
                <w:szCs w:val="20"/>
                <w:lang w:eastAsia="cs-CZ" w:bidi="ar-SA"/>
              </w:rPr>
            </w:pPr>
            <w:r w:rsidRPr="00ED38E9">
              <w:rPr>
                <w:rFonts w:cs="Arial"/>
                <w:i/>
                <w:iCs/>
                <w:noProof w:val="0"/>
                <w:color w:val="000000"/>
                <w:sz w:val="20"/>
                <w:szCs w:val="20"/>
                <w:vertAlign w:val="superscript"/>
                <w:lang w:eastAsia="cs-CZ" w:bidi="ar-SA"/>
              </w:rPr>
              <w:t>*</w:t>
            </w:r>
            <w:r w:rsidRPr="00ED38E9">
              <w:rPr>
                <w:rFonts w:cs="Arial"/>
                <w:i/>
                <w:iCs/>
                <w:noProof w:val="0"/>
                <w:color w:val="000000"/>
                <w:sz w:val="20"/>
                <w:szCs w:val="20"/>
                <w:lang w:eastAsia="cs-CZ" w:bidi="ar-SA"/>
              </w:rPr>
              <w:t>Do 14. 8. 2016</w:t>
            </w:r>
          </w:p>
          <w:p w:rsidR="00012BA9" w:rsidRPr="00ED38E9" w:rsidRDefault="00012BA9" w:rsidP="00012BA9">
            <w:pPr>
              <w:keepNext/>
              <w:widowControl w:val="0"/>
              <w:spacing w:after="120" w:line="240" w:lineRule="auto"/>
              <w:rPr>
                <w:rFonts w:cs="Arial"/>
                <w:i/>
                <w:iCs/>
                <w:noProof w:val="0"/>
                <w:color w:val="000000"/>
                <w:sz w:val="20"/>
                <w:szCs w:val="20"/>
                <w:lang w:eastAsia="cs-CZ" w:bidi="ar-SA"/>
              </w:rPr>
            </w:pPr>
            <w:r w:rsidRPr="00ED38E9">
              <w:rPr>
                <w:rFonts w:cs="Arial"/>
                <w:i/>
                <w:iCs/>
                <w:noProof w:val="0"/>
                <w:color w:val="000000"/>
                <w:sz w:val="20"/>
                <w:szCs w:val="20"/>
                <w:vertAlign w:val="superscript"/>
                <w:lang w:eastAsia="cs-CZ" w:bidi="ar-SA"/>
              </w:rPr>
              <w:t>**</w:t>
            </w:r>
            <w:r w:rsidRPr="00ED38E9">
              <w:rPr>
                <w:rFonts w:cs="Arial"/>
                <w:i/>
                <w:iCs/>
                <w:noProof w:val="0"/>
                <w:color w:val="000000"/>
                <w:sz w:val="20"/>
                <w:szCs w:val="20"/>
                <w:lang w:eastAsia="cs-CZ" w:bidi="ar-SA"/>
              </w:rPr>
              <w:t xml:space="preserve">Do 14. 8. 2021 </w:t>
            </w:r>
          </w:p>
        </w:tc>
      </w:tr>
    </w:tbl>
    <w:p w:rsidR="00012BA9" w:rsidRPr="00ED38E9" w:rsidRDefault="00012BA9" w:rsidP="0017046F">
      <w:pPr>
        <w:pStyle w:val="Titulek"/>
        <w:rPr>
          <w:rFonts w:cs="Arial"/>
          <w:lang w:eastAsia="cs-CZ" w:bidi="ar-SA"/>
        </w:rPr>
      </w:pPr>
      <w:r w:rsidRPr="00ED38E9">
        <w:rPr>
          <w:rFonts w:cs="Arial"/>
          <w:lang w:eastAsia="cs-CZ" w:bidi="ar-SA"/>
        </w:rPr>
        <w:t xml:space="preserve">Tabulka </w:t>
      </w:r>
      <w:r w:rsidR="00381FB7" w:rsidRPr="00ED38E9">
        <w:rPr>
          <w:rFonts w:cs="Arial"/>
          <w:lang w:eastAsia="cs-CZ" w:bidi="ar-SA"/>
        </w:rPr>
        <w:fldChar w:fldCharType="begin"/>
      </w:r>
      <w:r w:rsidRPr="00ED38E9">
        <w:rPr>
          <w:rFonts w:cs="Arial"/>
          <w:lang w:eastAsia="cs-CZ" w:bidi="ar-SA"/>
        </w:rPr>
        <w:instrText xml:space="preserve"> SEQ Tabulka \* ARABIC </w:instrText>
      </w:r>
      <w:r w:rsidR="00381FB7" w:rsidRPr="00ED38E9">
        <w:rPr>
          <w:rFonts w:cs="Arial"/>
          <w:lang w:eastAsia="cs-CZ" w:bidi="ar-SA"/>
        </w:rPr>
        <w:fldChar w:fldCharType="separate"/>
      </w:r>
      <w:r w:rsidR="00FD5E92">
        <w:rPr>
          <w:rFonts w:cs="Arial"/>
          <w:lang w:eastAsia="cs-CZ" w:bidi="ar-SA"/>
        </w:rPr>
        <w:t>32</w:t>
      </w:r>
      <w:r w:rsidR="00381FB7" w:rsidRPr="00ED38E9">
        <w:rPr>
          <w:rFonts w:cs="Arial"/>
          <w:lang w:eastAsia="cs-CZ" w:bidi="ar-SA"/>
        </w:rPr>
        <w:fldChar w:fldCharType="end"/>
      </w:r>
      <w:r w:rsidRPr="00ED38E9">
        <w:rPr>
          <w:rFonts w:cs="Arial"/>
          <w:lang w:eastAsia="cs-CZ" w:bidi="ar-SA"/>
        </w:rPr>
        <w:t>: Cíle využití OEEZ dle směrnice 2012/19/EU</w:t>
      </w:r>
    </w:p>
    <w:tbl>
      <w:tblPr>
        <w:tblW w:w="8675" w:type="dxa"/>
        <w:tblInd w:w="70" w:type="dxa"/>
        <w:tblCellMar>
          <w:left w:w="70" w:type="dxa"/>
          <w:right w:w="70" w:type="dxa"/>
        </w:tblCellMar>
        <w:tblLook w:val="04A0" w:firstRow="1" w:lastRow="0" w:firstColumn="1" w:lastColumn="0" w:noHBand="0" w:noVBand="1"/>
      </w:tblPr>
      <w:tblGrid>
        <w:gridCol w:w="2642"/>
        <w:gridCol w:w="1619"/>
        <w:gridCol w:w="4414"/>
      </w:tblGrid>
      <w:tr w:rsidR="00012BA9" w:rsidRPr="000B7CBF" w:rsidTr="00ED38E9">
        <w:trPr>
          <w:trHeight w:val="263"/>
        </w:trPr>
        <w:tc>
          <w:tcPr>
            <w:tcW w:w="21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BA9" w:rsidRPr="00ED38E9" w:rsidRDefault="00012BA9" w:rsidP="00012BA9">
            <w:pPr>
              <w:keepNext/>
              <w:jc w:val="center"/>
              <w:rPr>
                <w:rFonts w:eastAsia="MS Mincho" w:cs="Arial"/>
                <w:b/>
                <w:i/>
                <w:iCs/>
                <w:noProof w:val="0"/>
                <w:szCs w:val="20"/>
                <w:lang w:eastAsia="cs-CZ" w:bidi="ar-SA"/>
              </w:rPr>
            </w:pPr>
            <w:r w:rsidRPr="00ED38E9">
              <w:rPr>
                <w:rFonts w:eastAsia="MS Mincho" w:cs="Arial"/>
                <w:b/>
                <w:noProof w:val="0"/>
                <w:sz w:val="18"/>
                <w:szCs w:val="20"/>
                <w:lang w:eastAsia="cs-CZ" w:bidi="ar-SA"/>
              </w:rPr>
              <w:t>Skupina elektrozařízení</w:t>
            </w:r>
          </w:p>
        </w:tc>
        <w:tc>
          <w:tcPr>
            <w:tcW w:w="13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BA9" w:rsidRPr="00ED38E9" w:rsidRDefault="00012BA9" w:rsidP="00012BA9">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Využití v %</w:t>
            </w:r>
          </w:p>
        </w:tc>
        <w:tc>
          <w:tcPr>
            <w:tcW w:w="36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12BA9" w:rsidRPr="00ED38E9" w:rsidRDefault="00012BA9" w:rsidP="00012BA9">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Opětovné použití a materiálové využití v %</w:t>
            </w:r>
          </w:p>
        </w:tc>
      </w:tr>
      <w:tr w:rsidR="00012BA9" w:rsidRPr="000B7CBF" w:rsidTr="00937B55">
        <w:trPr>
          <w:trHeight w:val="340"/>
        </w:trPr>
        <w:tc>
          <w:tcPr>
            <w:tcW w:w="716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12BA9" w:rsidRPr="00ED38E9" w:rsidRDefault="00012BA9" w:rsidP="00012BA9">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Cíle využití OOEZ (příloha V směrnice 2012/19/EU) od 13. 8. 2012 do 14. 8. 2015</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1, 10</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75</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3, 4</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75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65</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2, 5, 6, 7, 8, 9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70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50</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výbojky</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w:t>
            </w:r>
          </w:p>
        </w:tc>
      </w:tr>
      <w:tr w:rsidR="00012BA9" w:rsidRPr="000B7CBF" w:rsidTr="00937B55">
        <w:trPr>
          <w:trHeight w:val="340"/>
        </w:trPr>
        <w:tc>
          <w:tcPr>
            <w:tcW w:w="716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Cíle využití OOEZ (příloha V směrnice 2012/19/EU) od 15. 8. 2015 do 14. 8. 2018</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1, 10</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3, 4</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70</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2, 5, 6, 7, 8, 9</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75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55</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výbojky</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w:t>
            </w:r>
          </w:p>
        </w:tc>
      </w:tr>
      <w:tr w:rsidR="00012BA9" w:rsidRPr="000B7CBF" w:rsidTr="00937B55">
        <w:trPr>
          <w:trHeight w:val="340"/>
        </w:trPr>
        <w:tc>
          <w:tcPr>
            <w:tcW w:w="7164"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937B55">
            <w:pPr>
              <w:keepNext/>
              <w:jc w:val="center"/>
              <w:rPr>
                <w:rFonts w:eastAsia="MS Mincho" w:cs="Arial"/>
                <w:b/>
                <w:noProof w:val="0"/>
                <w:sz w:val="18"/>
                <w:szCs w:val="20"/>
                <w:lang w:eastAsia="cs-CZ" w:bidi="ar-SA"/>
              </w:rPr>
            </w:pPr>
            <w:r w:rsidRPr="00ED38E9">
              <w:rPr>
                <w:rFonts w:eastAsia="MS Mincho" w:cs="Arial"/>
                <w:b/>
                <w:noProof w:val="0"/>
                <w:sz w:val="18"/>
                <w:szCs w:val="20"/>
                <w:lang w:eastAsia="cs-CZ" w:bidi="ar-SA"/>
              </w:rPr>
              <w:t>Cíle využití OOEZ (příloha V směrnice 2012/19/EU) od 15. 8. 2018</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1, 4 (velká zařízení)</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2 (obrazovky, monitory)</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70</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5, 6 (malá zařízení)</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75</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55</w:t>
            </w:r>
          </w:p>
        </w:tc>
      </w:tr>
      <w:tr w:rsidR="00012BA9" w:rsidRPr="000B7CBF" w:rsidTr="00937B55">
        <w:trPr>
          <w:trHeight w:val="340"/>
        </w:trPr>
        <w:tc>
          <w:tcPr>
            <w:tcW w:w="2182" w:type="dxa"/>
            <w:tcBorders>
              <w:top w:val="single" w:sz="4" w:space="0" w:color="auto"/>
              <w:left w:val="single" w:sz="4" w:space="0" w:color="auto"/>
              <w:bottom w:val="single" w:sz="4" w:space="0" w:color="auto"/>
              <w:right w:val="single" w:sz="4" w:space="0" w:color="auto"/>
            </w:tcBorders>
            <w:shd w:val="clear" w:color="000000" w:fill="FFFFFF"/>
            <w:hideMark/>
          </w:tcPr>
          <w:p w:rsidR="00012BA9" w:rsidRPr="00ED38E9" w:rsidRDefault="00012BA9" w:rsidP="00012BA9">
            <w:pPr>
              <w:keepNext/>
              <w:jc w:val="left"/>
              <w:rPr>
                <w:rFonts w:eastAsia="MS Mincho" w:cs="Arial"/>
                <w:noProof w:val="0"/>
                <w:sz w:val="18"/>
                <w:szCs w:val="20"/>
                <w:lang w:eastAsia="cs-CZ" w:bidi="ar-SA"/>
              </w:rPr>
            </w:pPr>
            <w:r w:rsidRPr="00ED38E9">
              <w:rPr>
                <w:rFonts w:eastAsia="MS Mincho" w:cs="Arial"/>
                <w:noProof w:val="0"/>
                <w:sz w:val="18"/>
                <w:szCs w:val="20"/>
                <w:lang w:eastAsia="cs-CZ" w:bidi="ar-SA"/>
              </w:rPr>
              <w:t>3 (světelné zdroje)</w:t>
            </w:r>
          </w:p>
        </w:tc>
        <w:tc>
          <w:tcPr>
            <w:tcW w:w="133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80</w:t>
            </w:r>
          </w:p>
        </w:tc>
        <w:tc>
          <w:tcPr>
            <w:tcW w:w="36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12BA9" w:rsidRPr="00ED38E9" w:rsidRDefault="00012BA9" w:rsidP="00012BA9">
            <w:pPr>
              <w:keepNext/>
              <w:jc w:val="center"/>
              <w:rPr>
                <w:rFonts w:eastAsia="MS Mincho" w:cs="Arial"/>
                <w:noProof w:val="0"/>
                <w:sz w:val="18"/>
                <w:szCs w:val="20"/>
                <w:lang w:eastAsia="cs-CZ" w:bidi="ar-SA"/>
              </w:rPr>
            </w:pPr>
            <w:r w:rsidRPr="00ED38E9">
              <w:rPr>
                <w:rFonts w:eastAsia="MS Mincho" w:cs="Arial"/>
                <w:noProof w:val="0"/>
                <w:sz w:val="18"/>
                <w:szCs w:val="20"/>
                <w:lang w:eastAsia="cs-CZ" w:bidi="ar-SA"/>
              </w:rPr>
              <w:t>-</w:t>
            </w:r>
          </w:p>
        </w:tc>
      </w:tr>
      <w:tr w:rsidR="00012BA9" w:rsidRPr="000B7CBF" w:rsidTr="00DC1795">
        <w:trPr>
          <w:trHeight w:val="263"/>
        </w:trPr>
        <w:tc>
          <w:tcPr>
            <w:tcW w:w="7164" w:type="dxa"/>
            <w:gridSpan w:val="3"/>
            <w:tcBorders>
              <w:top w:val="single" w:sz="4" w:space="0" w:color="auto"/>
              <w:left w:val="nil"/>
              <w:bottom w:val="nil"/>
              <w:right w:val="nil"/>
            </w:tcBorders>
            <w:shd w:val="clear" w:color="auto" w:fill="auto"/>
            <w:hideMark/>
          </w:tcPr>
          <w:p w:rsidR="00012BA9" w:rsidRPr="00ED38E9" w:rsidRDefault="00012BA9" w:rsidP="00012BA9">
            <w:pPr>
              <w:keepNext/>
              <w:widowControl w:val="0"/>
              <w:rPr>
                <w:rFonts w:cs="Arial"/>
                <w:i/>
                <w:iCs/>
                <w:noProof w:val="0"/>
                <w:color w:val="000000"/>
                <w:sz w:val="20"/>
                <w:szCs w:val="20"/>
                <w:lang w:eastAsia="cs-CZ" w:bidi="ar-SA"/>
              </w:rPr>
            </w:pPr>
            <w:r w:rsidRPr="00ED38E9">
              <w:rPr>
                <w:rFonts w:cs="Arial"/>
                <w:i/>
                <w:iCs/>
                <w:noProof w:val="0"/>
                <w:color w:val="000000"/>
                <w:sz w:val="20"/>
                <w:szCs w:val="20"/>
                <w:lang w:eastAsia="cs-CZ" w:bidi="ar-SA"/>
              </w:rPr>
              <w:t>Zdroj: Směrnice Evropského parlamentu a rady 2012/19/EU</w:t>
            </w:r>
          </w:p>
        </w:tc>
      </w:tr>
    </w:tbl>
    <w:p w:rsidR="00012BA9" w:rsidRPr="00ED38E9" w:rsidRDefault="00012BA9" w:rsidP="00F97AF3">
      <w:pPr>
        <w:pStyle w:val="Nadpis3"/>
        <w:rPr>
          <w:rFonts w:eastAsia="Calibri"/>
          <w:lang w:bidi="ar-SA"/>
        </w:rPr>
      </w:pPr>
      <w:bookmarkStart w:id="69" w:name="_Toc406598331"/>
      <w:r w:rsidRPr="00ED38E9">
        <w:rPr>
          <w:rFonts w:eastAsia="Calibri"/>
          <w:lang w:bidi="ar-SA"/>
        </w:rPr>
        <w:t>Zhodnocení rizika</w:t>
      </w:r>
      <w:bookmarkEnd w:id="69"/>
      <w:r w:rsidRPr="00ED38E9">
        <w:rPr>
          <w:rFonts w:eastAsia="Calibri"/>
          <w:lang w:bidi="ar-SA"/>
        </w:rPr>
        <w:t xml:space="preserve"> </w:t>
      </w:r>
    </w:p>
    <w:p w:rsidR="00012BA9" w:rsidRPr="00ED38E9" w:rsidRDefault="00012BA9" w:rsidP="00012BA9">
      <w:pPr>
        <w:widowControl w:val="0"/>
        <w:rPr>
          <w:rFonts w:cs="Arial"/>
        </w:rPr>
      </w:pPr>
      <w:r w:rsidRPr="00ED38E9">
        <w:rPr>
          <w:rFonts w:cs="Arial"/>
        </w:rPr>
        <w:t>Nedojde-li k zásadní změně současné legislativy, Česká republika pravděpodobně nesplní požadavky určené směrnicí 2012/19/EU, která mimo jiné požaduje nejpozději do 14. 8. 2021 (do kdy má ČR společně s dalšími členskými zeměmi udělenou výjimku) dosáhnout minimální úrovně sběru buď 65 % průměrné hmotnosti EEZ uvedených na trh v předchozích třech letech v dotčeném členském státě, anebo využití 85 % hmotnosti produkce OEEZ na území tohoto členského státu. S neplněním požadavků uvedené směrnice jsou pak spojeny případné sankce ze strany EU.</w:t>
      </w:r>
    </w:p>
    <w:p w:rsidR="00012BA9" w:rsidRPr="00ED38E9" w:rsidRDefault="00012BA9" w:rsidP="00012BA9">
      <w:pPr>
        <w:widowControl w:val="0"/>
        <w:rPr>
          <w:rFonts w:cs="Arial"/>
        </w:rPr>
      </w:pPr>
      <w:r w:rsidRPr="00ED38E9">
        <w:rPr>
          <w:rFonts w:cs="Arial"/>
        </w:rPr>
        <w:t xml:space="preserve">Dalším negativním aspektem, nedojde-li ke změně právní úpravy, je možná ztráta hodnotných druhotných surovin. OEEZ je rychle se zvětšující zdroj odpadů a pokud nedojde k jeho efektivní recyklaci, tedy správnému zpracování, případně k jeho vývozu, Česká republika se </w:t>
      </w:r>
      <w:r w:rsidRPr="00ED38E9">
        <w:rPr>
          <w:rFonts w:cs="Arial"/>
        </w:rPr>
        <w:lastRenderedPageBreak/>
        <w:t xml:space="preserve">připraví o cenný zdroj surovin. Zdrojem těchto rizik může být i rozdílnost v právních úpravách jednotlivých členských zemí. </w:t>
      </w:r>
    </w:p>
    <w:p w:rsidR="00012BA9" w:rsidRPr="00ED38E9" w:rsidRDefault="00012BA9" w:rsidP="00012BA9">
      <w:pPr>
        <w:widowControl w:val="0"/>
        <w:rPr>
          <w:rFonts w:cs="Arial"/>
        </w:rPr>
      </w:pPr>
      <w:r w:rsidRPr="00ED38E9">
        <w:rPr>
          <w:rFonts w:cs="Arial"/>
        </w:rPr>
        <w:t>Další problematickou oblastí je svoz elektroodpadu. V současné době pokud nedojde k předání elektrozařízení pocházejícího z domácností ke zpracování, není zařízení klasifikováno jako (nebezpečný) odpad. Svozové společnosti tak nemusí zacházet s nebezpečným odpadem tak, aby minimalizovaly rizika ohrožení životního prostředí a lidského zdraví.</w:t>
      </w:r>
    </w:p>
    <w:p w:rsidR="00012BA9" w:rsidRPr="00ED38E9" w:rsidRDefault="00012BA9" w:rsidP="00012BA9">
      <w:pPr>
        <w:widowControl w:val="0"/>
        <w:rPr>
          <w:rFonts w:eastAsia="Calibri" w:cs="Arial"/>
          <w:b/>
          <w:bCs/>
          <w:noProof w:val="0"/>
          <w:szCs w:val="22"/>
          <w:lang w:bidi="ar-SA"/>
        </w:rPr>
      </w:pPr>
      <w:r w:rsidRPr="00ED38E9">
        <w:rPr>
          <w:rFonts w:cs="Arial"/>
        </w:rPr>
        <w:t>Kolektivní systémy mají v současnosti silné postavení na trhu a již nyní je patrná snaha pronikat i do navazujících úrovní ve vertikálním řetězci nakládání s OEEZ (svoz a zpracování). Existuje zde riziko, že může dojít ke znevýhodňování ostatních zpracovatelů a svozových společností, může docházet ke vzniku bariér na trhu a omezování hospodářské soutěže.</w:t>
      </w:r>
    </w:p>
    <w:p w:rsidR="00725D27" w:rsidRDefault="00725D27" w:rsidP="00ED38E9">
      <w:pPr>
        <w:rPr>
          <w:rFonts w:eastAsia="Calibri"/>
          <w:lang w:bidi="ar-SA"/>
        </w:rPr>
      </w:pPr>
      <w:bookmarkStart w:id="70" w:name="_Toc406598332"/>
      <w:bookmarkEnd w:id="67"/>
      <w:bookmarkEnd w:id="68"/>
    </w:p>
    <w:p w:rsidR="00DC1795" w:rsidRPr="00ED38E9" w:rsidRDefault="00711A48" w:rsidP="0011664A">
      <w:pPr>
        <w:pStyle w:val="Nadpis1"/>
      </w:pPr>
      <w:bookmarkStart w:id="71" w:name="_Toc406598334"/>
      <w:bookmarkStart w:id="72" w:name="_Toc441759860"/>
      <w:bookmarkStart w:id="73" w:name="_Toc441760184"/>
      <w:bookmarkEnd w:id="70"/>
      <w:r>
        <w:t>O</w:t>
      </w:r>
      <w:r w:rsidR="00DC1795" w:rsidRPr="00ED38E9">
        <w:t xml:space="preserve">právnění k provozování </w:t>
      </w:r>
      <w:r>
        <w:t xml:space="preserve">kolektivního systému v případě stávajících </w:t>
      </w:r>
      <w:r w:rsidR="00DC1795" w:rsidRPr="00ED38E9">
        <w:t>KS</w:t>
      </w:r>
      <w:bookmarkEnd w:id="71"/>
      <w:bookmarkEnd w:id="72"/>
      <w:bookmarkEnd w:id="73"/>
    </w:p>
    <w:p w:rsidR="00725D27" w:rsidRPr="007F6B6C" w:rsidRDefault="00725D27" w:rsidP="0011664A">
      <w:pPr>
        <w:pStyle w:val="Nadpis2"/>
      </w:pPr>
      <w:bookmarkStart w:id="74" w:name="_Toc441759861"/>
      <w:r w:rsidRPr="007F6B6C">
        <w:t>Definice problému a popis současného stavu</w:t>
      </w:r>
      <w:bookmarkEnd w:id="74"/>
    </w:p>
    <w:p w:rsidR="00DC1795" w:rsidRPr="00ED38E9" w:rsidRDefault="00DC1795" w:rsidP="00B73FD6">
      <w:pPr>
        <w:spacing w:after="120"/>
        <w:rPr>
          <w:rFonts w:eastAsia="Calibri" w:cs="Arial"/>
          <w:b/>
          <w:noProof w:val="0"/>
          <w:szCs w:val="22"/>
          <w:lang w:bidi="ar-SA"/>
        </w:rPr>
      </w:pPr>
      <w:r w:rsidRPr="00ED38E9">
        <w:rPr>
          <w:rFonts w:eastAsia="Calibri" w:cs="Arial"/>
          <w:b/>
          <w:noProof w:val="0"/>
          <w:szCs w:val="22"/>
          <w:lang w:bidi="ar-SA"/>
        </w:rPr>
        <w:t xml:space="preserve">Popis současného stavu: </w:t>
      </w:r>
      <w:r w:rsidRPr="00ED38E9">
        <w:rPr>
          <w:rFonts w:eastAsia="Calibri" w:cs="Arial"/>
          <w:noProof w:val="0"/>
          <w:szCs w:val="22"/>
          <w:lang w:bidi="ar-SA"/>
        </w:rPr>
        <w:t xml:space="preserve">Každý fungující kolektivní systém </w:t>
      </w:r>
      <w:r w:rsidR="00537001">
        <w:rPr>
          <w:rFonts w:eastAsia="Calibri" w:cs="Arial"/>
          <w:noProof w:val="0"/>
          <w:szCs w:val="22"/>
          <w:lang w:bidi="ar-SA"/>
        </w:rPr>
        <w:t>byl zapsán do Seznamu výrobců nebo mu bylo uděleno oprávnění na základě předloženého projektu</w:t>
      </w:r>
      <w:r w:rsidRPr="00ED38E9">
        <w:rPr>
          <w:rFonts w:eastAsia="Calibri" w:cs="Arial"/>
          <w:noProof w:val="0"/>
          <w:szCs w:val="22"/>
          <w:lang w:bidi="ar-SA"/>
        </w:rPr>
        <w:t>.</w:t>
      </w:r>
    </w:p>
    <w:p w:rsidR="00DC1795" w:rsidRPr="00ED38E9" w:rsidRDefault="00DC1795" w:rsidP="00B73FD6">
      <w:pPr>
        <w:spacing w:after="120"/>
        <w:rPr>
          <w:rFonts w:eastAsia="Calibri" w:cs="Arial"/>
          <w:noProof w:val="0"/>
          <w:szCs w:val="22"/>
          <w:lang w:bidi="ar-SA"/>
        </w:rPr>
      </w:pPr>
      <w:r w:rsidRPr="00ED38E9">
        <w:rPr>
          <w:rFonts w:eastAsia="Calibri" w:cs="Arial"/>
          <w:b/>
          <w:noProof w:val="0"/>
          <w:szCs w:val="22"/>
          <w:lang w:bidi="ar-SA"/>
        </w:rPr>
        <w:t xml:space="preserve">Definice problému: </w:t>
      </w:r>
      <w:r w:rsidRPr="00ED38E9">
        <w:rPr>
          <w:rFonts w:eastAsia="Calibri" w:cs="Arial"/>
          <w:noProof w:val="0"/>
          <w:szCs w:val="22"/>
          <w:lang w:bidi="ar-SA"/>
        </w:rPr>
        <w:t>Potřeba nastavení rovných startovních podmínek v případě změny zákona.</w:t>
      </w:r>
    </w:p>
    <w:p w:rsidR="00725D27" w:rsidRDefault="00725D27" w:rsidP="0011664A">
      <w:pPr>
        <w:pStyle w:val="Nadpis2"/>
      </w:pPr>
      <w:bookmarkStart w:id="75" w:name="_Toc441759862"/>
      <w:r>
        <w:t>Popis cílového stavu</w:t>
      </w:r>
      <w:bookmarkEnd w:id="75"/>
    </w:p>
    <w:p w:rsidR="00DC1795" w:rsidRPr="00ED38E9" w:rsidRDefault="00A51D93" w:rsidP="00B73FD6">
      <w:pPr>
        <w:spacing w:after="120"/>
        <w:rPr>
          <w:rFonts w:eastAsia="Calibri" w:cs="Arial"/>
          <w:noProof w:val="0"/>
          <w:szCs w:val="22"/>
          <w:lang w:bidi="ar-SA"/>
        </w:rPr>
      </w:pPr>
      <w:r>
        <w:rPr>
          <w:rFonts w:eastAsia="Calibri" w:cs="Arial"/>
          <w:noProof w:val="0"/>
          <w:szCs w:val="22"/>
          <w:lang w:bidi="ar-SA"/>
        </w:rPr>
        <w:t>S</w:t>
      </w:r>
      <w:r w:rsidR="00DC1795" w:rsidRPr="00ED38E9">
        <w:rPr>
          <w:rFonts w:eastAsia="Calibri" w:cs="Arial"/>
          <w:noProof w:val="0"/>
          <w:szCs w:val="22"/>
          <w:lang w:bidi="ar-SA"/>
        </w:rPr>
        <w:t>plnění požadavků EU,</w:t>
      </w:r>
      <w:r w:rsidR="00DC1795" w:rsidRPr="00ED38E9">
        <w:rPr>
          <w:rFonts w:eastAsia="Calibri" w:cs="Arial"/>
          <w:b/>
          <w:noProof w:val="0"/>
          <w:szCs w:val="22"/>
          <w:lang w:bidi="ar-SA"/>
        </w:rPr>
        <w:t xml:space="preserve"> </w:t>
      </w:r>
      <w:r w:rsidR="00DC1795" w:rsidRPr="00ED38E9">
        <w:rPr>
          <w:rFonts w:eastAsia="Calibri" w:cs="Arial"/>
          <w:noProof w:val="0"/>
          <w:szCs w:val="22"/>
          <w:lang w:bidi="ar-SA"/>
        </w:rPr>
        <w:t>zajištění transparentního prostředí a podmínek umožňujících dosažení obecného cíle.</w:t>
      </w:r>
    </w:p>
    <w:p w:rsidR="00DC1795" w:rsidRPr="00ED38E9" w:rsidRDefault="00DC1795" w:rsidP="00B73FD6">
      <w:pPr>
        <w:keepNext/>
        <w:spacing w:after="120"/>
        <w:rPr>
          <w:rFonts w:eastAsia="Calibri" w:cs="Arial"/>
          <w:b/>
          <w:noProof w:val="0"/>
          <w:szCs w:val="22"/>
          <w:lang w:bidi="ar-SA"/>
        </w:rPr>
      </w:pPr>
      <w:r w:rsidRPr="00ED38E9">
        <w:rPr>
          <w:rFonts w:eastAsia="Calibri" w:cs="Arial"/>
          <w:b/>
          <w:noProof w:val="0"/>
          <w:szCs w:val="22"/>
          <w:lang w:bidi="ar-SA"/>
        </w:rPr>
        <w:t>Varianty řešení:</w:t>
      </w:r>
    </w:p>
    <w:p w:rsidR="00DC1795" w:rsidRPr="00ED38E9" w:rsidRDefault="00DC1795" w:rsidP="00B73FD6">
      <w:pPr>
        <w:spacing w:after="120"/>
        <w:rPr>
          <w:rFonts w:eastAsia="Calibri" w:cs="Arial"/>
          <w:noProof w:val="0"/>
          <w:szCs w:val="22"/>
          <w:lang w:bidi="ar-SA"/>
        </w:rPr>
      </w:pPr>
      <w:r w:rsidRPr="00ED38E9">
        <w:rPr>
          <w:rFonts w:eastAsia="Calibri" w:cs="Arial"/>
          <w:b/>
          <w:noProof w:val="0"/>
          <w:szCs w:val="22"/>
          <w:lang w:bidi="ar-SA"/>
        </w:rPr>
        <w:t>Varianta 0</w:t>
      </w:r>
      <w:r w:rsidRPr="00ED38E9">
        <w:rPr>
          <w:rFonts w:eastAsia="Calibri" w:cs="Arial"/>
          <w:noProof w:val="0"/>
          <w:szCs w:val="22"/>
          <w:lang w:bidi="ar-SA"/>
        </w:rPr>
        <w:t xml:space="preserve"> – </w:t>
      </w:r>
      <w:r w:rsidR="00537001">
        <w:t>P</w:t>
      </w:r>
      <w:r w:rsidR="00537001" w:rsidRPr="008518EB">
        <w:t>rojekt zajišťování kolektivního plnění</w:t>
      </w:r>
      <w:r w:rsidRPr="00ED38E9">
        <w:rPr>
          <w:rFonts w:eastAsia="Calibri" w:cs="Arial"/>
          <w:noProof w:val="0"/>
          <w:szCs w:val="22"/>
          <w:lang w:bidi="ar-SA"/>
        </w:rPr>
        <w:t xml:space="preserve"> při žádosti o udělení oprávnění k provozování KS předloží pouze nově vznikající KS </w:t>
      </w:r>
    </w:p>
    <w:p w:rsidR="00DC1795" w:rsidRPr="00ED38E9" w:rsidRDefault="00DC1795" w:rsidP="00B73FD6">
      <w:pPr>
        <w:spacing w:after="120"/>
        <w:rPr>
          <w:rFonts w:eastAsia="Calibri" w:cs="Arial"/>
          <w:noProof w:val="0"/>
          <w:szCs w:val="22"/>
          <w:lang w:bidi="ar-SA"/>
        </w:rPr>
      </w:pPr>
      <w:r w:rsidRPr="00ED38E9">
        <w:rPr>
          <w:rFonts w:eastAsia="Calibri" w:cs="Arial"/>
          <w:b/>
          <w:noProof w:val="0"/>
          <w:szCs w:val="22"/>
          <w:lang w:bidi="ar-SA"/>
        </w:rPr>
        <w:t>Varianta 1</w:t>
      </w:r>
      <w:r w:rsidRPr="00ED38E9">
        <w:rPr>
          <w:rFonts w:eastAsia="Calibri" w:cs="Arial"/>
          <w:noProof w:val="0"/>
          <w:szCs w:val="22"/>
          <w:lang w:bidi="ar-SA"/>
        </w:rPr>
        <w:t xml:space="preserve"> – </w:t>
      </w:r>
      <w:r w:rsidR="00537001">
        <w:t>P</w:t>
      </w:r>
      <w:r w:rsidR="00537001" w:rsidRPr="008518EB">
        <w:t>rojekt zajišťování kolektivního plnění</w:t>
      </w:r>
      <w:r w:rsidRPr="00ED38E9">
        <w:rPr>
          <w:rFonts w:eastAsia="Calibri" w:cs="Arial"/>
          <w:noProof w:val="0"/>
          <w:szCs w:val="22"/>
          <w:lang w:bidi="ar-SA"/>
        </w:rPr>
        <w:t xml:space="preserve"> při žádosti o udělení oprávnění k provozování KS předloží pouze nově vznikající KS, stávající KS doplní/aktualizují svůj autorizační projekt v souladu s nově definovanými požadavky na autorizační projekt. Oprávnění k provozování kolektivního systému bude vydané na dobu určitou, nejdéle na dobu deseti let, a nepřechází na jinou osobu. </w:t>
      </w:r>
    </w:p>
    <w:p w:rsidR="00DC1795" w:rsidRPr="00ED38E9" w:rsidRDefault="00DC1795" w:rsidP="00B73FD6">
      <w:pPr>
        <w:spacing w:after="120"/>
        <w:rPr>
          <w:rFonts w:eastAsia="Calibri" w:cs="Arial"/>
          <w:noProof w:val="0"/>
          <w:szCs w:val="22"/>
          <w:lang w:bidi="ar-SA"/>
        </w:rPr>
      </w:pPr>
      <w:r w:rsidRPr="00ED38E9">
        <w:rPr>
          <w:rFonts w:eastAsia="Calibri" w:cs="Arial"/>
          <w:b/>
          <w:noProof w:val="0"/>
          <w:szCs w:val="22"/>
          <w:lang w:bidi="ar-SA"/>
        </w:rPr>
        <w:t>Varianta 2</w:t>
      </w:r>
      <w:r w:rsidRPr="00ED38E9">
        <w:rPr>
          <w:rFonts w:eastAsia="Calibri" w:cs="Arial"/>
          <w:noProof w:val="0"/>
          <w:szCs w:val="22"/>
          <w:lang w:bidi="ar-SA"/>
        </w:rPr>
        <w:t xml:space="preserve"> – </w:t>
      </w:r>
      <w:r w:rsidR="00537001">
        <w:t>P</w:t>
      </w:r>
      <w:r w:rsidR="00537001" w:rsidRPr="008518EB">
        <w:t>rojekt zajišťování kolektivního plnění</w:t>
      </w:r>
      <w:r w:rsidRPr="00ED38E9">
        <w:rPr>
          <w:rFonts w:eastAsia="Calibri" w:cs="Arial"/>
          <w:noProof w:val="0"/>
          <w:szCs w:val="22"/>
          <w:lang w:bidi="ar-SA"/>
        </w:rPr>
        <w:t xml:space="preserve">při žádosti o udělení oprávnění k provozování KS předloží všechny KS. Stávající KS tak vypracují nový </w:t>
      </w:r>
      <w:r w:rsidR="00537001">
        <w:t>p</w:t>
      </w:r>
      <w:r w:rsidR="00537001" w:rsidRPr="008518EB">
        <w:t>rojekt zajišťování kolektivního plnění</w:t>
      </w:r>
      <w:r w:rsidRPr="00ED38E9">
        <w:rPr>
          <w:rFonts w:eastAsia="Calibri" w:cs="Arial"/>
          <w:noProof w:val="0"/>
          <w:szCs w:val="22"/>
          <w:lang w:bidi="ar-SA"/>
        </w:rPr>
        <w:t xml:space="preserve"> a znovu požádají o udělení oprávnění k provozování KS. Oprávnění k</w:t>
      </w:r>
      <w:r w:rsidR="00EB1018">
        <w:rPr>
          <w:rFonts w:eastAsia="Calibri" w:cs="Arial"/>
          <w:noProof w:val="0"/>
          <w:szCs w:val="22"/>
          <w:lang w:bidi="ar-SA"/>
        </w:rPr>
        <w:t> </w:t>
      </w:r>
      <w:r w:rsidRPr="00ED38E9">
        <w:rPr>
          <w:rFonts w:eastAsia="Calibri" w:cs="Arial"/>
          <w:noProof w:val="0"/>
          <w:szCs w:val="22"/>
          <w:lang w:bidi="ar-SA"/>
        </w:rPr>
        <w:t xml:space="preserve">provozování kolektivního systému bude vydané na dobu </w:t>
      </w:r>
      <w:r w:rsidR="00537001">
        <w:rPr>
          <w:rFonts w:eastAsia="Calibri" w:cs="Arial"/>
          <w:noProof w:val="0"/>
          <w:szCs w:val="22"/>
          <w:lang w:bidi="ar-SA"/>
        </w:rPr>
        <w:t>ne</w:t>
      </w:r>
      <w:r w:rsidRPr="00ED38E9">
        <w:rPr>
          <w:rFonts w:eastAsia="Calibri" w:cs="Arial"/>
          <w:noProof w:val="0"/>
          <w:szCs w:val="22"/>
          <w:lang w:bidi="ar-SA"/>
        </w:rPr>
        <w:t xml:space="preserve">určitou a nepřechází na jinou osobu. </w:t>
      </w:r>
    </w:p>
    <w:p w:rsidR="00DC1795" w:rsidRPr="00ED38E9" w:rsidRDefault="00DC1795" w:rsidP="0011664A">
      <w:pPr>
        <w:pStyle w:val="Nadpis2"/>
      </w:pPr>
      <w:bookmarkStart w:id="76" w:name="_Toc441759863"/>
      <w:r w:rsidRPr="00ED38E9">
        <w:t>Identifikace nákladů a přínosů:</w:t>
      </w:r>
      <w:bookmarkEnd w:id="76"/>
    </w:p>
    <w:p w:rsidR="00DC1795" w:rsidRPr="00ED38E9" w:rsidRDefault="00DC1795" w:rsidP="00B73FD6">
      <w:pPr>
        <w:spacing w:after="120"/>
        <w:rPr>
          <w:rFonts w:eastAsia="Calibri" w:cs="Arial"/>
          <w:noProof w:val="0"/>
          <w:szCs w:val="22"/>
          <w:lang w:bidi="ar-SA"/>
        </w:rPr>
      </w:pPr>
      <w:r w:rsidRPr="00ED38E9">
        <w:rPr>
          <w:rFonts w:eastAsia="Calibri" w:cs="Arial"/>
          <w:b/>
          <w:noProof w:val="0"/>
          <w:szCs w:val="22"/>
          <w:lang w:bidi="ar-SA"/>
        </w:rPr>
        <w:t>Varianta 0:</w:t>
      </w:r>
      <w:r w:rsidRPr="00ED38E9">
        <w:rPr>
          <w:rFonts w:eastAsia="Calibri" w:cs="Arial"/>
          <w:noProof w:val="0"/>
          <w:szCs w:val="22"/>
          <w:lang w:bidi="ar-SA"/>
        </w:rPr>
        <w:t xml:space="preserve"> nepředstavuje pro dotčené subjekty žádné dodatečné náklady</w:t>
      </w:r>
    </w:p>
    <w:p w:rsidR="00DC1795" w:rsidRPr="00ED38E9" w:rsidRDefault="00DC1795" w:rsidP="00B73FD6">
      <w:pPr>
        <w:spacing w:after="120"/>
        <w:rPr>
          <w:rFonts w:eastAsia="Calibri" w:cs="Arial"/>
          <w:noProof w:val="0"/>
          <w:szCs w:val="22"/>
          <w:lang w:bidi="ar-SA"/>
        </w:rPr>
      </w:pPr>
      <w:r w:rsidRPr="00ED38E9">
        <w:rPr>
          <w:rFonts w:eastAsia="Calibri" w:cs="Arial"/>
          <w:b/>
          <w:noProof w:val="0"/>
          <w:szCs w:val="22"/>
          <w:lang w:bidi="ar-SA"/>
        </w:rPr>
        <w:lastRenderedPageBreak/>
        <w:t>Variant</w:t>
      </w:r>
      <w:r w:rsidR="00537001">
        <w:rPr>
          <w:rFonts w:eastAsia="Calibri" w:cs="Arial"/>
          <w:b/>
          <w:noProof w:val="0"/>
          <w:szCs w:val="22"/>
          <w:lang w:bidi="ar-SA"/>
        </w:rPr>
        <w:t>y</w:t>
      </w:r>
      <w:r w:rsidRPr="00ED38E9">
        <w:rPr>
          <w:rFonts w:eastAsia="Calibri" w:cs="Arial"/>
          <w:b/>
          <w:noProof w:val="0"/>
          <w:szCs w:val="22"/>
          <w:lang w:bidi="ar-SA"/>
        </w:rPr>
        <w:t xml:space="preserve"> 1 a 2</w:t>
      </w:r>
      <w:r w:rsidRPr="00ED38E9">
        <w:rPr>
          <w:rFonts w:eastAsia="Calibri" w:cs="Arial"/>
          <w:noProof w:val="0"/>
          <w:szCs w:val="22"/>
          <w:lang w:bidi="ar-SA"/>
        </w:rPr>
        <w:t xml:space="preserve"> představují dodatečné náklady zejména pro stávající kolektivní systémy, které budou muset doplnit, případně vypracovat nový </w:t>
      </w:r>
      <w:r w:rsidR="00537001">
        <w:t>p</w:t>
      </w:r>
      <w:r w:rsidR="00537001" w:rsidRPr="008518EB">
        <w:t>rojekt zajišťování kolektivního plněn</w:t>
      </w:r>
      <w:r w:rsidR="00537001">
        <w:rPr>
          <w:rFonts w:eastAsia="Calibri" w:cs="Arial"/>
          <w:noProof w:val="0"/>
          <w:szCs w:val="22"/>
          <w:lang w:bidi="ar-SA"/>
        </w:rPr>
        <w:t>í</w:t>
      </w:r>
      <w:r w:rsidRPr="00ED38E9">
        <w:rPr>
          <w:rFonts w:eastAsia="Calibri" w:cs="Arial"/>
          <w:noProof w:val="0"/>
          <w:szCs w:val="22"/>
          <w:lang w:bidi="ar-SA"/>
        </w:rPr>
        <w:t xml:space="preserve">, který bude součástí žádosti o udělení oprávnění k provozování KS. Výše těchto nákladů se bude odvíjet od požadavků na projekt zajištění kolektivního plnění. V případě potřeby uzavření nových smluv s výrobci, zpracovateli, místy zpětného odběru, svozovými firmami se bude jednat o nezanedbatelný náklad pro kolektivní systém, který se může promítnout do ceny recyklačního poplatku. Zároveň je zapotřebí stanovit dostatečné přechodné období pro splnění požadavků tak, </w:t>
      </w:r>
      <w:r w:rsidR="00537001">
        <w:rPr>
          <w:rFonts w:eastAsia="Calibri" w:cs="Arial"/>
          <w:noProof w:val="0"/>
          <w:szCs w:val="22"/>
          <w:lang w:bidi="ar-SA"/>
        </w:rPr>
        <w:t>a</w:t>
      </w:r>
      <w:r w:rsidRPr="00ED38E9">
        <w:rPr>
          <w:rFonts w:eastAsia="Calibri" w:cs="Arial"/>
          <w:noProof w:val="0"/>
          <w:szCs w:val="22"/>
          <w:lang w:bidi="ar-SA"/>
        </w:rPr>
        <w:t>by nedošlo k situaci, kdy stávající oprávnění přestane platit a</w:t>
      </w:r>
      <w:r w:rsidR="0017046F" w:rsidRPr="00ED38E9">
        <w:rPr>
          <w:rFonts w:eastAsia="Calibri" w:cs="Arial"/>
          <w:noProof w:val="0"/>
          <w:szCs w:val="22"/>
          <w:lang w:bidi="ar-SA"/>
        </w:rPr>
        <w:t> </w:t>
      </w:r>
      <w:r w:rsidRPr="00ED38E9">
        <w:rPr>
          <w:rFonts w:eastAsia="Calibri" w:cs="Arial"/>
          <w:noProof w:val="0"/>
          <w:szCs w:val="22"/>
          <w:lang w:bidi="ar-SA"/>
        </w:rPr>
        <w:t xml:space="preserve">nové ještě nebude vydáno. Taková situace by mohla </w:t>
      </w:r>
      <w:r w:rsidR="005C61DF" w:rsidRPr="00ED38E9">
        <w:rPr>
          <w:rFonts w:eastAsia="Calibri" w:cs="Arial"/>
          <w:noProof w:val="0"/>
          <w:szCs w:val="22"/>
          <w:lang w:bidi="ar-SA"/>
        </w:rPr>
        <w:t>mít</w:t>
      </w:r>
      <w:r w:rsidRPr="00ED38E9">
        <w:rPr>
          <w:rFonts w:eastAsia="Calibri" w:cs="Arial"/>
          <w:noProof w:val="0"/>
          <w:szCs w:val="22"/>
          <w:lang w:bidi="ar-SA"/>
        </w:rPr>
        <w:t xml:space="preserve"> negativní dopad na plnění kvóty zpětného odběru. </w:t>
      </w:r>
    </w:p>
    <w:p w:rsidR="00DC1795" w:rsidRPr="00ED38E9" w:rsidRDefault="00DC1795" w:rsidP="00B73FD6">
      <w:pPr>
        <w:spacing w:after="120"/>
        <w:rPr>
          <w:rFonts w:eastAsia="Calibri" w:cs="Arial"/>
          <w:noProof w:val="0"/>
          <w:szCs w:val="22"/>
          <w:lang w:bidi="ar-SA"/>
        </w:rPr>
      </w:pPr>
      <w:r w:rsidRPr="00ED38E9">
        <w:rPr>
          <w:rFonts w:eastAsia="Calibri" w:cs="Arial"/>
          <w:noProof w:val="0"/>
          <w:szCs w:val="22"/>
          <w:lang w:bidi="ar-SA"/>
        </w:rPr>
        <w:t xml:space="preserve">Pro nově vzniklé kolektivní systémy půjde pouze o dodatečné náklady spojené s přípravou projektu dle nových požadavků. </w:t>
      </w:r>
    </w:p>
    <w:p w:rsidR="00DC1795" w:rsidRPr="00ED38E9" w:rsidRDefault="00DC1795" w:rsidP="00B73FD6">
      <w:pPr>
        <w:spacing w:after="120"/>
        <w:rPr>
          <w:rFonts w:eastAsia="Calibri" w:cs="Arial"/>
          <w:noProof w:val="0"/>
          <w:szCs w:val="22"/>
          <w:lang w:bidi="ar-SA"/>
        </w:rPr>
      </w:pPr>
      <w:r w:rsidRPr="00ED38E9">
        <w:rPr>
          <w:rFonts w:eastAsia="Calibri" w:cs="Arial"/>
          <w:noProof w:val="0"/>
          <w:szCs w:val="22"/>
          <w:lang w:bidi="ar-SA"/>
        </w:rPr>
        <w:t xml:space="preserve">Určité náklady mohou vzniknout také svozovým společnostem, zpracovatelům či provozovatelům míst zpětného odběru či dokonce výrobcům v důsledku potřeby uzavřít dodatky/nové smlouvy na základě doplnění. </w:t>
      </w:r>
    </w:p>
    <w:p w:rsidR="00DC1795" w:rsidRPr="00ED38E9" w:rsidRDefault="00DC1795" w:rsidP="00B73FD6">
      <w:pPr>
        <w:spacing w:after="120"/>
        <w:rPr>
          <w:rFonts w:eastAsia="Calibri" w:cs="Arial"/>
          <w:noProof w:val="0"/>
          <w:szCs w:val="22"/>
          <w:lang w:bidi="ar-SA"/>
        </w:rPr>
      </w:pPr>
      <w:r w:rsidRPr="00ED38E9">
        <w:rPr>
          <w:rFonts w:eastAsia="Calibri" w:cs="Arial"/>
          <w:noProof w:val="0"/>
          <w:szCs w:val="22"/>
          <w:lang w:bidi="ar-SA"/>
        </w:rPr>
        <w:t>V neposlední řadě určité náklady vzniknou MŽP v důsledku nutnosti rozhodnout o udělení oprávnění u stávajících kolektivních systémů.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Státní správa</w:t>
            </w:r>
          </w:p>
        </w:tc>
      </w:tr>
      <w:tr w:rsidR="005B5507" w:rsidRPr="000B7CBF" w:rsidTr="005B5507">
        <w:trPr>
          <w:trHeight w:val="454"/>
        </w:trPr>
        <w:tc>
          <w:tcPr>
            <w:tcW w:w="9180" w:type="dxa"/>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noProof w:val="0"/>
                <w:sz w:val="18"/>
                <w:szCs w:val="20"/>
                <w:lang w:bidi="ar-SA"/>
              </w:rPr>
              <w:t xml:space="preserve"> – Lepší kontrola díky rovný</w:t>
            </w:r>
            <w:r w:rsidR="00B0522E">
              <w:rPr>
                <w:rFonts w:eastAsia="MS Mincho" w:cs="Arial"/>
                <w:noProof w:val="0"/>
                <w:sz w:val="18"/>
                <w:szCs w:val="20"/>
                <w:lang w:bidi="ar-SA"/>
              </w:rPr>
              <w:t>m</w:t>
            </w:r>
            <w:r w:rsidRPr="00ED38E9">
              <w:rPr>
                <w:rFonts w:eastAsia="MS Mincho" w:cs="Arial"/>
                <w:noProof w:val="0"/>
                <w:sz w:val="18"/>
                <w:szCs w:val="20"/>
                <w:lang w:bidi="ar-SA"/>
              </w:rPr>
              <w:t xml:space="preserve"> podmínk</w:t>
            </w:r>
            <w:r w:rsidR="00B0522E">
              <w:rPr>
                <w:rFonts w:eastAsia="MS Mincho" w:cs="Arial"/>
                <w:noProof w:val="0"/>
                <w:sz w:val="18"/>
                <w:szCs w:val="20"/>
                <w:lang w:bidi="ar-SA"/>
              </w:rPr>
              <w:t>ám stanoveným</w:t>
            </w:r>
            <w:r w:rsidRPr="00ED38E9">
              <w:rPr>
                <w:rFonts w:eastAsia="MS Mincho" w:cs="Arial"/>
                <w:noProof w:val="0"/>
                <w:sz w:val="18"/>
                <w:szCs w:val="20"/>
                <w:lang w:bidi="ar-SA"/>
              </w:rPr>
              <w:t xml:space="preserve"> pro jednotlivé KS</w:t>
            </w:r>
          </w:p>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noProof w:val="0"/>
                <w:sz w:val="18"/>
                <w:szCs w:val="20"/>
                <w:lang w:bidi="ar-SA"/>
              </w:rPr>
              <w:t xml:space="preserve"> – Náklady spojené s posouzením doplnění/</w:t>
            </w:r>
            <w:r w:rsidR="00B0522E" w:rsidRPr="00B0522E">
              <w:rPr>
                <w:rFonts w:eastAsia="MS Mincho" w:cs="Arial"/>
                <w:noProof w:val="0"/>
                <w:sz w:val="18"/>
                <w:szCs w:val="20"/>
                <w:lang w:bidi="ar-SA"/>
              </w:rPr>
              <w:t>projekt</w:t>
            </w:r>
            <w:r w:rsidR="00B0522E">
              <w:rPr>
                <w:rFonts w:eastAsia="MS Mincho" w:cs="Arial"/>
                <w:noProof w:val="0"/>
                <w:sz w:val="18"/>
                <w:szCs w:val="20"/>
                <w:lang w:bidi="ar-SA"/>
              </w:rPr>
              <w:t>u</w:t>
            </w:r>
            <w:r w:rsidR="00B0522E" w:rsidRPr="00B0522E">
              <w:rPr>
                <w:rFonts w:eastAsia="MS Mincho" w:cs="Arial"/>
                <w:noProof w:val="0"/>
                <w:sz w:val="18"/>
                <w:szCs w:val="20"/>
                <w:lang w:bidi="ar-SA"/>
              </w:rPr>
              <w:t xml:space="preserve"> zajišťování kolektivního plněn</w:t>
            </w:r>
            <w:r w:rsidR="00B0522E">
              <w:rPr>
                <w:rFonts w:eastAsia="MS Mincho" w:cs="Arial"/>
                <w:noProof w:val="0"/>
                <w:sz w:val="18"/>
                <w:szCs w:val="20"/>
                <w:lang w:bidi="ar-SA"/>
              </w:rPr>
              <w:t>í</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Stávající kolektivní systémy</w:t>
            </w:r>
          </w:p>
        </w:tc>
      </w:tr>
      <w:tr w:rsidR="005B5507" w:rsidRPr="000B7CBF" w:rsidTr="00ED38E9">
        <w:trPr>
          <w:trHeight w:val="397"/>
        </w:trPr>
        <w:tc>
          <w:tcPr>
            <w:tcW w:w="9180" w:type="dxa"/>
            <w:shd w:val="clear" w:color="auto" w:fill="auto"/>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noProof w:val="0"/>
                <w:sz w:val="18"/>
                <w:szCs w:val="20"/>
                <w:lang w:bidi="ar-SA"/>
              </w:rPr>
              <w:t xml:space="preserve"> – Srovnatelné podmínky se stávajícími aktéry na trhu</w:t>
            </w:r>
          </w:p>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noProof w:val="0"/>
                <w:sz w:val="18"/>
                <w:szCs w:val="20"/>
                <w:lang w:bidi="ar-SA"/>
              </w:rPr>
              <w:t xml:space="preserve"> – Náklady spojené s doplněním/přípravou </w:t>
            </w:r>
            <w:r w:rsidR="00B0522E" w:rsidRPr="00B0522E">
              <w:rPr>
                <w:rFonts w:eastAsia="MS Mincho" w:cs="Arial"/>
                <w:noProof w:val="0"/>
                <w:sz w:val="18"/>
                <w:szCs w:val="20"/>
                <w:lang w:bidi="ar-SA"/>
              </w:rPr>
              <w:t>projekt</w:t>
            </w:r>
            <w:r w:rsidR="00B0522E">
              <w:rPr>
                <w:rFonts w:eastAsia="MS Mincho" w:cs="Arial"/>
                <w:noProof w:val="0"/>
                <w:sz w:val="18"/>
                <w:szCs w:val="20"/>
                <w:lang w:bidi="ar-SA"/>
              </w:rPr>
              <w:t>u</w:t>
            </w:r>
            <w:r w:rsidR="00B0522E" w:rsidRPr="00B0522E">
              <w:rPr>
                <w:rFonts w:eastAsia="MS Mincho" w:cs="Arial"/>
                <w:noProof w:val="0"/>
                <w:sz w:val="18"/>
                <w:szCs w:val="20"/>
                <w:lang w:bidi="ar-SA"/>
              </w:rPr>
              <w:t xml:space="preserve"> zajišťování kolektivního plněn</w:t>
            </w:r>
            <w:r w:rsidR="00B0522E">
              <w:rPr>
                <w:rFonts w:eastAsia="MS Mincho" w:cs="Arial"/>
                <w:noProof w:val="0"/>
                <w:sz w:val="18"/>
                <w:szCs w:val="20"/>
                <w:lang w:bidi="ar-SA"/>
              </w:rPr>
              <w:t>í</w:t>
            </w:r>
            <w:r w:rsidRPr="00ED38E9">
              <w:rPr>
                <w:rFonts w:eastAsia="MS Mincho" w:cs="Arial"/>
                <w:noProof w:val="0"/>
                <w:sz w:val="18"/>
                <w:szCs w:val="20"/>
                <w:lang w:bidi="ar-SA"/>
              </w:rPr>
              <w:t xml:space="preserve"> dle nových požadavků na projekt</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Nové kolektivní systémy</w:t>
            </w:r>
          </w:p>
        </w:tc>
      </w:tr>
      <w:tr w:rsidR="005B5507" w:rsidRPr="000B7CBF" w:rsidTr="00ED38E9">
        <w:trPr>
          <w:trHeight w:val="397"/>
        </w:trPr>
        <w:tc>
          <w:tcPr>
            <w:tcW w:w="9180" w:type="dxa"/>
            <w:shd w:val="clear" w:color="auto" w:fill="auto"/>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noProof w:val="0"/>
                <w:sz w:val="18"/>
                <w:szCs w:val="20"/>
                <w:lang w:bidi="ar-SA"/>
              </w:rPr>
              <w:t xml:space="preserve"> – Srovnatelné podmínky se stávajícími aktéry na trhu</w:t>
            </w:r>
          </w:p>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noProof w:val="0"/>
                <w:sz w:val="18"/>
                <w:szCs w:val="20"/>
                <w:lang w:bidi="ar-SA"/>
              </w:rPr>
              <w:t xml:space="preserve"> – Náklady spojené s přípravou </w:t>
            </w:r>
            <w:r w:rsidR="001B0158" w:rsidRPr="00B0522E">
              <w:rPr>
                <w:rFonts w:eastAsia="MS Mincho" w:cs="Arial"/>
                <w:noProof w:val="0"/>
                <w:sz w:val="18"/>
                <w:szCs w:val="20"/>
                <w:lang w:bidi="ar-SA"/>
              </w:rPr>
              <w:t>projekt</w:t>
            </w:r>
            <w:r w:rsidR="001B0158">
              <w:rPr>
                <w:rFonts w:eastAsia="MS Mincho" w:cs="Arial"/>
                <w:noProof w:val="0"/>
                <w:sz w:val="18"/>
                <w:szCs w:val="20"/>
                <w:lang w:bidi="ar-SA"/>
              </w:rPr>
              <w:t>u</w:t>
            </w:r>
            <w:r w:rsidR="001B0158" w:rsidRPr="00B0522E">
              <w:rPr>
                <w:rFonts w:eastAsia="MS Mincho" w:cs="Arial"/>
                <w:noProof w:val="0"/>
                <w:sz w:val="18"/>
                <w:szCs w:val="20"/>
                <w:lang w:bidi="ar-SA"/>
              </w:rPr>
              <w:t xml:space="preserve"> zajišťování kolektivního plněn</w:t>
            </w:r>
            <w:r w:rsidR="001B0158">
              <w:rPr>
                <w:rFonts w:eastAsia="MS Mincho" w:cs="Arial"/>
                <w:noProof w:val="0"/>
                <w:sz w:val="18"/>
                <w:szCs w:val="20"/>
                <w:lang w:bidi="ar-SA"/>
              </w:rPr>
              <w:t>í</w:t>
            </w:r>
            <w:r w:rsidRPr="00ED38E9">
              <w:rPr>
                <w:rFonts w:eastAsia="MS Mincho" w:cs="Arial"/>
                <w:noProof w:val="0"/>
                <w:sz w:val="18"/>
                <w:szCs w:val="20"/>
                <w:lang w:bidi="ar-SA"/>
              </w:rPr>
              <w:t xml:space="preserve"> dle nových požadavků na projekt. V případě </w:t>
            </w:r>
            <w:r w:rsidR="001B0158">
              <w:rPr>
                <w:rFonts w:eastAsia="MS Mincho" w:cs="Arial"/>
                <w:noProof w:val="0"/>
                <w:sz w:val="18"/>
                <w:szCs w:val="20"/>
                <w:lang w:bidi="ar-SA"/>
              </w:rPr>
              <w:t xml:space="preserve">nutnosti </w:t>
            </w:r>
            <w:proofErr w:type="spellStart"/>
            <w:r w:rsidRPr="00ED38E9">
              <w:rPr>
                <w:rFonts w:eastAsia="MS Mincho" w:cs="Arial"/>
                <w:noProof w:val="0"/>
                <w:sz w:val="18"/>
                <w:szCs w:val="20"/>
                <w:lang w:bidi="ar-SA"/>
              </w:rPr>
              <w:t>přesmluvnění</w:t>
            </w:r>
            <w:proofErr w:type="spellEnd"/>
            <w:r w:rsidRPr="00ED38E9">
              <w:rPr>
                <w:rFonts w:eastAsia="MS Mincho" w:cs="Arial"/>
                <w:noProof w:val="0"/>
                <w:sz w:val="18"/>
                <w:szCs w:val="20"/>
                <w:lang w:bidi="ar-SA"/>
              </w:rPr>
              <w:t xml:space="preserve"> všech smluv se jedná o nezanedbatelný náklad pro KS (smlouvy s výrobci, se zpracovateli, se svozovými společnostmi, s místy zpětného odběru) </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Svozové společnosti</w:t>
            </w:r>
          </w:p>
        </w:tc>
      </w:tr>
      <w:tr w:rsidR="005B5507" w:rsidRPr="000B7CBF" w:rsidTr="00ED38E9">
        <w:trPr>
          <w:trHeight w:val="397"/>
        </w:trPr>
        <w:tc>
          <w:tcPr>
            <w:tcW w:w="9180" w:type="dxa"/>
            <w:shd w:val="clear" w:color="auto" w:fill="auto"/>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noProof w:val="0"/>
                <w:sz w:val="18"/>
                <w:szCs w:val="20"/>
                <w:lang w:bidi="ar-SA"/>
              </w:rPr>
              <w:t xml:space="preserve"> – Náklady spojené s uzavřením dodatku/nové smlouvy s kolektivními systémy/výrobci v případě, že to bude vyžadovat/ vyplývat z nových podmínek </w:t>
            </w:r>
            <w:r w:rsidR="001B0158" w:rsidRPr="00B0522E">
              <w:rPr>
                <w:rFonts w:eastAsia="MS Mincho" w:cs="Arial"/>
                <w:noProof w:val="0"/>
                <w:sz w:val="18"/>
                <w:szCs w:val="20"/>
                <w:lang w:bidi="ar-SA"/>
              </w:rPr>
              <w:t>projekt</w:t>
            </w:r>
            <w:r w:rsidR="001B0158">
              <w:rPr>
                <w:rFonts w:eastAsia="MS Mincho" w:cs="Arial"/>
                <w:noProof w:val="0"/>
                <w:sz w:val="18"/>
                <w:szCs w:val="20"/>
                <w:lang w:bidi="ar-SA"/>
              </w:rPr>
              <w:t>u</w:t>
            </w:r>
            <w:r w:rsidR="001B0158" w:rsidRPr="00B0522E">
              <w:rPr>
                <w:rFonts w:eastAsia="MS Mincho" w:cs="Arial"/>
                <w:noProof w:val="0"/>
                <w:sz w:val="18"/>
                <w:szCs w:val="20"/>
                <w:lang w:bidi="ar-SA"/>
              </w:rPr>
              <w:t xml:space="preserve"> zajišťování kolektivního plněn</w:t>
            </w:r>
            <w:r w:rsidR="001B0158">
              <w:rPr>
                <w:rFonts w:eastAsia="MS Mincho" w:cs="Arial"/>
                <w:noProof w:val="0"/>
                <w:sz w:val="18"/>
                <w:szCs w:val="20"/>
                <w:lang w:bidi="ar-SA"/>
              </w:rPr>
              <w:t>í</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Zpracovatelé</w:t>
            </w:r>
          </w:p>
        </w:tc>
      </w:tr>
      <w:tr w:rsidR="005B5507" w:rsidRPr="000B7CBF" w:rsidTr="005B5507">
        <w:trPr>
          <w:trHeight w:val="397"/>
        </w:trPr>
        <w:tc>
          <w:tcPr>
            <w:tcW w:w="9180" w:type="dxa"/>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noProof w:val="0"/>
                <w:sz w:val="18"/>
                <w:szCs w:val="20"/>
                <w:lang w:bidi="ar-SA"/>
              </w:rPr>
              <w:t xml:space="preserve"> – Náklady spojené s uzavřením dodatku/nové smlouvy s kolektivními systémy/výrobci v případě, že to bude vyžadovat/ vyplývat z nových podmínek </w:t>
            </w:r>
            <w:r w:rsidR="001B0158" w:rsidRPr="00B0522E">
              <w:rPr>
                <w:rFonts w:eastAsia="MS Mincho" w:cs="Arial"/>
                <w:noProof w:val="0"/>
                <w:sz w:val="18"/>
                <w:szCs w:val="20"/>
                <w:lang w:bidi="ar-SA"/>
              </w:rPr>
              <w:t>projekt</w:t>
            </w:r>
            <w:r w:rsidR="001B0158">
              <w:rPr>
                <w:rFonts w:eastAsia="MS Mincho" w:cs="Arial"/>
                <w:noProof w:val="0"/>
                <w:sz w:val="18"/>
                <w:szCs w:val="20"/>
                <w:lang w:bidi="ar-SA"/>
              </w:rPr>
              <w:t>u</w:t>
            </w:r>
            <w:r w:rsidR="001B0158" w:rsidRPr="00B0522E">
              <w:rPr>
                <w:rFonts w:eastAsia="MS Mincho" w:cs="Arial"/>
                <w:noProof w:val="0"/>
                <w:sz w:val="18"/>
                <w:szCs w:val="20"/>
                <w:lang w:bidi="ar-SA"/>
              </w:rPr>
              <w:t xml:space="preserve"> zajišťování kolektivního plněn</w:t>
            </w:r>
            <w:r w:rsidR="001B0158">
              <w:rPr>
                <w:rFonts w:eastAsia="MS Mincho" w:cs="Arial"/>
                <w:noProof w:val="0"/>
                <w:sz w:val="18"/>
                <w:szCs w:val="20"/>
                <w:lang w:bidi="ar-SA"/>
              </w:rPr>
              <w:t>í</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Místa zpětného odběru</w:t>
            </w:r>
          </w:p>
        </w:tc>
      </w:tr>
      <w:tr w:rsidR="005B5507" w:rsidRPr="000B7CBF" w:rsidTr="00ED38E9">
        <w:trPr>
          <w:trHeight w:val="397"/>
        </w:trPr>
        <w:tc>
          <w:tcPr>
            <w:tcW w:w="9180" w:type="dxa"/>
            <w:shd w:val="clear" w:color="auto" w:fill="auto"/>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noProof w:val="0"/>
                <w:sz w:val="18"/>
                <w:szCs w:val="20"/>
                <w:lang w:bidi="ar-SA"/>
              </w:rPr>
              <w:t xml:space="preserve"> – Náklady spojené s uzavřením dodatku/nové smlouvy s kolektivními systémy/výrobci v případě, že to bude vyžadovat/ vyplývat z nových podmínek </w:t>
            </w:r>
            <w:r w:rsidR="001B0158" w:rsidRPr="00B0522E">
              <w:rPr>
                <w:rFonts w:eastAsia="MS Mincho" w:cs="Arial"/>
                <w:noProof w:val="0"/>
                <w:sz w:val="18"/>
                <w:szCs w:val="20"/>
                <w:lang w:bidi="ar-SA"/>
              </w:rPr>
              <w:t>projekt</w:t>
            </w:r>
            <w:r w:rsidR="001B0158">
              <w:rPr>
                <w:rFonts w:eastAsia="MS Mincho" w:cs="Arial"/>
                <w:noProof w:val="0"/>
                <w:sz w:val="18"/>
                <w:szCs w:val="20"/>
                <w:lang w:bidi="ar-SA"/>
              </w:rPr>
              <w:t>u</w:t>
            </w:r>
            <w:r w:rsidR="001B0158" w:rsidRPr="00B0522E">
              <w:rPr>
                <w:rFonts w:eastAsia="MS Mincho" w:cs="Arial"/>
                <w:noProof w:val="0"/>
                <w:sz w:val="18"/>
                <w:szCs w:val="20"/>
                <w:lang w:bidi="ar-SA"/>
              </w:rPr>
              <w:t xml:space="preserve"> zajišťování kolektivního plněn</w:t>
            </w:r>
            <w:r w:rsidR="001B0158">
              <w:rPr>
                <w:rFonts w:eastAsia="MS Mincho" w:cs="Arial"/>
                <w:noProof w:val="0"/>
                <w:sz w:val="18"/>
                <w:szCs w:val="20"/>
                <w:lang w:bidi="ar-SA"/>
              </w:rPr>
              <w:t>í</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Veřejnost</w:t>
            </w:r>
          </w:p>
        </w:tc>
      </w:tr>
      <w:tr w:rsidR="005B5507" w:rsidRPr="000B7CBF" w:rsidTr="005B5507">
        <w:trPr>
          <w:trHeight w:val="397"/>
        </w:trPr>
        <w:tc>
          <w:tcPr>
            <w:tcW w:w="9180" w:type="dxa"/>
            <w:vAlign w:val="center"/>
          </w:tcPr>
          <w:p w:rsidR="00DC1795" w:rsidRPr="00ED38E9" w:rsidRDefault="00DC1795" w:rsidP="001B0158">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noProof w:val="0"/>
                <w:sz w:val="18"/>
                <w:szCs w:val="20"/>
                <w:lang w:bidi="ar-SA"/>
              </w:rPr>
              <w:t xml:space="preserve"> – V důsledku dodatečných nákladů pro kolektivní systém může dojít k zvýšení recyklační</w:t>
            </w:r>
            <w:r w:rsidR="001B0158">
              <w:rPr>
                <w:rFonts w:eastAsia="MS Mincho" w:cs="Arial"/>
                <w:noProof w:val="0"/>
                <w:sz w:val="18"/>
                <w:szCs w:val="20"/>
                <w:lang w:bidi="ar-SA"/>
              </w:rPr>
              <w:t>ch</w:t>
            </w:r>
            <w:r w:rsidRPr="00ED38E9">
              <w:rPr>
                <w:rFonts w:eastAsia="MS Mincho" w:cs="Arial"/>
                <w:noProof w:val="0"/>
                <w:sz w:val="18"/>
                <w:szCs w:val="20"/>
                <w:lang w:bidi="ar-SA"/>
              </w:rPr>
              <w:t xml:space="preserve"> </w:t>
            </w:r>
            <w:r w:rsidR="001B0158">
              <w:rPr>
                <w:rFonts w:eastAsia="MS Mincho" w:cs="Arial"/>
                <w:noProof w:val="0"/>
                <w:sz w:val="18"/>
                <w:szCs w:val="20"/>
                <w:lang w:bidi="ar-SA"/>
              </w:rPr>
              <w:t>příspěvků</w:t>
            </w:r>
          </w:p>
        </w:tc>
      </w:tr>
    </w:tbl>
    <w:p w:rsidR="00DC1795" w:rsidRPr="00ED38E9" w:rsidRDefault="00DC1795" w:rsidP="004659F6">
      <w:pPr>
        <w:spacing w:before="120" w:after="120"/>
        <w:rPr>
          <w:rFonts w:eastAsia="Calibri" w:cs="Arial"/>
          <w:lang w:bidi="ar-SA"/>
        </w:rPr>
      </w:pPr>
      <w:r w:rsidRPr="00ED38E9">
        <w:rPr>
          <w:rFonts w:eastAsia="Calibri" w:cs="Arial"/>
          <w:lang w:bidi="ar-SA"/>
        </w:rPr>
        <w:t>Odhad výše jednotlivých nákladů Varianty 2 je pro některé dotčené subjekty obtížný, neboť nejsou známy přesn</w:t>
      </w:r>
      <w:r w:rsidR="0019420B">
        <w:rPr>
          <w:rFonts w:eastAsia="Calibri" w:cs="Arial"/>
          <w:lang w:bidi="ar-SA"/>
        </w:rPr>
        <w:t>ě</w:t>
      </w:r>
      <w:r w:rsidRPr="00ED38E9">
        <w:rPr>
          <w:rFonts w:eastAsia="Calibri" w:cs="Arial"/>
          <w:lang w:bidi="ar-SA"/>
        </w:rPr>
        <w:t xml:space="preserve"> </w:t>
      </w:r>
      <w:r w:rsidR="001A4112">
        <w:rPr>
          <w:rFonts w:eastAsia="Calibri" w:cs="Arial"/>
          <w:lang w:bidi="ar-SA"/>
        </w:rPr>
        <w:t>vyčíslené</w:t>
      </w:r>
      <w:r w:rsidR="0019420B">
        <w:rPr>
          <w:rFonts w:eastAsia="Calibri" w:cs="Arial"/>
          <w:lang w:bidi="ar-SA"/>
        </w:rPr>
        <w:t xml:space="preserve"> dopady od předmětných osob pro</w:t>
      </w:r>
      <w:r w:rsidR="001A4112">
        <w:rPr>
          <w:rFonts w:eastAsia="Calibri" w:cs="Arial"/>
          <w:lang w:bidi="ar-SA"/>
        </w:rPr>
        <w:t xml:space="preserve"> </w:t>
      </w:r>
      <w:r w:rsidRPr="00ED38E9">
        <w:rPr>
          <w:rFonts w:eastAsia="Calibri" w:cs="Arial"/>
          <w:lang w:bidi="ar-SA"/>
        </w:rPr>
        <w:t>požadavk</w:t>
      </w:r>
      <w:r w:rsidR="0019420B">
        <w:rPr>
          <w:rFonts w:eastAsia="Calibri" w:cs="Arial"/>
          <w:lang w:bidi="ar-SA"/>
        </w:rPr>
        <w:t>y</w:t>
      </w:r>
      <w:r w:rsidRPr="00ED38E9">
        <w:rPr>
          <w:rFonts w:eastAsia="Calibri" w:cs="Arial"/>
          <w:lang w:bidi="ar-SA"/>
        </w:rPr>
        <w:t xml:space="preserve"> na nový </w:t>
      </w:r>
      <w:r w:rsidR="001B0158">
        <w:rPr>
          <w:rFonts w:eastAsia="Calibri" w:cs="Arial"/>
          <w:lang w:bidi="ar-SA"/>
        </w:rPr>
        <w:t>projekt</w:t>
      </w:r>
      <w:r w:rsidR="001B0158" w:rsidRPr="001B0158">
        <w:rPr>
          <w:rFonts w:eastAsia="Calibri" w:cs="Arial"/>
          <w:lang w:bidi="ar-SA"/>
        </w:rPr>
        <w:t xml:space="preserve"> </w:t>
      </w:r>
      <w:r w:rsidR="001B0158" w:rsidRPr="001B0158">
        <w:rPr>
          <w:rFonts w:eastAsia="Calibri" w:cs="Arial"/>
          <w:lang w:bidi="ar-SA"/>
        </w:rPr>
        <w:lastRenderedPageBreak/>
        <w:t>zajišťování kolektivního plnění</w:t>
      </w:r>
      <w:r w:rsidRPr="00ED38E9">
        <w:rPr>
          <w:rFonts w:eastAsia="Calibri" w:cs="Arial"/>
          <w:lang w:bidi="ar-SA"/>
        </w:rPr>
        <w:t>. Z konzultací s kolektivními systémy vyplývá, že náklady na nový projekt se pohybují v rozmezí 300–1 000 tis</w:t>
      </w:r>
      <w:r w:rsidR="00AF0E01" w:rsidRPr="00ED38E9">
        <w:rPr>
          <w:rFonts w:eastAsia="Calibri" w:cs="Arial"/>
          <w:lang w:bidi="ar-SA"/>
        </w:rPr>
        <w:t>.</w:t>
      </w:r>
      <w:r w:rsidRPr="00ED38E9">
        <w:rPr>
          <w:rFonts w:eastAsia="Calibri" w:cs="Arial"/>
          <w:lang w:bidi="ar-SA"/>
        </w:rPr>
        <w:t xml:space="preserve"> Kč v závislosti na velikosti KS, pokud nebude zapotřebí uzavřít nové smlouvy s jednotlivými stranami. Pokud by se jednalo i</w:t>
      </w:r>
      <w:r w:rsidR="00EB1018">
        <w:rPr>
          <w:rFonts w:eastAsia="Calibri" w:cs="Arial"/>
          <w:lang w:bidi="ar-SA"/>
        </w:rPr>
        <w:t> </w:t>
      </w:r>
      <w:r w:rsidR="00F94CE8">
        <w:rPr>
          <w:rFonts w:eastAsia="Calibri" w:cs="Arial"/>
          <w:lang w:bidi="ar-SA"/>
        </w:rPr>
        <w:t>o </w:t>
      </w:r>
      <w:r w:rsidRPr="00ED38E9">
        <w:rPr>
          <w:rFonts w:eastAsia="Calibri" w:cs="Arial"/>
          <w:lang w:bidi="ar-SA"/>
        </w:rPr>
        <w:t xml:space="preserve">uzavření nových smluv budou náklady výrazně vyšší. S ohledem na nemožnost odhadnout časovou náročnost celého procesu nelze výši těchto nákladů </w:t>
      </w:r>
      <w:r w:rsidR="00097EE6">
        <w:rPr>
          <w:rFonts w:eastAsia="Calibri" w:cs="Arial"/>
          <w:lang w:bidi="ar-SA"/>
        </w:rPr>
        <w:t>určit</w:t>
      </w:r>
      <w:r w:rsidRPr="00ED38E9">
        <w:rPr>
          <w:rFonts w:eastAsia="Calibri" w:cs="Arial"/>
          <w:lang w:bidi="ar-SA"/>
        </w:rPr>
        <w:t xml:space="preserve">, neboť v případě jednoho kolektivního systému se může u těch největších jednat o potřebu uzavřít novou smlouvu s více jak 500 výrobci, více jak 3500 místy zpětného odběru (prodejci cca 2000, školy cca 700, obce cca 700, apod.), se zpracovateli a svozovými společnostmi. Z počtu dotčených subjektů je vidět, že případné náklady půjdou řádově do milionů korun v případě všech kolektivních systémů. Připomeňme, že KS v ČR působí </w:t>
      </w:r>
      <w:r w:rsidR="00097EE6">
        <w:rPr>
          <w:rFonts w:eastAsia="Calibri" w:cs="Arial"/>
          <w:lang w:bidi="ar-SA"/>
        </w:rPr>
        <w:t xml:space="preserve">v oblasti EEZ </w:t>
      </w:r>
      <w:r w:rsidRPr="00ED38E9">
        <w:rPr>
          <w:rFonts w:eastAsia="Calibri" w:cs="Arial"/>
          <w:lang w:bidi="ar-SA"/>
        </w:rPr>
        <w:t>1</w:t>
      </w:r>
      <w:r w:rsidR="001B0158">
        <w:rPr>
          <w:rFonts w:eastAsia="Calibri" w:cs="Arial"/>
          <w:lang w:bidi="ar-SA"/>
        </w:rPr>
        <w:t>6</w:t>
      </w:r>
      <w:r w:rsidRPr="00ED38E9">
        <w:rPr>
          <w:rFonts w:eastAsia="Calibri" w:cs="Arial"/>
          <w:lang w:bidi="ar-SA"/>
        </w:rPr>
        <w:t>.</w:t>
      </w:r>
    </w:p>
    <w:p w:rsidR="00DC1795" w:rsidRPr="00ED38E9" w:rsidRDefault="00DC1795" w:rsidP="004659F6">
      <w:pPr>
        <w:spacing w:before="120" w:after="120"/>
        <w:rPr>
          <w:rFonts w:eastAsia="Calibri" w:cs="Arial"/>
          <w:lang w:bidi="ar-SA"/>
        </w:rPr>
      </w:pPr>
      <w:r w:rsidRPr="00ED38E9">
        <w:rPr>
          <w:rFonts w:eastAsia="Calibri" w:cs="Arial"/>
          <w:lang w:bidi="ar-SA"/>
        </w:rPr>
        <w:t>Náklady pro zpracovatele, pro místa zpětného odběru, pro výrobce apod. se budou pohybovat v řádech jednotek až desítek tisíc Kč v závislosti zejména na charakteru a</w:t>
      </w:r>
      <w:r w:rsidR="0017046F" w:rsidRPr="00ED38E9">
        <w:rPr>
          <w:rFonts w:eastAsia="Calibri" w:cs="Arial"/>
          <w:lang w:bidi="ar-SA"/>
        </w:rPr>
        <w:t> </w:t>
      </w:r>
      <w:r w:rsidRPr="00ED38E9">
        <w:rPr>
          <w:rFonts w:eastAsia="Calibri" w:cs="Arial"/>
          <w:lang w:bidi="ar-SA"/>
        </w:rPr>
        <w:t xml:space="preserve">velikosti subjektu. Například u obcí lze očekávat nutnost schválení nové smlouvy zastupitelstvem apod. </w:t>
      </w:r>
    </w:p>
    <w:p w:rsidR="00DC1795" w:rsidRPr="00ED38E9" w:rsidRDefault="00DC1795" w:rsidP="004659F6">
      <w:pPr>
        <w:spacing w:before="120" w:after="120"/>
        <w:rPr>
          <w:rFonts w:eastAsia="Calibri" w:cs="Arial"/>
          <w:lang w:bidi="ar-SA"/>
        </w:rPr>
      </w:pPr>
      <w:r w:rsidRPr="00ED38E9">
        <w:rPr>
          <w:rFonts w:eastAsia="Calibri" w:cs="Arial"/>
          <w:lang w:bidi="ar-SA"/>
        </w:rPr>
        <w:t>Náklady pro MŽP pak budou představovat náklady na vydání jednoho rozhodnutí o oprávnění. Pro výpočet nákladů pracujeme s časovou náročností posouzení oprávnění ve výši 80 hodin (2 týdnů), což by při stávajícím počtu KS znamenalo celkové náklady ve výši 480 000 Kč.</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1559"/>
      </w:tblGrid>
      <w:tr w:rsidR="005B5507" w:rsidRPr="000B7CBF" w:rsidTr="00ED38E9">
        <w:trPr>
          <w:trHeight w:val="397"/>
        </w:trPr>
        <w:tc>
          <w:tcPr>
            <w:tcW w:w="8222" w:type="dxa"/>
            <w:gridSpan w:val="2"/>
            <w:shd w:val="clear" w:color="auto" w:fill="auto"/>
            <w:vAlign w:val="center"/>
          </w:tcPr>
          <w:p w:rsidR="005B5507" w:rsidRPr="00ED38E9" w:rsidRDefault="005B5507"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Náklady MŽP na vydání jednoho rozhodnutí o oprávnění k činnosti KS</w:t>
            </w:r>
          </w:p>
        </w:tc>
      </w:tr>
      <w:tr w:rsidR="00DC1795" w:rsidRPr="000B7CBF" w:rsidTr="005B5507">
        <w:trPr>
          <w:trHeight w:val="397"/>
        </w:trPr>
        <w:tc>
          <w:tcPr>
            <w:tcW w:w="6663" w:type="dxa"/>
            <w:shd w:val="clear" w:color="auto" w:fill="auto"/>
            <w:vAlign w:val="center"/>
          </w:tcPr>
          <w:p w:rsidR="00DC1795" w:rsidRPr="00ED38E9" w:rsidRDefault="00DC1795" w:rsidP="00D20F57">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Počet subjektů (ks)</w:t>
            </w:r>
          </w:p>
        </w:tc>
        <w:tc>
          <w:tcPr>
            <w:tcW w:w="1559" w:type="dxa"/>
            <w:shd w:val="clear" w:color="auto" w:fill="auto"/>
          </w:tcPr>
          <w:p w:rsidR="00DC1795" w:rsidRPr="00ED38E9" w:rsidRDefault="00DC1795" w:rsidP="00D20F57">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15</w:t>
            </w:r>
          </w:p>
        </w:tc>
      </w:tr>
      <w:tr w:rsidR="00DC1795" w:rsidRPr="000B7CBF" w:rsidTr="005B5507">
        <w:trPr>
          <w:trHeight w:val="397"/>
        </w:trPr>
        <w:tc>
          <w:tcPr>
            <w:tcW w:w="6663" w:type="dxa"/>
            <w:shd w:val="clear" w:color="auto" w:fill="auto"/>
            <w:vAlign w:val="center"/>
          </w:tcPr>
          <w:p w:rsidR="00DC1795" w:rsidRPr="00ED38E9" w:rsidRDefault="00DC1795" w:rsidP="00D20F57">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Platová třída</w:t>
            </w:r>
          </w:p>
        </w:tc>
        <w:tc>
          <w:tcPr>
            <w:tcW w:w="1559" w:type="dxa"/>
            <w:shd w:val="clear" w:color="auto" w:fill="auto"/>
          </w:tcPr>
          <w:p w:rsidR="00DC1795" w:rsidRPr="00ED38E9" w:rsidRDefault="00DC1795" w:rsidP="00D20F57">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13-15</w:t>
            </w:r>
          </w:p>
        </w:tc>
      </w:tr>
      <w:tr w:rsidR="00DC1795" w:rsidRPr="000B7CBF" w:rsidTr="005B5507">
        <w:trPr>
          <w:trHeight w:val="397"/>
        </w:trPr>
        <w:tc>
          <w:tcPr>
            <w:tcW w:w="6663" w:type="dxa"/>
            <w:shd w:val="clear" w:color="auto" w:fill="auto"/>
            <w:vAlign w:val="center"/>
          </w:tcPr>
          <w:p w:rsidR="00DC1795" w:rsidRPr="00ED38E9" w:rsidRDefault="00DC1795" w:rsidP="00D20F57">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Mzdové a režijní náklady na vydání rozhodnutí (Kč/hod</w:t>
            </w:r>
            <w:r w:rsidR="005B5507" w:rsidRPr="00ED38E9">
              <w:rPr>
                <w:rFonts w:eastAsia="MS Mincho" w:cs="Arial"/>
                <w:noProof w:val="0"/>
                <w:sz w:val="18"/>
                <w:szCs w:val="20"/>
                <w:lang w:bidi="ar-SA"/>
              </w:rPr>
              <w:t>.</w:t>
            </w:r>
            <w:r w:rsidRPr="00ED38E9">
              <w:rPr>
                <w:rFonts w:eastAsia="MS Mincho" w:cs="Arial"/>
                <w:noProof w:val="0"/>
                <w:sz w:val="18"/>
                <w:szCs w:val="20"/>
                <w:lang w:bidi="ar-SA"/>
              </w:rPr>
              <w:t>)</w:t>
            </w:r>
          </w:p>
        </w:tc>
        <w:tc>
          <w:tcPr>
            <w:tcW w:w="1559" w:type="dxa"/>
            <w:shd w:val="clear" w:color="auto" w:fill="auto"/>
          </w:tcPr>
          <w:p w:rsidR="00DC1795" w:rsidRPr="00ED38E9" w:rsidRDefault="00DC1795" w:rsidP="00D20F57">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400</w:t>
            </w:r>
          </w:p>
        </w:tc>
      </w:tr>
      <w:tr w:rsidR="00DC1795" w:rsidRPr="000B7CBF" w:rsidTr="005B5507">
        <w:trPr>
          <w:trHeight w:val="397"/>
        </w:trPr>
        <w:tc>
          <w:tcPr>
            <w:tcW w:w="6663" w:type="dxa"/>
            <w:shd w:val="clear" w:color="auto" w:fill="auto"/>
            <w:vAlign w:val="center"/>
          </w:tcPr>
          <w:p w:rsidR="00DC1795" w:rsidRPr="00ED38E9" w:rsidRDefault="00DC1795" w:rsidP="00D20F57">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Časová náročnost spojená s vydáním rozhodnutí (hod</w:t>
            </w:r>
            <w:r w:rsidR="005B5507" w:rsidRPr="00ED38E9">
              <w:rPr>
                <w:rFonts w:eastAsia="MS Mincho" w:cs="Arial"/>
                <w:noProof w:val="0"/>
                <w:sz w:val="18"/>
                <w:szCs w:val="20"/>
                <w:lang w:bidi="ar-SA"/>
              </w:rPr>
              <w:t>.</w:t>
            </w:r>
            <w:r w:rsidRPr="00ED38E9">
              <w:rPr>
                <w:rFonts w:eastAsia="MS Mincho" w:cs="Arial"/>
                <w:noProof w:val="0"/>
                <w:sz w:val="18"/>
                <w:szCs w:val="20"/>
                <w:lang w:bidi="ar-SA"/>
              </w:rPr>
              <w:t>/žádost)</w:t>
            </w:r>
          </w:p>
        </w:tc>
        <w:tc>
          <w:tcPr>
            <w:tcW w:w="1559" w:type="dxa"/>
            <w:shd w:val="clear" w:color="auto" w:fill="auto"/>
          </w:tcPr>
          <w:p w:rsidR="00DC1795" w:rsidRPr="00ED38E9" w:rsidRDefault="00DC1795" w:rsidP="00D20F57">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80</w:t>
            </w:r>
          </w:p>
        </w:tc>
      </w:tr>
      <w:tr w:rsidR="00DC1795" w:rsidRPr="000B7CBF" w:rsidTr="005B5507">
        <w:trPr>
          <w:trHeight w:val="397"/>
        </w:trPr>
        <w:tc>
          <w:tcPr>
            <w:tcW w:w="6663" w:type="dxa"/>
            <w:shd w:val="clear" w:color="auto" w:fill="auto"/>
            <w:vAlign w:val="center"/>
          </w:tcPr>
          <w:p w:rsidR="00DC1795" w:rsidRPr="00ED38E9" w:rsidRDefault="00DC1795" w:rsidP="00D20F57">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Mzdové a režijní náklady na vydání rozhodnutí (Kč/žádost)</w:t>
            </w:r>
          </w:p>
        </w:tc>
        <w:tc>
          <w:tcPr>
            <w:tcW w:w="1559" w:type="dxa"/>
            <w:shd w:val="clear" w:color="auto" w:fill="auto"/>
          </w:tcPr>
          <w:p w:rsidR="00DC1795" w:rsidRPr="00ED38E9" w:rsidRDefault="00DC1795" w:rsidP="00D20F57">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32 000</w:t>
            </w:r>
          </w:p>
        </w:tc>
      </w:tr>
      <w:tr w:rsidR="00DC1795" w:rsidRPr="000B7CBF" w:rsidTr="005B5507">
        <w:trPr>
          <w:trHeight w:val="397"/>
        </w:trPr>
        <w:tc>
          <w:tcPr>
            <w:tcW w:w="6663"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Odhadované náklady při počtu 15 žádostí (Kč)</w:t>
            </w:r>
          </w:p>
        </w:tc>
        <w:tc>
          <w:tcPr>
            <w:tcW w:w="1559" w:type="dxa"/>
            <w:shd w:val="clear" w:color="auto" w:fill="auto"/>
          </w:tcPr>
          <w:p w:rsidR="00DC1795" w:rsidRPr="00ED38E9" w:rsidRDefault="00DC1795" w:rsidP="00D20F57">
            <w:pPr>
              <w:keepNext/>
              <w:spacing w:before="20" w:after="20"/>
              <w:jc w:val="right"/>
              <w:rPr>
                <w:rFonts w:eastAsia="MS Mincho" w:cs="Arial"/>
                <w:b/>
                <w:noProof w:val="0"/>
                <w:sz w:val="18"/>
                <w:szCs w:val="20"/>
                <w:lang w:bidi="ar-SA"/>
              </w:rPr>
            </w:pPr>
            <w:r w:rsidRPr="00ED38E9">
              <w:rPr>
                <w:rFonts w:eastAsia="MS Mincho" w:cs="Arial"/>
                <w:b/>
                <w:noProof w:val="0"/>
                <w:sz w:val="18"/>
                <w:szCs w:val="20"/>
                <w:lang w:bidi="ar-SA"/>
              </w:rPr>
              <w:t>480 000</w:t>
            </w:r>
          </w:p>
        </w:tc>
      </w:tr>
    </w:tbl>
    <w:p w:rsidR="00DC1795" w:rsidRPr="00ED38E9" w:rsidRDefault="00DC1795" w:rsidP="00D20F57">
      <w:pPr>
        <w:widowControl w:val="0"/>
        <w:spacing w:before="120" w:after="120" w:line="240" w:lineRule="auto"/>
        <w:rPr>
          <w:rFonts w:cs="Arial"/>
          <w:i/>
          <w:iCs/>
          <w:noProof w:val="0"/>
          <w:color w:val="000000"/>
          <w:sz w:val="20"/>
          <w:szCs w:val="20"/>
          <w:lang w:eastAsia="cs-CZ" w:bidi="ar-SA"/>
        </w:rPr>
      </w:pPr>
      <w:r w:rsidRPr="00ED38E9">
        <w:rPr>
          <w:rFonts w:cs="Arial"/>
          <w:i/>
          <w:iCs/>
          <w:noProof w:val="0"/>
          <w:color w:val="000000"/>
          <w:sz w:val="20"/>
          <w:szCs w:val="20"/>
          <w:lang w:eastAsia="cs-CZ" w:bidi="ar-SA"/>
        </w:rPr>
        <w:t>Zdroj: MŽP, EEIP</w:t>
      </w:r>
    </w:p>
    <w:p w:rsidR="00DC1795" w:rsidRPr="00ED38E9" w:rsidRDefault="00DC1795" w:rsidP="004659F6">
      <w:pPr>
        <w:widowControl w:val="0"/>
        <w:spacing w:before="120" w:after="120"/>
        <w:rPr>
          <w:rFonts w:eastAsia="Calibri" w:cs="Arial"/>
          <w:noProof w:val="0"/>
          <w:szCs w:val="22"/>
          <w:lang w:bidi="ar-SA"/>
        </w:rPr>
      </w:pPr>
      <w:r w:rsidRPr="00ED38E9">
        <w:rPr>
          <w:rFonts w:eastAsia="Calibri" w:cs="Arial"/>
          <w:noProof w:val="0"/>
          <w:szCs w:val="22"/>
          <w:lang w:bidi="ar-SA"/>
        </w:rPr>
        <w:t>Náklady Varianty 1 se budou pohybovat dle rozsahu nutných změn v autorizačním projektu a doplnění v intervalu (0 – náklady na Variantu 2).</w:t>
      </w:r>
    </w:p>
    <w:p w:rsidR="00DC1795" w:rsidRDefault="00DC1795" w:rsidP="004659F6">
      <w:pPr>
        <w:widowControl w:val="0"/>
        <w:spacing w:before="120" w:after="120"/>
        <w:rPr>
          <w:rFonts w:eastAsia="Calibri" w:cs="Arial"/>
          <w:noProof w:val="0"/>
          <w:szCs w:val="22"/>
          <w:lang w:bidi="ar-SA"/>
        </w:rPr>
      </w:pPr>
      <w:r w:rsidRPr="00ED38E9">
        <w:rPr>
          <w:rFonts w:eastAsia="Calibri" w:cs="Arial"/>
          <w:noProof w:val="0"/>
          <w:szCs w:val="22"/>
          <w:lang w:bidi="ar-SA"/>
        </w:rPr>
        <w:t>Všechny výše uvedené náklady jsou náklady jednorázovými a je nutno je rovnoměrně a s příslušným diskontem rozpustit do jednotlivých ročních období po dobu platnosti právní úpravy.</w:t>
      </w:r>
    </w:p>
    <w:p w:rsidR="00A00F73" w:rsidRDefault="00A00F73" w:rsidP="006F5445">
      <w:pPr>
        <w:pStyle w:val="Titulek"/>
      </w:pPr>
      <w:r>
        <w:t xml:space="preserve">Tabulka </w:t>
      </w:r>
      <w:r w:rsidR="00381FB7">
        <w:fldChar w:fldCharType="begin"/>
      </w:r>
      <w:r>
        <w:instrText xml:space="preserve"> SEQ Tabulka \* ARABIC </w:instrText>
      </w:r>
      <w:r w:rsidR="00381FB7">
        <w:fldChar w:fldCharType="separate"/>
      </w:r>
      <w:r w:rsidR="00FD5E92">
        <w:t>38</w:t>
      </w:r>
      <w:r w:rsidR="00381FB7">
        <w:fldChar w:fldCharType="end"/>
      </w:r>
      <w:r>
        <w:t xml:space="preserve">: </w:t>
      </w:r>
      <w:r w:rsidRPr="007126D6">
        <w:t>Souhrn nákladů a přínosů</w:t>
      </w:r>
    </w:p>
    <w:tbl>
      <w:tblPr>
        <w:tblStyle w:val="Mkatabulky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A00F73" w:rsidRPr="00ED38E9" w:rsidTr="00AA3350">
        <w:trPr>
          <w:trHeight w:val="64"/>
          <w:jc w:val="center"/>
        </w:trPr>
        <w:tc>
          <w:tcPr>
            <w:tcW w:w="2419" w:type="dxa"/>
            <w:shd w:val="clear" w:color="auto" w:fill="B6B002"/>
            <w:vAlign w:val="center"/>
          </w:tcPr>
          <w:p w:rsidR="00A00F73" w:rsidRPr="00ED38E9" w:rsidRDefault="00A00F73" w:rsidP="00AA3350">
            <w:pPr>
              <w:spacing w:line="264" w:lineRule="auto"/>
              <w:jc w:val="center"/>
              <w:rPr>
                <w:rFonts w:cs="Arial"/>
                <w:b/>
                <w:noProof w:val="0"/>
                <w:sz w:val="20"/>
                <w:szCs w:val="20"/>
                <w:lang w:bidi="ar-SA"/>
              </w:rPr>
            </w:pPr>
          </w:p>
        </w:tc>
        <w:tc>
          <w:tcPr>
            <w:tcW w:w="3326" w:type="dxa"/>
            <w:shd w:val="clear" w:color="auto" w:fill="B6B002"/>
            <w:vAlign w:val="center"/>
          </w:tcPr>
          <w:p w:rsidR="00A00F73" w:rsidRPr="00ED38E9" w:rsidRDefault="00A00F73" w:rsidP="00AA3350">
            <w:pPr>
              <w:spacing w:line="264" w:lineRule="auto"/>
              <w:rPr>
                <w:rFonts w:cs="Arial"/>
                <w:b/>
                <w:noProof w:val="0"/>
                <w:sz w:val="20"/>
                <w:szCs w:val="20"/>
                <w:lang w:bidi="ar-SA"/>
              </w:rPr>
            </w:pPr>
            <w:r w:rsidRPr="00ED38E9">
              <w:rPr>
                <w:rFonts w:cs="Arial"/>
                <w:b/>
                <w:noProof w:val="0"/>
                <w:sz w:val="20"/>
                <w:szCs w:val="20"/>
                <w:lang w:bidi="ar-SA"/>
              </w:rPr>
              <w:t>Náklady</w:t>
            </w:r>
          </w:p>
        </w:tc>
        <w:tc>
          <w:tcPr>
            <w:tcW w:w="3327" w:type="dxa"/>
            <w:shd w:val="clear" w:color="auto" w:fill="B6B002"/>
            <w:vAlign w:val="center"/>
          </w:tcPr>
          <w:p w:rsidR="00A00F73" w:rsidRPr="00ED38E9" w:rsidRDefault="00A00F73" w:rsidP="00AA3350">
            <w:pPr>
              <w:spacing w:line="264" w:lineRule="auto"/>
              <w:rPr>
                <w:rFonts w:cs="Arial"/>
                <w:b/>
                <w:noProof w:val="0"/>
                <w:sz w:val="20"/>
                <w:szCs w:val="20"/>
                <w:lang w:bidi="ar-SA"/>
              </w:rPr>
            </w:pPr>
            <w:r w:rsidRPr="00ED38E9">
              <w:rPr>
                <w:rFonts w:cs="Arial"/>
                <w:b/>
                <w:noProof w:val="0"/>
                <w:sz w:val="20"/>
                <w:szCs w:val="20"/>
                <w:lang w:bidi="ar-SA"/>
              </w:rPr>
              <w:t>Přínosy</w:t>
            </w:r>
          </w:p>
        </w:tc>
      </w:tr>
    </w:tbl>
    <w:tbl>
      <w:tblPr>
        <w:tblStyle w:val="Mkatabulky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7E39E4" w:rsidRPr="007E39E4" w:rsidTr="007E39E4">
        <w:trPr>
          <w:trHeight w:val="64"/>
          <w:jc w:val="center"/>
        </w:trPr>
        <w:tc>
          <w:tcPr>
            <w:tcW w:w="9072" w:type="dxa"/>
            <w:gridSpan w:val="3"/>
            <w:shd w:val="clear" w:color="auto" w:fill="D9D9D9"/>
            <w:vAlign w:val="center"/>
          </w:tcPr>
          <w:p w:rsidR="007E39E4" w:rsidRPr="007E39E4" w:rsidRDefault="007E39E4" w:rsidP="007E39E4">
            <w:pPr>
              <w:spacing w:before="120" w:after="120"/>
              <w:rPr>
                <w:rFonts w:cs="Arial"/>
                <w:b/>
                <w:noProof w:val="0"/>
                <w:szCs w:val="22"/>
                <w:lang w:bidi="ar-SA"/>
              </w:rPr>
            </w:pPr>
            <w:r w:rsidRPr="007E39E4">
              <w:rPr>
                <w:rFonts w:cs="Arial"/>
                <w:b/>
                <w:szCs w:val="22"/>
                <w:lang w:bidi="ar-SA"/>
              </w:rPr>
              <w:t>Udělení oprávnění k provozování KS</w:t>
            </w:r>
          </w:p>
        </w:tc>
      </w:tr>
      <w:tr w:rsidR="007E39E4" w:rsidRPr="007E39E4" w:rsidTr="007E39E4">
        <w:trPr>
          <w:trHeight w:val="64"/>
          <w:jc w:val="center"/>
        </w:trPr>
        <w:tc>
          <w:tcPr>
            <w:tcW w:w="2419" w:type="dxa"/>
            <w:shd w:val="clear" w:color="auto" w:fill="F2F2F2"/>
            <w:vAlign w:val="center"/>
          </w:tcPr>
          <w:p w:rsidR="007E39E4" w:rsidRPr="007E39E4" w:rsidRDefault="007E39E4" w:rsidP="007E39E4">
            <w:pPr>
              <w:spacing w:before="60" w:after="60" w:line="240" w:lineRule="auto"/>
              <w:rPr>
                <w:rFonts w:cs="Arial"/>
                <w:sz w:val="20"/>
                <w:szCs w:val="20"/>
                <w:lang w:bidi="ar-SA"/>
              </w:rPr>
            </w:pPr>
            <w:r w:rsidRPr="007E39E4">
              <w:rPr>
                <w:rFonts w:cs="Arial"/>
                <w:sz w:val="20"/>
                <w:szCs w:val="20"/>
                <w:lang w:bidi="ar-SA"/>
              </w:rPr>
              <w:t>Varianta 0</w:t>
            </w:r>
          </w:p>
        </w:tc>
        <w:tc>
          <w:tcPr>
            <w:tcW w:w="3326" w:type="dxa"/>
            <w:shd w:val="clear" w:color="auto" w:fill="F2F2F2"/>
            <w:vAlign w:val="center"/>
          </w:tcPr>
          <w:p w:rsidR="007E39E4" w:rsidRPr="007E39E4" w:rsidRDefault="007E39E4" w:rsidP="007E39E4">
            <w:pPr>
              <w:spacing w:before="60" w:after="60" w:line="240" w:lineRule="auto"/>
              <w:rPr>
                <w:rFonts w:cs="Arial"/>
                <w:noProof w:val="0"/>
                <w:sz w:val="20"/>
                <w:szCs w:val="20"/>
                <w:lang w:bidi="ar-SA"/>
              </w:rPr>
            </w:pPr>
            <w:r w:rsidRPr="007E39E4">
              <w:rPr>
                <w:rFonts w:cs="Arial"/>
                <w:noProof w:val="0"/>
                <w:sz w:val="20"/>
                <w:szCs w:val="20"/>
                <w:lang w:bidi="ar-SA"/>
              </w:rPr>
              <w:t>nulová varianta</w:t>
            </w:r>
          </w:p>
        </w:tc>
        <w:tc>
          <w:tcPr>
            <w:tcW w:w="3327" w:type="dxa"/>
            <w:shd w:val="clear" w:color="auto" w:fill="F2F2F2"/>
            <w:vAlign w:val="center"/>
          </w:tcPr>
          <w:p w:rsidR="007E39E4" w:rsidRPr="007E39E4" w:rsidRDefault="007E39E4" w:rsidP="007E39E4">
            <w:pPr>
              <w:spacing w:before="60" w:after="60" w:line="240" w:lineRule="auto"/>
              <w:rPr>
                <w:rFonts w:cs="Arial"/>
                <w:noProof w:val="0"/>
                <w:sz w:val="20"/>
                <w:szCs w:val="20"/>
                <w:lang w:bidi="ar-SA"/>
              </w:rPr>
            </w:pPr>
            <w:r w:rsidRPr="007E39E4">
              <w:rPr>
                <w:rFonts w:cs="Arial"/>
                <w:noProof w:val="0"/>
                <w:sz w:val="20"/>
                <w:szCs w:val="20"/>
                <w:lang w:bidi="ar-SA"/>
              </w:rPr>
              <w:t>nulová varianta</w:t>
            </w:r>
          </w:p>
        </w:tc>
      </w:tr>
      <w:tr w:rsidR="007E39E4" w:rsidRPr="007E39E4" w:rsidTr="007E39E4">
        <w:trPr>
          <w:trHeight w:val="1083"/>
          <w:jc w:val="center"/>
        </w:trPr>
        <w:tc>
          <w:tcPr>
            <w:tcW w:w="2419" w:type="dxa"/>
            <w:shd w:val="clear" w:color="auto" w:fill="D9D9D9"/>
            <w:vAlign w:val="center"/>
          </w:tcPr>
          <w:p w:rsidR="007E39E4" w:rsidRPr="007E39E4" w:rsidRDefault="007E39E4" w:rsidP="007E39E4">
            <w:pPr>
              <w:spacing w:before="60" w:after="60" w:line="240" w:lineRule="auto"/>
              <w:rPr>
                <w:rFonts w:cs="Arial"/>
                <w:b/>
                <w:sz w:val="20"/>
                <w:szCs w:val="20"/>
                <w:u w:val="single"/>
                <w:lang w:bidi="ar-SA"/>
              </w:rPr>
            </w:pPr>
            <w:r w:rsidRPr="007E39E4">
              <w:rPr>
                <w:rFonts w:cs="Arial"/>
                <w:b/>
                <w:sz w:val="20"/>
                <w:szCs w:val="20"/>
                <w:u w:val="single"/>
                <w:lang w:bidi="ar-SA"/>
              </w:rPr>
              <w:t>Varianta 1</w:t>
            </w:r>
          </w:p>
        </w:tc>
        <w:tc>
          <w:tcPr>
            <w:tcW w:w="3326" w:type="dxa"/>
            <w:shd w:val="clear" w:color="auto" w:fill="D9D9D9"/>
            <w:vAlign w:val="center"/>
          </w:tcPr>
          <w:p w:rsidR="007E39E4" w:rsidRPr="007E39E4" w:rsidRDefault="007E39E4" w:rsidP="007E39E4">
            <w:pPr>
              <w:spacing w:before="60" w:after="60" w:line="240" w:lineRule="auto"/>
              <w:rPr>
                <w:rFonts w:cs="Arial"/>
                <w:noProof w:val="0"/>
                <w:sz w:val="20"/>
                <w:szCs w:val="20"/>
                <w:lang w:bidi="ar-SA"/>
              </w:rPr>
            </w:pPr>
            <w:r w:rsidRPr="007E39E4">
              <w:rPr>
                <w:rFonts w:cs="Arial"/>
                <w:noProof w:val="0"/>
                <w:sz w:val="20"/>
                <w:szCs w:val="20"/>
                <w:lang w:bidi="ar-SA"/>
              </w:rPr>
              <w:t xml:space="preserve">Odhadované náklady MŽP na vydání autorizačních rozhodnutí při stávajícím počtu 15 KS 480 tis. Kč. Náklady KS na nový projekt se budou odvíjet od požadavků na autorizační projekt. V případě doplnění lze </w:t>
            </w:r>
            <w:r w:rsidRPr="007E39E4">
              <w:rPr>
                <w:rFonts w:cs="Arial"/>
                <w:noProof w:val="0"/>
                <w:sz w:val="20"/>
                <w:szCs w:val="20"/>
                <w:lang w:bidi="ar-SA"/>
              </w:rPr>
              <w:lastRenderedPageBreak/>
              <w:t>očekávat náklady na jeden autorizační projekt v rozmezí 300 – 1 000 tis. Kč.</w:t>
            </w:r>
          </w:p>
        </w:tc>
        <w:tc>
          <w:tcPr>
            <w:tcW w:w="3327" w:type="dxa"/>
            <w:shd w:val="clear" w:color="auto" w:fill="D9D9D9"/>
            <w:vAlign w:val="center"/>
          </w:tcPr>
          <w:p w:rsidR="007E39E4" w:rsidRPr="007E39E4" w:rsidRDefault="007E39E4" w:rsidP="007E39E4">
            <w:pPr>
              <w:spacing w:before="60" w:after="60" w:line="240" w:lineRule="auto"/>
              <w:rPr>
                <w:rFonts w:cs="Arial"/>
                <w:noProof w:val="0"/>
                <w:sz w:val="20"/>
                <w:szCs w:val="20"/>
                <w:lang w:bidi="ar-SA"/>
              </w:rPr>
            </w:pPr>
            <w:r w:rsidRPr="007E39E4">
              <w:rPr>
                <w:rFonts w:cs="Arial"/>
                <w:noProof w:val="0"/>
                <w:sz w:val="20"/>
                <w:szCs w:val="20"/>
                <w:lang w:bidi="ar-SA"/>
              </w:rPr>
              <w:lastRenderedPageBreak/>
              <w:t>Lepší kontrola KS z důvodu sjednocení podmínek pro autorizační projekt. Transparentnější prostředí</w:t>
            </w:r>
          </w:p>
        </w:tc>
      </w:tr>
      <w:tr w:rsidR="007E39E4" w:rsidRPr="007E39E4" w:rsidTr="007E39E4">
        <w:trPr>
          <w:trHeight w:val="555"/>
          <w:jc w:val="center"/>
        </w:trPr>
        <w:tc>
          <w:tcPr>
            <w:tcW w:w="2419" w:type="dxa"/>
            <w:shd w:val="clear" w:color="auto" w:fill="F2F2F2"/>
            <w:vAlign w:val="center"/>
          </w:tcPr>
          <w:p w:rsidR="007E39E4" w:rsidRPr="007E39E4" w:rsidRDefault="007E39E4" w:rsidP="007E39E4">
            <w:pPr>
              <w:spacing w:before="60" w:after="60" w:line="240" w:lineRule="auto"/>
              <w:rPr>
                <w:rFonts w:cs="Arial"/>
                <w:b/>
                <w:sz w:val="20"/>
                <w:szCs w:val="20"/>
                <w:u w:val="single"/>
                <w:lang w:bidi="ar-SA"/>
              </w:rPr>
            </w:pPr>
            <w:r w:rsidRPr="007E39E4">
              <w:rPr>
                <w:rFonts w:cs="Arial"/>
                <w:b/>
                <w:sz w:val="20"/>
                <w:szCs w:val="20"/>
                <w:u w:val="single"/>
                <w:lang w:bidi="ar-SA"/>
              </w:rPr>
              <w:lastRenderedPageBreak/>
              <w:t>Varianta 2</w:t>
            </w:r>
          </w:p>
        </w:tc>
        <w:tc>
          <w:tcPr>
            <w:tcW w:w="3326" w:type="dxa"/>
            <w:shd w:val="clear" w:color="auto" w:fill="F2F2F2"/>
            <w:vAlign w:val="center"/>
          </w:tcPr>
          <w:p w:rsidR="007E39E4" w:rsidRPr="007E39E4" w:rsidRDefault="007E39E4" w:rsidP="007E39E4">
            <w:pPr>
              <w:spacing w:before="60" w:after="60" w:line="240" w:lineRule="auto"/>
              <w:rPr>
                <w:rFonts w:cs="Arial"/>
                <w:noProof w:val="0"/>
                <w:sz w:val="20"/>
                <w:szCs w:val="20"/>
                <w:lang w:bidi="ar-SA"/>
              </w:rPr>
            </w:pPr>
            <w:r w:rsidRPr="007E39E4">
              <w:rPr>
                <w:rFonts w:cs="Arial"/>
                <w:noProof w:val="0"/>
                <w:sz w:val="20"/>
                <w:szCs w:val="20"/>
                <w:lang w:bidi="ar-SA"/>
              </w:rPr>
              <w:t xml:space="preserve">Náklady Varianty 2 vychází z Varianty 1, ovšem budou obsahovat i náklady na případné </w:t>
            </w:r>
            <w:proofErr w:type="spellStart"/>
            <w:r w:rsidRPr="007E39E4">
              <w:rPr>
                <w:rFonts w:cs="Arial"/>
                <w:noProof w:val="0"/>
                <w:sz w:val="20"/>
                <w:szCs w:val="20"/>
                <w:lang w:bidi="ar-SA"/>
              </w:rPr>
              <w:t>přesmluvnění</w:t>
            </w:r>
            <w:proofErr w:type="spellEnd"/>
            <w:r w:rsidRPr="007E39E4">
              <w:rPr>
                <w:rFonts w:cs="Arial"/>
                <w:noProof w:val="0"/>
                <w:sz w:val="20"/>
                <w:szCs w:val="20"/>
                <w:lang w:bidi="ar-SA"/>
              </w:rPr>
              <w:t>, jejichž výši lze jen obtížně odhadnout, ovšem s přihlédnutím k počtu smluv se bude jednat o desítky miliónů korun.</w:t>
            </w:r>
          </w:p>
        </w:tc>
        <w:tc>
          <w:tcPr>
            <w:tcW w:w="3327" w:type="dxa"/>
            <w:shd w:val="clear" w:color="auto" w:fill="F2F2F2"/>
            <w:vAlign w:val="center"/>
          </w:tcPr>
          <w:p w:rsidR="007E39E4" w:rsidRPr="007E39E4" w:rsidRDefault="007E39E4" w:rsidP="007E39E4">
            <w:pPr>
              <w:spacing w:before="60" w:after="60" w:line="240" w:lineRule="auto"/>
              <w:rPr>
                <w:rFonts w:cs="Arial"/>
                <w:noProof w:val="0"/>
                <w:sz w:val="20"/>
                <w:szCs w:val="20"/>
                <w:lang w:bidi="ar-SA"/>
              </w:rPr>
            </w:pPr>
            <w:r w:rsidRPr="007E39E4">
              <w:rPr>
                <w:rFonts w:cs="Arial"/>
                <w:noProof w:val="0"/>
                <w:sz w:val="20"/>
                <w:szCs w:val="20"/>
                <w:lang w:bidi="ar-SA"/>
              </w:rPr>
              <w:t>Lepší kontrola KS z důvodu sjednocení podmínek pro autorizační projekt. Transparentnější prostředí</w:t>
            </w:r>
          </w:p>
        </w:tc>
      </w:tr>
    </w:tbl>
    <w:p w:rsidR="007E39E4" w:rsidRPr="00ED38E9" w:rsidRDefault="007E39E4" w:rsidP="004659F6">
      <w:pPr>
        <w:widowControl w:val="0"/>
        <w:spacing w:before="120" w:after="120"/>
        <w:rPr>
          <w:rFonts w:eastAsia="Calibri" w:cs="Arial"/>
          <w:noProof w:val="0"/>
          <w:szCs w:val="22"/>
          <w:lang w:bidi="ar-SA"/>
        </w:rPr>
      </w:pPr>
    </w:p>
    <w:p w:rsidR="00DC1795" w:rsidRPr="00ED38E9" w:rsidRDefault="00DC1795" w:rsidP="0011664A">
      <w:pPr>
        <w:pStyle w:val="Nadpis2"/>
      </w:pPr>
      <w:bookmarkStart w:id="77" w:name="_Toc441759864"/>
      <w:r w:rsidRPr="00ED38E9">
        <w:t>Vyhodnocení variant a návrh řešení:</w:t>
      </w:r>
      <w:bookmarkEnd w:id="77"/>
    </w:p>
    <w:p w:rsidR="00DC1795" w:rsidRPr="00ED38E9" w:rsidRDefault="00DC1795" w:rsidP="004659F6">
      <w:pPr>
        <w:spacing w:before="120" w:after="120"/>
        <w:rPr>
          <w:rFonts w:eastAsia="Calibri" w:cs="Arial"/>
          <w:noProof w:val="0"/>
          <w:szCs w:val="22"/>
          <w:lang w:bidi="ar-SA"/>
        </w:rPr>
      </w:pPr>
      <w:r w:rsidRPr="00ED38E9">
        <w:rPr>
          <w:rFonts w:eastAsia="Calibri" w:cs="Arial"/>
          <w:noProof w:val="0"/>
          <w:szCs w:val="22"/>
          <w:lang w:bidi="ar-SA"/>
        </w:rPr>
        <w:t>Na základě provedené analýzy přínosů a nákladů doporučujeme realizovat Variantu 1 nebo Variantu 2. V porovnání s variantou 0 obě tyto varianty přispívají k transparentnějšímu prostředí a rovným podmínkám pro všechny kolektivní systémy. Tyto přínosy více než vyváží dodatečné náklady pro stávající KS ve formě doplnění, případně nové</w:t>
      </w:r>
      <w:r w:rsidR="001B0158">
        <w:rPr>
          <w:rFonts w:eastAsia="Calibri" w:cs="Arial"/>
          <w:noProof w:val="0"/>
          <w:szCs w:val="22"/>
          <w:lang w:bidi="ar-SA"/>
        </w:rPr>
        <w:t>ho oprávnění k provozování kolektivního systému</w:t>
      </w:r>
      <w:r w:rsidRPr="00ED38E9">
        <w:rPr>
          <w:rFonts w:eastAsia="Calibri" w:cs="Arial"/>
          <w:noProof w:val="0"/>
          <w:szCs w:val="22"/>
          <w:lang w:bidi="ar-SA"/>
        </w:rPr>
        <w:t xml:space="preserve">. Je pouze zapotřebí poskytnout stávajícím KS dostatečné přechodné období, v rámci něhož budou moci připravit doplnění projektu/nový projekt. Délka přechodného období by měla reflektovat požadavky a formu autorizačního projektu. </w:t>
      </w:r>
    </w:p>
    <w:p w:rsidR="00DC1795" w:rsidRPr="00ED38E9" w:rsidRDefault="00DC1795" w:rsidP="004659F6">
      <w:pPr>
        <w:spacing w:before="120"/>
        <w:rPr>
          <w:rFonts w:eastAsia="Calibri" w:cs="Arial"/>
          <w:noProof w:val="0"/>
          <w:szCs w:val="22"/>
          <w:lang w:bidi="ar-SA"/>
        </w:rPr>
      </w:pPr>
      <w:r w:rsidRPr="00ED38E9">
        <w:rPr>
          <w:rFonts w:eastAsia="Calibri" w:cs="Arial"/>
          <w:noProof w:val="0"/>
          <w:szCs w:val="22"/>
          <w:lang w:bidi="ar-SA"/>
        </w:rPr>
        <w:t>S ohledem na skutečnost, že přesné požadavky a forma zpracování projektu zajištění kolektivního plnění povinností nejsou známy, ponecháváme volbu mezi Variantami 1 a 2, tj. pro stávající KS pouze doplnění vs. nový projekt, na politickém rozhodnutí. Ani jedna z Variant nemá zásadní vliv na plnění cíle ve formě dosažení úrovně zpětného odběru a odděleného sběru elektrozařízení dle požadavků evropské směrnice. Zároveň obě varianty při obdobných nákladech přispívají k tvorbě transparentnějšího prostředí, což představuje jeden z dílčích cílů věcného záměru.</w:t>
      </w:r>
    </w:p>
    <w:p w:rsidR="00DC1795" w:rsidRPr="00ED38E9" w:rsidRDefault="00DC1795" w:rsidP="0011664A">
      <w:pPr>
        <w:pStyle w:val="Nadpis1"/>
      </w:pPr>
      <w:bookmarkStart w:id="78" w:name="_Toc406598335"/>
      <w:bookmarkStart w:id="79" w:name="_Toc441759865"/>
      <w:bookmarkStart w:id="80" w:name="_Toc441760185"/>
      <w:r w:rsidRPr="00ED38E9">
        <w:t>Odebrání oprávnění k provozování KS</w:t>
      </w:r>
      <w:bookmarkEnd w:id="78"/>
      <w:bookmarkEnd w:id="79"/>
      <w:bookmarkEnd w:id="80"/>
      <w:r w:rsidRPr="00ED38E9">
        <w:t xml:space="preserve"> </w:t>
      </w:r>
    </w:p>
    <w:p w:rsidR="00725D27" w:rsidRDefault="00725D27" w:rsidP="0011664A">
      <w:pPr>
        <w:pStyle w:val="Nadpis2"/>
      </w:pPr>
      <w:bookmarkStart w:id="81" w:name="_Toc441759866"/>
      <w:r>
        <w:t>Definice problému a popis současného stavu</w:t>
      </w:r>
      <w:bookmarkEnd w:id="81"/>
    </w:p>
    <w:p w:rsidR="00DC1795" w:rsidRPr="00ED38E9" w:rsidRDefault="00DC1795" w:rsidP="004659F6">
      <w:pPr>
        <w:widowControl w:val="0"/>
        <w:spacing w:before="120" w:after="120"/>
        <w:rPr>
          <w:rFonts w:eastAsia="Calibri" w:cs="Arial"/>
          <w:noProof w:val="0"/>
          <w:szCs w:val="22"/>
          <w:lang w:bidi="ar-SA"/>
        </w:rPr>
      </w:pPr>
      <w:r w:rsidRPr="00ED38E9">
        <w:rPr>
          <w:rFonts w:eastAsia="Calibri" w:cs="Arial"/>
          <w:b/>
          <w:noProof w:val="0"/>
          <w:szCs w:val="22"/>
          <w:lang w:bidi="ar-SA"/>
        </w:rPr>
        <w:t>Popis současného stavu:</w:t>
      </w:r>
      <w:r w:rsidRPr="00ED38E9">
        <w:rPr>
          <w:rFonts w:eastAsia="Calibri" w:cs="Arial"/>
          <w:noProof w:val="0"/>
          <w:szCs w:val="22"/>
          <w:lang w:bidi="ar-SA"/>
        </w:rPr>
        <w:t xml:space="preserve"> V současnosti zákon v případě elektrozařízení přímo odebrání oprávnění k provozování KS ze strany </w:t>
      </w:r>
      <w:r w:rsidR="00A56310" w:rsidRPr="00ED38E9">
        <w:rPr>
          <w:rFonts w:eastAsia="Calibri" w:cs="Arial"/>
          <w:noProof w:val="0"/>
          <w:szCs w:val="22"/>
          <w:lang w:bidi="ar-SA"/>
        </w:rPr>
        <w:t>MŽP</w:t>
      </w:r>
      <w:r w:rsidRPr="00ED38E9">
        <w:rPr>
          <w:rFonts w:eastAsia="Calibri" w:cs="Arial"/>
          <w:noProof w:val="0"/>
          <w:szCs w:val="22"/>
          <w:lang w:bidi="ar-SA"/>
        </w:rPr>
        <w:t xml:space="preserve"> neumožňuje. Tento úkon tedy nemá jasně stanovené podmínky a vzhledem ke značné právní nejistotě dotčených subjektů by bylo potřeba tuto oblast legislativně upravit.</w:t>
      </w:r>
    </w:p>
    <w:p w:rsidR="00725D27" w:rsidRDefault="00725D27" w:rsidP="0011664A">
      <w:pPr>
        <w:pStyle w:val="Nadpis2"/>
      </w:pPr>
      <w:bookmarkStart w:id="82" w:name="_Toc441759867"/>
      <w:r>
        <w:t>Popis cílového stavu</w:t>
      </w:r>
      <w:bookmarkEnd w:id="82"/>
    </w:p>
    <w:p w:rsidR="00DC1795" w:rsidRPr="00ED38E9" w:rsidRDefault="00DC1795" w:rsidP="004659F6">
      <w:pPr>
        <w:widowControl w:val="0"/>
        <w:spacing w:before="120" w:after="120"/>
        <w:rPr>
          <w:rFonts w:eastAsia="Calibri" w:cs="Arial"/>
          <w:noProof w:val="0"/>
          <w:szCs w:val="22"/>
          <w:lang w:bidi="ar-SA"/>
        </w:rPr>
      </w:pPr>
      <w:r w:rsidRPr="00ED38E9">
        <w:rPr>
          <w:rFonts w:eastAsia="Calibri" w:cs="Arial"/>
          <w:b/>
          <w:noProof w:val="0"/>
          <w:szCs w:val="22"/>
          <w:lang w:bidi="ar-SA"/>
        </w:rPr>
        <w:t>Cíl:</w:t>
      </w:r>
      <w:r w:rsidRPr="00ED38E9">
        <w:rPr>
          <w:rFonts w:eastAsia="Calibri" w:cs="Arial"/>
          <w:noProof w:val="0"/>
          <w:szCs w:val="22"/>
          <w:lang w:bidi="ar-SA"/>
        </w:rPr>
        <w:t xml:space="preserve"> Cílem je vytvořit transparentní systém, který bude přispívat k navyšování úrovní sběru a zároveň nebude podněcovat kolektivní systém k obcházení zákona – například  ve formě vytvoření fiktivních sběrných míst, které by kolektivní systém zakládal z důvodu vyhnutí se odebrání oprávnění k provozování KS. </w:t>
      </w:r>
    </w:p>
    <w:p w:rsidR="00DC1795" w:rsidRPr="00ED38E9" w:rsidRDefault="00DC1795" w:rsidP="0011664A">
      <w:pPr>
        <w:pStyle w:val="Nadpis2"/>
        <w:rPr>
          <w:rFonts w:eastAsia="Calibri"/>
          <w:lang w:bidi="ar-SA"/>
        </w:rPr>
      </w:pPr>
      <w:bookmarkStart w:id="83" w:name="_Toc441759868"/>
      <w:r w:rsidRPr="00ED38E9">
        <w:rPr>
          <w:rFonts w:eastAsia="Calibri"/>
          <w:lang w:bidi="ar-SA"/>
        </w:rPr>
        <w:lastRenderedPageBreak/>
        <w:t>Varianty řešení</w:t>
      </w:r>
      <w:bookmarkEnd w:id="83"/>
    </w:p>
    <w:p w:rsidR="00DC1795" w:rsidRPr="00ED38E9" w:rsidRDefault="00DC1795" w:rsidP="004659F6">
      <w:pPr>
        <w:widowControl w:val="0"/>
        <w:spacing w:before="120" w:after="120"/>
        <w:rPr>
          <w:rFonts w:eastAsia="Calibri" w:cs="Arial"/>
          <w:noProof w:val="0"/>
          <w:szCs w:val="22"/>
          <w:lang w:bidi="ar-SA"/>
        </w:rPr>
      </w:pPr>
      <w:r w:rsidRPr="00ED38E9">
        <w:rPr>
          <w:rFonts w:eastAsia="Calibri" w:cs="Arial"/>
          <w:b/>
          <w:noProof w:val="0"/>
          <w:szCs w:val="22"/>
          <w:lang w:bidi="ar-SA"/>
        </w:rPr>
        <w:t xml:space="preserve">Varianta 0: </w:t>
      </w:r>
      <w:r w:rsidRPr="00ED38E9">
        <w:rPr>
          <w:rFonts w:eastAsia="Calibri" w:cs="Arial"/>
          <w:noProof w:val="0"/>
          <w:szCs w:val="22"/>
          <w:lang w:bidi="ar-SA"/>
        </w:rPr>
        <w:t>Zachování současného stavu.</w:t>
      </w:r>
    </w:p>
    <w:p w:rsidR="00DC1795" w:rsidRPr="00ED38E9" w:rsidRDefault="00DC1795" w:rsidP="004659F6">
      <w:pPr>
        <w:widowControl w:val="0"/>
        <w:spacing w:before="120" w:after="120"/>
        <w:rPr>
          <w:rFonts w:eastAsia="Calibri" w:cs="Arial"/>
          <w:noProof w:val="0"/>
          <w:szCs w:val="22"/>
          <w:lang w:bidi="ar-SA"/>
        </w:rPr>
      </w:pPr>
      <w:r w:rsidRPr="00ED38E9">
        <w:rPr>
          <w:rFonts w:eastAsia="Calibri" w:cs="Arial"/>
          <w:b/>
          <w:noProof w:val="0"/>
          <w:szCs w:val="22"/>
          <w:lang w:bidi="ar-SA"/>
        </w:rPr>
        <w:t xml:space="preserve">Varianta 1: </w:t>
      </w:r>
      <w:r w:rsidRPr="00ED38E9">
        <w:rPr>
          <w:rFonts w:eastAsia="Calibri" w:cs="Arial"/>
          <w:noProof w:val="0"/>
          <w:szCs w:val="22"/>
          <w:lang w:bidi="ar-SA"/>
        </w:rPr>
        <w:t>Stanovení jednoznačných podmínek, za kterých bude možno zahájit s KS správní řízení o odebrání oprávnění k provozování KS.</w:t>
      </w:r>
    </w:p>
    <w:p w:rsidR="00DC1795" w:rsidRPr="00ED38E9" w:rsidRDefault="00DC1795" w:rsidP="004659F6">
      <w:pPr>
        <w:widowControl w:val="0"/>
        <w:spacing w:before="120" w:after="120"/>
        <w:rPr>
          <w:rFonts w:eastAsia="Calibri" w:cs="Arial"/>
          <w:noProof w:val="0"/>
          <w:szCs w:val="22"/>
          <w:lang w:bidi="ar-SA"/>
        </w:rPr>
      </w:pPr>
      <w:r w:rsidRPr="00ED38E9">
        <w:rPr>
          <w:rFonts w:eastAsia="Calibri" w:cs="Arial"/>
          <w:noProof w:val="0"/>
          <w:szCs w:val="22"/>
          <w:lang w:bidi="ar-SA"/>
        </w:rPr>
        <w:t xml:space="preserve">V případě úvah o zavedení přesně definovaných podmínek vedoucích v případě jejich nesplnění ke správnímu řízení o odebrání oprávnění k provozování KS je zapotřebí důkladně zvážit stanovené podmínky, tak aby nedocházelo k negativním dopadům na úroveň sběru OEEZ. Právní předpis by měl obsahovat jednoznačně definované podmínky tak, aby nedocházelo k obcházení zákona a ke vzniku korupčních rizik. Naopak podmínky by měly mít i charakter motivační. Existence jasně definovaného systému pravidel bude mít pozitivní efekt na transparentnost prostředí, v němž se jednotliví aktéři pohybují. </w:t>
      </w:r>
    </w:p>
    <w:p w:rsidR="00DC1795" w:rsidRPr="00ED38E9" w:rsidRDefault="00DC1795" w:rsidP="004659F6">
      <w:pPr>
        <w:widowControl w:val="0"/>
        <w:spacing w:before="120" w:after="120"/>
        <w:rPr>
          <w:rFonts w:eastAsia="Calibri" w:cs="Arial"/>
          <w:noProof w:val="0"/>
          <w:szCs w:val="22"/>
          <w:lang w:bidi="ar-SA"/>
        </w:rPr>
      </w:pPr>
      <w:r w:rsidRPr="00ED38E9">
        <w:rPr>
          <w:rFonts w:eastAsia="Calibri" w:cs="Arial"/>
          <w:noProof w:val="0"/>
          <w:szCs w:val="22"/>
          <w:lang w:bidi="ar-SA"/>
        </w:rPr>
        <w:t xml:space="preserve">Kromě podmínek vycházejících z požadavků pro udělení oprávnění k provozování KS (např. hustota sběrné sítě) by s ohledem na motivační charakter měly být podmínky navázané na cíle sběru definované </w:t>
      </w:r>
      <w:r w:rsidR="00B70640">
        <w:rPr>
          <w:rFonts w:eastAsia="Calibri" w:cs="Arial"/>
          <w:noProof w:val="0"/>
          <w:szCs w:val="22"/>
          <w:lang w:bidi="ar-SA"/>
        </w:rPr>
        <w:t>S</w:t>
      </w:r>
      <w:r w:rsidRPr="00ED38E9">
        <w:rPr>
          <w:rFonts w:eastAsia="Calibri" w:cs="Arial"/>
          <w:noProof w:val="0"/>
          <w:szCs w:val="22"/>
          <w:lang w:bidi="ar-SA"/>
        </w:rPr>
        <w:t>měrnic</w:t>
      </w:r>
      <w:r w:rsidR="00B70640">
        <w:rPr>
          <w:rFonts w:eastAsia="Calibri" w:cs="Arial"/>
          <w:noProof w:val="0"/>
          <w:szCs w:val="22"/>
          <w:lang w:bidi="ar-SA"/>
        </w:rPr>
        <w:t>í</w:t>
      </w:r>
      <w:r w:rsidR="00B70640" w:rsidRPr="00B70640">
        <w:rPr>
          <w:rFonts w:eastAsia="Calibri" w:cs="Arial"/>
          <w:noProof w:val="0"/>
          <w:szCs w:val="22"/>
          <w:lang w:bidi="ar-SA"/>
        </w:rPr>
        <w:t xml:space="preserve"> </w:t>
      </w:r>
      <w:r w:rsidR="00B70640" w:rsidRPr="00ED38E9">
        <w:rPr>
          <w:rFonts w:eastAsia="Calibri" w:cs="Arial"/>
          <w:noProof w:val="0"/>
          <w:szCs w:val="22"/>
          <w:lang w:bidi="ar-SA"/>
        </w:rPr>
        <w:t>OEEZ</w:t>
      </w:r>
      <w:r w:rsidRPr="00ED38E9">
        <w:rPr>
          <w:rFonts w:eastAsia="Calibri" w:cs="Arial"/>
          <w:noProof w:val="0"/>
          <w:szCs w:val="22"/>
          <w:lang w:bidi="ar-SA"/>
        </w:rPr>
        <w:t>. Zároveň by dané podmínk</w:t>
      </w:r>
      <w:r w:rsidR="00F94CE8">
        <w:rPr>
          <w:rFonts w:eastAsia="Calibri" w:cs="Arial"/>
          <w:noProof w:val="0"/>
          <w:szCs w:val="22"/>
          <w:lang w:bidi="ar-SA"/>
        </w:rPr>
        <w:t>y měly kromě motivace odrážet i </w:t>
      </w:r>
      <w:r w:rsidRPr="00ED38E9">
        <w:rPr>
          <w:rFonts w:eastAsia="Calibri" w:cs="Arial"/>
          <w:noProof w:val="0"/>
          <w:szCs w:val="22"/>
          <w:lang w:bidi="ar-SA"/>
        </w:rPr>
        <w:t xml:space="preserve">reálnou situaci na trhu a umožnit tak povinným subjektům jejich splnění v případě řádného výkonu povinností vyplývajících z rozšířené odpovědnosti výrobců (střednědobý horizont).  </w:t>
      </w:r>
    </w:p>
    <w:p w:rsidR="00DC1795" w:rsidRPr="00ED38E9" w:rsidRDefault="00DC1795" w:rsidP="004659F6">
      <w:pPr>
        <w:widowControl w:val="0"/>
        <w:spacing w:before="120" w:after="120"/>
        <w:rPr>
          <w:rFonts w:eastAsia="Calibri" w:cs="Arial"/>
          <w:noProof w:val="0"/>
          <w:szCs w:val="22"/>
          <w:lang w:bidi="ar-SA"/>
        </w:rPr>
      </w:pPr>
      <w:r w:rsidRPr="00ED38E9">
        <w:rPr>
          <w:rFonts w:eastAsia="Calibri" w:cs="Arial"/>
          <w:noProof w:val="0"/>
          <w:szCs w:val="22"/>
          <w:lang w:bidi="ar-SA"/>
        </w:rPr>
        <w:t>Níže uvádíme příklady několika podmínek vycházejících z cíle úrovně zpětného odběru  společně s možnými přínosy a riziky vyplývajícími z dané podmínky.</w:t>
      </w:r>
    </w:p>
    <w:tbl>
      <w:tblPr>
        <w:tblStyle w:val="Mkatabulky"/>
        <w:tblW w:w="0" w:type="auto"/>
        <w:tblInd w:w="108" w:type="dxa"/>
        <w:tblLook w:val="04A0" w:firstRow="1" w:lastRow="0" w:firstColumn="1" w:lastColumn="0" w:noHBand="0" w:noVBand="1"/>
      </w:tblPr>
      <w:tblGrid>
        <w:gridCol w:w="2962"/>
        <w:gridCol w:w="3071"/>
        <w:gridCol w:w="3071"/>
      </w:tblGrid>
      <w:tr w:rsidR="00DC1795" w:rsidRPr="000B7CBF" w:rsidTr="00ED38E9">
        <w:tc>
          <w:tcPr>
            <w:tcW w:w="2962" w:type="dxa"/>
            <w:shd w:val="clear" w:color="auto" w:fill="auto"/>
          </w:tcPr>
          <w:p w:rsidR="00DC1795" w:rsidRPr="00ED38E9" w:rsidRDefault="00DC1795" w:rsidP="00D20F57">
            <w:pPr>
              <w:keepNext/>
              <w:spacing w:before="120" w:after="120" w:line="240" w:lineRule="auto"/>
              <w:jc w:val="left"/>
              <w:rPr>
                <w:rFonts w:cs="Arial"/>
                <w:b/>
                <w:noProof w:val="0"/>
                <w:sz w:val="18"/>
                <w:szCs w:val="20"/>
                <w:lang w:bidi="ar-SA"/>
              </w:rPr>
            </w:pPr>
            <w:r w:rsidRPr="00ED38E9">
              <w:rPr>
                <w:rFonts w:cs="Arial"/>
                <w:b/>
                <w:noProof w:val="0"/>
                <w:sz w:val="18"/>
                <w:szCs w:val="20"/>
                <w:lang w:bidi="ar-SA"/>
              </w:rPr>
              <w:lastRenderedPageBreak/>
              <w:t>Podmínka</w:t>
            </w:r>
          </w:p>
        </w:tc>
        <w:tc>
          <w:tcPr>
            <w:tcW w:w="3071" w:type="dxa"/>
            <w:shd w:val="clear" w:color="auto" w:fill="auto"/>
          </w:tcPr>
          <w:p w:rsidR="00DC1795" w:rsidRPr="00ED38E9" w:rsidRDefault="00DC1795" w:rsidP="00D20F57">
            <w:pPr>
              <w:keepNext/>
              <w:spacing w:before="120" w:after="120" w:line="240" w:lineRule="auto"/>
              <w:jc w:val="left"/>
              <w:rPr>
                <w:rFonts w:cs="Arial"/>
                <w:b/>
                <w:noProof w:val="0"/>
                <w:sz w:val="18"/>
                <w:szCs w:val="20"/>
                <w:lang w:bidi="ar-SA"/>
              </w:rPr>
            </w:pPr>
            <w:r w:rsidRPr="00ED38E9">
              <w:rPr>
                <w:rFonts w:cs="Arial"/>
                <w:b/>
                <w:noProof w:val="0"/>
                <w:sz w:val="18"/>
                <w:szCs w:val="20"/>
                <w:lang w:bidi="ar-SA"/>
              </w:rPr>
              <w:t>Přínosy</w:t>
            </w:r>
          </w:p>
        </w:tc>
        <w:tc>
          <w:tcPr>
            <w:tcW w:w="3071" w:type="dxa"/>
            <w:shd w:val="clear" w:color="auto" w:fill="auto"/>
          </w:tcPr>
          <w:p w:rsidR="00DC1795" w:rsidRPr="00ED38E9" w:rsidRDefault="00DC1795" w:rsidP="00D20F57">
            <w:pPr>
              <w:keepNext/>
              <w:spacing w:before="120" w:after="120" w:line="240" w:lineRule="auto"/>
              <w:jc w:val="left"/>
              <w:rPr>
                <w:rFonts w:cs="Arial"/>
                <w:b/>
                <w:noProof w:val="0"/>
                <w:sz w:val="18"/>
                <w:szCs w:val="20"/>
                <w:lang w:bidi="ar-SA"/>
              </w:rPr>
            </w:pPr>
            <w:r w:rsidRPr="00ED38E9">
              <w:rPr>
                <w:rFonts w:cs="Arial"/>
                <w:b/>
                <w:noProof w:val="0"/>
                <w:sz w:val="18"/>
                <w:szCs w:val="20"/>
                <w:lang w:bidi="ar-SA"/>
              </w:rPr>
              <w:t>Rizika</w:t>
            </w:r>
          </w:p>
        </w:tc>
      </w:tr>
      <w:tr w:rsidR="00DC1795" w:rsidRPr="000B7CBF" w:rsidTr="00DC1795">
        <w:tc>
          <w:tcPr>
            <w:tcW w:w="2962" w:type="dxa"/>
          </w:tcPr>
          <w:p w:rsidR="00DC1795" w:rsidRPr="00ED38E9" w:rsidRDefault="00DC1795" w:rsidP="00B70640">
            <w:pPr>
              <w:keepNext/>
              <w:spacing w:before="120" w:after="120" w:line="240" w:lineRule="auto"/>
              <w:jc w:val="left"/>
              <w:rPr>
                <w:rFonts w:cs="Arial"/>
                <w:noProof w:val="0"/>
                <w:sz w:val="18"/>
                <w:szCs w:val="20"/>
                <w:lang w:bidi="ar-SA"/>
              </w:rPr>
            </w:pPr>
            <w:r w:rsidRPr="00ED38E9">
              <w:rPr>
                <w:rFonts w:cs="Arial"/>
                <w:noProof w:val="0"/>
                <w:sz w:val="18"/>
                <w:szCs w:val="20"/>
                <w:lang w:bidi="ar-SA"/>
              </w:rPr>
              <w:t xml:space="preserve">Cíl absolutní (např. úroveň zpětného odběru OEEZ dle směrnice) </w:t>
            </w:r>
          </w:p>
        </w:tc>
        <w:tc>
          <w:tcPr>
            <w:tcW w:w="3071" w:type="dxa"/>
          </w:tcPr>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Jednoznačně definovaný</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Motivační</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Zohledňuje cíl stanovený evropskou legislativou</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V případě sankce ze strany EU nejednoznačná možnost přenesení na povinné subjekty.</w:t>
            </w:r>
          </w:p>
        </w:tc>
        <w:tc>
          <w:tcPr>
            <w:tcW w:w="3071" w:type="dxa"/>
          </w:tcPr>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V případě nepříznivých podmínek na trhu povinnost zahájit správní řízení o odebrání oprávnění se všemi subjekty</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 xml:space="preserve">Přílišný tlak na </w:t>
            </w:r>
            <w:r w:rsidR="00B70640">
              <w:rPr>
                <w:rFonts w:cs="Arial"/>
                <w:noProof w:val="0"/>
                <w:sz w:val="18"/>
                <w:szCs w:val="20"/>
                <w:lang w:bidi="ar-SA"/>
              </w:rPr>
              <w:t xml:space="preserve">zpětný </w:t>
            </w:r>
            <w:r w:rsidRPr="00ED38E9">
              <w:rPr>
                <w:rFonts w:cs="Arial"/>
                <w:noProof w:val="0"/>
                <w:sz w:val="18"/>
                <w:szCs w:val="20"/>
                <w:lang w:bidi="ar-SA"/>
              </w:rPr>
              <w:t>odběr vedoucí k možné „manipulaci“ s údaji ve snaze splnit</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Nezohledňuje možnou cyklicitu ekonomiky a změnu podmínek na trhu</w:t>
            </w:r>
          </w:p>
          <w:p w:rsidR="00DC1795" w:rsidRPr="00ED38E9" w:rsidRDefault="00DC1795" w:rsidP="00D20F57">
            <w:pPr>
              <w:keepNext/>
              <w:spacing w:before="120" w:after="120" w:line="240" w:lineRule="auto"/>
              <w:jc w:val="left"/>
              <w:rPr>
                <w:rFonts w:cs="Arial"/>
                <w:noProof w:val="0"/>
                <w:sz w:val="18"/>
                <w:szCs w:val="20"/>
                <w:lang w:bidi="ar-SA"/>
              </w:rPr>
            </w:pPr>
          </w:p>
        </w:tc>
      </w:tr>
      <w:tr w:rsidR="00DC1795" w:rsidRPr="000B7CBF" w:rsidTr="00DC1795">
        <w:tc>
          <w:tcPr>
            <w:tcW w:w="2962" w:type="dxa"/>
          </w:tcPr>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Cíl relativní (např. % z cíle stanového evropskou směrnicí, % z průměru dosahované v dané skupině)</w:t>
            </w:r>
          </w:p>
        </w:tc>
        <w:tc>
          <w:tcPr>
            <w:tcW w:w="3071" w:type="dxa"/>
          </w:tcPr>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Jednoznačně definovaný</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Motivační</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Při správném nastavení umožní vždy existenci alespoň jednoho subjektu, s nímž nebude zahájeno správní řízení</w:t>
            </w:r>
          </w:p>
          <w:p w:rsidR="00DC1795" w:rsidRPr="00ED38E9" w:rsidRDefault="00DC1795" w:rsidP="00D20F57">
            <w:pPr>
              <w:keepNext/>
              <w:spacing w:before="120" w:after="120" w:line="240" w:lineRule="auto"/>
              <w:jc w:val="left"/>
              <w:rPr>
                <w:rFonts w:cs="Arial"/>
                <w:noProof w:val="0"/>
                <w:sz w:val="18"/>
                <w:szCs w:val="20"/>
                <w:lang w:bidi="ar-SA"/>
              </w:rPr>
            </w:pPr>
          </w:p>
        </w:tc>
        <w:tc>
          <w:tcPr>
            <w:tcW w:w="3071" w:type="dxa"/>
          </w:tcPr>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Nedostatečné motivace v případě příliš měkkého limitu.</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 xml:space="preserve">Tlak na </w:t>
            </w:r>
            <w:r w:rsidR="00B70640">
              <w:rPr>
                <w:rFonts w:cs="Arial"/>
                <w:noProof w:val="0"/>
                <w:sz w:val="18"/>
                <w:szCs w:val="20"/>
                <w:lang w:bidi="ar-SA"/>
              </w:rPr>
              <w:t xml:space="preserve">zpětný </w:t>
            </w:r>
            <w:r w:rsidR="00B70640" w:rsidRPr="00ED38E9">
              <w:rPr>
                <w:rFonts w:cs="Arial"/>
                <w:noProof w:val="0"/>
                <w:sz w:val="18"/>
                <w:szCs w:val="20"/>
                <w:lang w:bidi="ar-SA"/>
              </w:rPr>
              <w:t>odběr</w:t>
            </w:r>
            <w:r w:rsidRPr="00ED38E9">
              <w:rPr>
                <w:rFonts w:cs="Arial"/>
                <w:noProof w:val="0"/>
                <w:sz w:val="18"/>
                <w:szCs w:val="20"/>
                <w:lang w:bidi="ar-SA"/>
              </w:rPr>
              <w:t xml:space="preserve"> vedoucí k možné „manipulaci“ s údaji </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Nezohledňuje možnou cyklicitu ekonomiky a změnu podmínek na trhu</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 xml:space="preserve">V případě sankce ze strany EU nejednoznačná možnost přenesení na povinné subjekty. </w:t>
            </w:r>
          </w:p>
        </w:tc>
      </w:tr>
      <w:tr w:rsidR="00DC1795" w:rsidRPr="000B7CBF" w:rsidTr="00DC1795">
        <w:tc>
          <w:tcPr>
            <w:tcW w:w="2962" w:type="dxa"/>
          </w:tcPr>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 xml:space="preserve">Střednědobý časový aspekt (posuzování na základě delšího časového horizontu např. průměr z posledních tří let) </w:t>
            </w:r>
          </w:p>
        </w:tc>
        <w:tc>
          <w:tcPr>
            <w:tcW w:w="3071" w:type="dxa"/>
          </w:tcPr>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 xml:space="preserve">Alespoň částečně zohledňuje možnou cyklicitu ekonomiky a změnu podmínek na trhu </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Alespoň minimální motivace krátkodobě přeplňovat cíle z důvodu nejistoty spojené s plněním kvót v budoucnosti</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Umožňuje lepší adaptaci ze strany povinných subjektů</w:t>
            </w:r>
          </w:p>
        </w:tc>
        <w:tc>
          <w:tcPr>
            <w:tcW w:w="3071" w:type="dxa"/>
          </w:tcPr>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Střednědobost může vést ke krátkodobému snížení motivace</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V rámci střednědobosti kritéria mohou KS neplnící svoji roli působit na trhu déle (max. dobu horizontu)</w:t>
            </w:r>
          </w:p>
          <w:p w:rsidR="00DC1795" w:rsidRPr="00ED38E9" w:rsidRDefault="00DC1795" w:rsidP="00D20F57">
            <w:pPr>
              <w:keepNext/>
              <w:spacing w:before="120" w:after="120" w:line="240" w:lineRule="auto"/>
              <w:jc w:val="left"/>
              <w:rPr>
                <w:rFonts w:cs="Arial"/>
                <w:noProof w:val="0"/>
                <w:sz w:val="18"/>
                <w:szCs w:val="20"/>
                <w:lang w:bidi="ar-SA"/>
              </w:rPr>
            </w:pPr>
            <w:r w:rsidRPr="00ED38E9">
              <w:rPr>
                <w:rFonts w:cs="Arial"/>
                <w:noProof w:val="0"/>
                <w:sz w:val="18"/>
                <w:szCs w:val="20"/>
                <w:lang w:bidi="ar-SA"/>
              </w:rPr>
              <w:t>V případě sankce ze strany EU obtížnější přenesení sankce na povinné subjekty</w:t>
            </w:r>
          </w:p>
        </w:tc>
      </w:tr>
    </w:tbl>
    <w:p w:rsidR="00DC1795" w:rsidRPr="00ED38E9" w:rsidRDefault="00DC1795" w:rsidP="00434A2F">
      <w:pPr>
        <w:rPr>
          <w:rFonts w:cs="Arial"/>
          <w:lang w:eastAsia="cs-CZ"/>
        </w:rPr>
      </w:pPr>
      <w:r w:rsidRPr="00ED38E9">
        <w:rPr>
          <w:rFonts w:cs="Arial"/>
        </w:rPr>
        <w:t>Zdroj</w:t>
      </w:r>
      <w:r w:rsidRPr="00ED38E9">
        <w:rPr>
          <w:rFonts w:cs="Arial"/>
          <w:lang w:eastAsia="cs-CZ"/>
        </w:rPr>
        <w:t>: EEIP</w:t>
      </w:r>
    </w:p>
    <w:p w:rsidR="00DC1795" w:rsidRPr="00ED38E9" w:rsidRDefault="00DC1795" w:rsidP="00B20272">
      <w:pPr>
        <w:widowControl w:val="0"/>
        <w:spacing w:before="120" w:after="120"/>
        <w:rPr>
          <w:rFonts w:eastAsia="Calibri" w:cs="Arial"/>
          <w:noProof w:val="0"/>
          <w:szCs w:val="22"/>
          <w:lang w:bidi="ar-SA"/>
        </w:rPr>
      </w:pPr>
      <w:r w:rsidRPr="00ED38E9">
        <w:rPr>
          <w:rFonts w:eastAsia="Calibri" w:cs="Arial"/>
          <w:noProof w:val="0"/>
          <w:szCs w:val="22"/>
          <w:lang w:bidi="ar-SA"/>
        </w:rPr>
        <w:t xml:space="preserve">Z výše uvedené tabulky a na základě analýzy rizik a přínosů doporučujeme v případě volby Varianty 1 kombinaci absolutního cíle s cílem relativním, obecně sledovanými ve střednědobém horizontu. Zároveň doporučujeme včas komunikovat volbu typu výpočtu cíle úrovně zpětného odběru a odděleného sběru OEEZ ze strany MŽP k povinným subjektům pro období od 1. 1. 2019 (65 % průměrné hmotnosti zařízení uvedených na trh v předešlých třech letech nebo 85 % vyprodukovaných OEEZ), tak aby povinné subjekty měly dostatečně dlouhou dobu na adaptaci. Včasná komunikace zvolené metody výpočtu cíle přispěje k vyšší právní jistotě a zároveň významně sníží riziko případného nenaplnění cíle v důsledku existence nejasnosti ohledně volby výpočtu cíle. </w:t>
      </w:r>
    </w:p>
    <w:p w:rsidR="00DC1795" w:rsidRPr="00ED38E9" w:rsidRDefault="00DC1795" w:rsidP="00B20272">
      <w:pPr>
        <w:widowControl w:val="0"/>
        <w:spacing w:before="120" w:after="120"/>
        <w:rPr>
          <w:rFonts w:eastAsia="Calibri" w:cs="Arial"/>
          <w:noProof w:val="0"/>
          <w:szCs w:val="22"/>
          <w:lang w:bidi="ar-SA"/>
        </w:rPr>
      </w:pPr>
      <w:r w:rsidRPr="00ED38E9">
        <w:rPr>
          <w:rFonts w:eastAsia="Calibri" w:cs="Arial"/>
          <w:noProof w:val="0"/>
          <w:szCs w:val="22"/>
          <w:lang w:bidi="ar-SA"/>
        </w:rPr>
        <w:t xml:space="preserve">Zároveň v případě volby varianty 1 a stanovení podmínky na základě cíle sběru doporučujeme stanovovat cíle s přihlédnutím ke specifikům jednotlivých skupin, nikoliv jednotně pro všechny skupiny. </w:t>
      </w:r>
    </w:p>
    <w:p w:rsidR="00DC1795" w:rsidRPr="00ED38E9" w:rsidRDefault="00DC1795" w:rsidP="00B20272">
      <w:pPr>
        <w:widowControl w:val="0"/>
        <w:spacing w:before="120" w:after="120"/>
        <w:rPr>
          <w:rFonts w:eastAsia="Calibri" w:cs="Arial"/>
          <w:noProof w:val="0"/>
          <w:szCs w:val="22"/>
          <w:lang w:bidi="ar-SA"/>
        </w:rPr>
      </w:pPr>
      <w:r w:rsidRPr="00ED38E9">
        <w:rPr>
          <w:rFonts w:eastAsia="Calibri" w:cs="Arial"/>
          <w:noProof w:val="0"/>
          <w:szCs w:val="22"/>
          <w:lang w:bidi="ar-SA"/>
        </w:rPr>
        <w:t xml:space="preserve">Stejně jako pro některé předchozí body je i zde velmi důležitá kvalitní evidence a možnost křížové kontroly, což by mělo významně snižovat riziko manipulace s údaji a uvádění nepravdivých či zkreslených údajů. </w:t>
      </w:r>
    </w:p>
    <w:p w:rsidR="00DC1795" w:rsidRPr="00ED38E9" w:rsidRDefault="00DC1795" w:rsidP="0011664A">
      <w:pPr>
        <w:pStyle w:val="Nadpis2"/>
        <w:rPr>
          <w:rFonts w:eastAsia="Calibri"/>
          <w:lang w:bidi="ar-SA"/>
        </w:rPr>
      </w:pPr>
      <w:bookmarkStart w:id="84" w:name="_Toc441759869"/>
      <w:r w:rsidRPr="00ED38E9">
        <w:rPr>
          <w:rFonts w:eastAsia="Calibri"/>
          <w:lang w:bidi="ar-SA"/>
        </w:rPr>
        <w:lastRenderedPageBreak/>
        <w:t>Identifikace nákladů a přínosů</w:t>
      </w:r>
      <w:bookmarkEnd w:id="84"/>
    </w:p>
    <w:p w:rsidR="00DC1795" w:rsidRPr="00ED38E9" w:rsidRDefault="00DC1795" w:rsidP="00B20272">
      <w:pPr>
        <w:widowControl w:val="0"/>
        <w:spacing w:before="120" w:after="120"/>
        <w:rPr>
          <w:rFonts w:eastAsia="Calibri" w:cs="Arial"/>
          <w:noProof w:val="0"/>
          <w:szCs w:val="22"/>
          <w:lang w:bidi="ar-SA"/>
        </w:rPr>
      </w:pPr>
      <w:r w:rsidRPr="00ED38E9">
        <w:rPr>
          <w:rFonts w:eastAsia="Calibri" w:cs="Arial"/>
          <w:noProof w:val="0"/>
          <w:szCs w:val="22"/>
          <w:lang w:bidi="ar-SA"/>
        </w:rPr>
        <w:t>Varianta 0: Nepředstavuje žádné dodatečné náklady či přínosy pro zúčastněné subjekty.</w:t>
      </w:r>
    </w:p>
    <w:p w:rsidR="00DC1795" w:rsidRPr="00ED38E9" w:rsidRDefault="00DC1795" w:rsidP="00B20272">
      <w:pPr>
        <w:keepNext/>
        <w:widowControl w:val="0"/>
        <w:spacing w:before="120" w:after="120"/>
        <w:rPr>
          <w:rFonts w:eastAsia="Calibri" w:cs="Arial"/>
          <w:b/>
          <w:noProof w:val="0"/>
          <w:szCs w:val="22"/>
          <w:lang w:bidi="ar-SA"/>
        </w:rPr>
      </w:pPr>
      <w:r w:rsidRPr="00ED38E9">
        <w:rPr>
          <w:rFonts w:eastAsia="Calibri" w:cs="Arial"/>
          <w:b/>
          <w:noProof w:val="0"/>
          <w:szCs w:val="22"/>
          <w:lang w:bidi="ar-SA"/>
        </w:rPr>
        <w:t>Varianta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eastAsia="cs-CZ" w:bidi="ar-SA"/>
              </w:rPr>
              <w:t>Státní správa</w:t>
            </w:r>
          </w:p>
        </w:tc>
      </w:tr>
      <w:tr w:rsidR="005B5507" w:rsidRPr="000B7CBF" w:rsidTr="00ED38E9">
        <w:trPr>
          <w:trHeight w:val="901"/>
        </w:trPr>
        <w:tc>
          <w:tcPr>
            <w:tcW w:w="9180" w:type="dxa"/>
            <w:shd w:val="clear" w:color="auto" w:fill="auto"/>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Transparentnost systému, pokles nákladů na případné soudní spory plynoucí z nejednoznačnosti současné právní úpravy, optimalizace sběru, jistá forma sankcí pro KS</w:t>
            </w:r>
          </w:p>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Náklady na správní řízení, náklady na monitorování plnění povinností KS</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eastAsia="cs-CZ" w:bidi="ar-SA"/>
              </w:rPr>
              <w:t>Stávající kolektivní systémy/výrobci</w:t>
            </w:r>
          </w:p>
        </w:tc>
      </w:tr>
      <w:tr w:rsidR="005B5507" w:rsidRPr="000B7CBF" w:rsidTr="00ED38E9">
        <w:trPr>
          <w:trHeight w:val="722"/>
        </w:trPr>
        <w:tc>
          <w:tcPr>
            <w:tcW w:w="9180" w:type="dxa"/>
            <w:shd w:val="clear" w:color="auto" w:fill="auto"/>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noProof w:val="0"/>
                <w:sz w:val="18"/>
                <w:szCs w:val="20"/>
                <w:lang w:bidi="ar-SA"/>
              </w:rPr>
              <w:t xml:space="preserve"> – Vyšší právní jistota a transparentnost</w:t>
            </w:r>
          </w:p>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Náklady spojené s přípravou podkladů pro správní řízení</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eastAsia="cs-CZ" w:bidi="ar-SA"/>
              </w:rPr>
              <w:t>Nové kolektivní systémy/výrobci</w:t>
            </w:r>
          </w:p>
        </w:tc>
      </w:tr>
      <w:tr w:rsidR="005B5507" w:rsidRPr="000B7CBF" w:rsidTr="00ED38E9">
        <w:trPr>
          <w:trHeight w:val="710"/>
        </w:trPr>
        <w:tc>
          <w:tcPr>
            <w:tcW w:w="9180" w:type="dxa"/>
            <w:shd w:val="clear" w:color="auto" w:fill="auto"/>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Vyjasnění právních požadavků pro vstup na trh, vyšší právní jistota, transparentnost</w:t>
            </w:r>
          </w:p>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Náklady spojené s přípravou podkladů pro správní řízení</w:t>
            </w:r>
          </w:p>
        </w:tc>
      </w:tr>
      <w:tr w:rsidR="005B5507" w:rsidRPr="000B7CBF" w:rsidTr="00ED38E9">
        <w:trPr>
          <w:trHeight w:val="397"/>
        </w:trPr>
        <w:tc>
          <w:tcPr>
            <w:tcW w:w="9180" w:type="dxa"/>
            <w:shd w:val="clear" w:color="auto" w:fill="auto"/>
            <w:vAlign w:val="center"/>
          </w:tcPr>
          <w:p w:rsidR="00DC1795" w:rsidRPr="00ED38E9" w:rsidRDefault="00DC1795" w:rsidP="00D20F57">
            <w:pPr>
              <w:keepNext/>
              <w:spacing w:before="20" w:after="20"/>
              <w:jc w:val="left"/>
              <w:rPr>
                <w:rFonts w:eastAsia="MS Mincho" w:cs="Arial"/>
                <w:b/>
                <w:noProof w:val="0"/>
                <w:sz w:val="18"/>
                <w:szCs w:val="20"/>
                <w:lang w:bidi="ar-SA"/>
              </w:rPr>
            </w:pPr>
            <w:r w:rsidRPr="00ED38E9">
              <w:rPr>
                <w:rFonts w:eastAsia="MS Mincho" w:cs="Arial"/>
                <w:b/>
                <w:noProof w:val="0"/>
                <w:sz w:val="18"/>
                <w:szCs w:val="20"/>
                <w:lang w:eastAsia="cs-CZ" w:bidi="ar-SA"/>
              </w:rPr>
              <w:t>Veřejnost</w:t>
            </w:r>
          </w:p>
        </w:tc>
      </w:tr>
      <w:tr w:rsidR="005B5507" w:rsidRPr="000B7CBF" w:rsidTr="00ED38E9">
        <w:trPr>
          <w:trHeight w:val="584"/>
        </w:trPr>
        <w:tc>
          <w:tcPr>
            <w:tcW w:w="9180" w:type="dxa"/>
            <w:shd w:val="clear" w:color="auto" w:fill="auto"/>
            <w:vAlign w:val="center"/>
          </w:tcPr>
          <w:p w:rsidR="00DC1795" w:rsidRPr="00ED38E9" w:rsidRDefault="00DC1795" w:rsidP="00D20F57">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Vyšší právní jistota, transparentnost, motivační prvek k vyšší úrovni zpětného odběru, lepší přístupnost sběrových míst</w:t>
            </w:r>
          </w:p>
        </w:tc>
      </w:tr>
    </w:tbl>
    <w:p w:rsidR="00DC1795" w:rsidRPr="00ED38E9" w:rsidRDefault="00DC1795" w:rsidP="00514FB9">
      <w:pPr>
        <w:widowControl w:val="0"/>
        <w:spacing w:before="120" w:after="120"/>
        <w:rPr>
          <w:rFonts w:eastAsia="Calibri" w:cs="Arial"/>
          <w:noProof w:val="0"/>
          <w:szCs w:val="22"/>
          <w:lang w:bidi="ar-SA"/>
        </w:rPr>
      </w:pPr>
      <w:r w:rsidRPr="00ED38E9">
        <w:rPr>
          <w:rFonts w:eastAsia="Calibri" w:cs="Arial"/>
          <w:noProof w:val="0"/>
          <w:szCs w:val="22"/>
          <w:lang w:bidi="ar-SA"/>
        </w:rPr>
        <w:t>S ohledem na obtížnou měřitelnost výše uvedených přínosů budeme vyčíslovat pouze náklady spojené s Variantou 1 – náklady zúčastněných subjektů spojené se správním řízením. Níže uvedené tabulky představují maximální možné náklady pro dotčené subjekty s ohledem na jeden kalendářní rok, při předpokladu zahájení správního řízení se všemi KS.</w:t>
      </w:r>
    </w:p>
    <w:p w:rsidR="00DC1795" w:rsidRPr="00ED38E9" w:rsidRDefault="00DC1795" w:rsidP="00514FB9">
      <w:pPr>
        <w:widowControl w:val="0"/>
        <w:spacing w:before="120" w:after="120"/>
        <w:rPr>
          <w:rFonts w:eastAsia="Calibri" w:cs="Arial"/>
          <w:noProof w:val="0"/>
          <w:szCs w:val="22"/>
          <w:lang w:bidi="ar-SA"/>
        </w:rPr>
      </w:pPr>
      <w:r w:rsidRPr="00ED38E9">
        <w:rPr>
          <w:rFonts w:eastAsia="Calibri" w:cs="Arial"/>
          <w:noProof w:val="0"/>
          <w:szCs w:val="22"/>
          <w:lang w:bidi="ar-SA"/>
        </w:rPr>
        <w:t>Náklady na přípravu podkladů pro správní řízení k odebrání oprávnění na straně KS nejsme schopni přesně určit s ohledem na různou časovou náročnost dle důvodu zahájení správního řízení. Časová náročnost na vytvoření dokumentace a předání odpovědnému orgánu je odhadována až na 100 hodin (2,5 pracovní týdne) a dále pak cca 15 hodin spojených s projednáním. Jedná se pouze o hrubý odhad, který se může lišit dle velikosti subjektu, potřeby komunikace a dalších parametrů, které ovlivňují časovou náročnost</w:t>
      </w: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1559"/>
      </w:tblGrid>
      <w:tr w:rsidR="00C758C9" w:rsidRPr="000B7CBF" w:rsidTr="00ED38E9">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Náklady kolektivních systémů na správní řízení</w:t>
            </w:r>
          </w:p>
        </w:tc>
        <w:tc>
          <w:tcPr>
            <w:tcW w:w="1559" w:type="dxa"/>
            <w:shd w:val="clear" w:color="auto" w:fill="auto"/>
          </w:tcPr>
          <w:p w:rsidR="00DC1795" w:rsidRPr="00ED38E9" w:rsidRDefault="00DC1795" w:rsidP="00F35E4A">
            <w:pPr>
              <w:keepNext/>
              <w:spacing w:before="20" w:after="20"/>
              <w:jc w:val="left"/>
              <w:rPr>
                <w:rFonts w:eastAsia="MS Mincho" w:cs="Arial"/>
                <w:b/>
                <w:noProof w:val="0"/>
                <w:sz w:val="18"/>
                <w:szCs w:val="20"/>
                <w:lang w:bidi="ar-SA"/>
              </w:rPr>
            </w:pPr>
          </w:p>
        </w:tc>
      </w:tr>
      <w:tr w:rsidR="00C758C9"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Počet subjektů (ks)</w:t>
            </w:r>
          </w:p>
        </w:tc>
        <w:tc>
          <w:tcPr>
            <w:tcW w:w="1559" w:type="dxa"/>
            <w:shd w:val="clear" w:color="auto" w:fill="auto"/>
            <w:vAlign w:val="center"/>
          </w:tcPr>
          <w:p w:rsidR="00DC1795" w:rsidRPr="00ED38E9" w:rsidRDefault="00DC1795" w:rsidP="007A0D35">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15</w:t>
            </w:r>
          </w:p>
        </w:tc>
      </w:tr>
      <w:tr w:rsidR="00C758C9"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Mzdové a režijní náklady (Kč/hod)*</w:t>
            </w:r>
          </w:p>
        </w:tc>
        <w:tc>
          <w:tcPr>
            <w:tcW w:w="1559" w:type="dxa"/>
            <w:shd w:val="clear" w:color="auto" w:fill="auto"/>
            <w:vAlign w:val="center"/>
          </w:tcPr>
          <w:p w:rsidR="00DC1795" w:rsidRPr="00ED38E9" w:rsidRDefault="00DC1795" w:rsidP="007A0D35">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400</w:t>
            </w:r>
          </w:p>
        </w:tc>
      </w:tr>
      <w:tr w:rsidR="00C758C9"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Časová náročnost na přípravu podkladů pro 1 správní řízení (hod/správní řízení)</w:t>
            </w:r>
          </w:p>
        </w:tc>
        <w:tc>
          <w:tcPr>
            <w:tcW w:w="1559" w:type="dxa"/>
            <w:shd w:val="clear" w:color="auto" w:fill="auto"/>
            <w:vAlign w:val="center"/>
          </w:tcPr>
          <w:p w:rsidR="00DC1795" w:rsidRPr="00ED38E9" w:rsidRDefault="00DC1795" w:rsidP="007A0D35">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100</w:t>
            </w:r>
          </w:p>
        </w:tc>
      </w:tr>
      <w:tr w:rsidR="00C758C9"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Časová náročnost spojená s projednáváním (hod/správní řízení)</w:t>
            </w:r>
          </w:p>
        </w:tc>
        <w:tc>
          <w:tcPr>
            <w:tcW w:w="1559" w:type="dxa"/>
            <w:shd w:val="clear" w:color="auto" w:fill="auto"/>
            <w:vAlign w:val="center"/>
          </w:tcPr>
          <w:p w:rsidR="00DC1795" w:rsidRPr="00ED38E9" w:rsidRDefault="00DC1795" w:rsidP="007A0D35">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15</w:t>
            </w:r>
          </w:p>
        </w:tc>
      </w:tr>
      <w:tr w:rsidR="00C758C9"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noProof w:val="0"/>
                <w:sz w:val="18"/>
                <w:szCs w:val="20"/>
                <w:lang w:bidi="ar-SA"/>
              </w:rPr>
            </w:pPr>
            <w:r w:rsidRPr="00ED38E9">
              <w:rPr>
                <w:rFonts w:eastAsia="MS Mincho" w:cs="Arial"/>
                <w:noProof w:val="0"/>
                <w:sz w:val="18"/>
                <w:szCs w:val="20"/>
                <w:lang w:bidi="ar-SA"/>
              </w:rPr>
              <w:t>Mzdové a režijní náklady na správní řízení (Kč/správní řízení)</w:t>
            </w:r>
          </w:p>
        </w:tc>
        <w:tc>
          <w:tcPr>
            <w:tcW w:w="1559" w:type="dxa"/>
            <w:shd w:val="clear" w:color="auto" w:fill="auto"/>
            <w:vAlign w:val="center"/>
          </w:tcPr>
          <w:p w:rsidR="00DC1795" w:rsidRPr="00ED38E9" w:rsidRDefault="00DC1795" w:rsidP="007A0D35">
            <w:pPr>
              <w:keepNext/>
              <w:spacing w:before="20" w:after="20"/>
              <w:jc w:val="right"/>
              <w:rPr>
                <w:rFonts w:eastAsia="MS Mincho" w:cs="Arial"/>
                <w:noProof w:val="0"/>
                <w:sz w:val="18"/>
                <w:szCs w:val="20"/>
                <w:lang w:bidi="ar-SA"/>
              </w:rPr>
            </w:pPr>
            <w:r w:rsidRPr="00ED38E9">
              <w:rPr>
                <w:rFonts w:eastAsia="MS Mincho" w:cs="Arial"/>
                <w:noProof w:val="0"/>
                <w:sz w:val="18"/>
                <w:szCs w:val="20"/>
                <w:lang w:bidi="ar-SA"/>
              </w:rPr>
              <w:t>46 000</w:t>
            </w:r>
          </w:p>
        </w:tc>
      </w:tr>
      <w:tr w:rsidR="00C758C9"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b/>
                <w:noProof w:val="0"/>
                <w:sz w:val="18"/>
                <w:szCs w:val="20"/>
                <w:lang w:bidi="ar-SA"/>
              </w:rPr>
            </w:pPr>
            <w:r w:rsidRPr="00ED38E9">
              <w:rPr>
                <w:rFonts w:eastAsia="MS Mincho" w:cs="Arial"/>
                <w:b/>
                <w:noProof w:val="0"/>
                <w:sz w:val="18"/>
                <w:szCs w:val="20"/>
                <w:lang w:bidi="ar-SA"/>
              </w:rPr>
              <w:t>Odhadované náklady při počtu maximálního počtu správních řízení 15 (Kč)</w:t>
            </w:r>
          </w:p>
        </w:tc>
        <w:tc>
          <w:tcPr>
            <w:tcW w:w="1559" w:type="dxa"/>
            <w:shd w:val="clear" w:color="auto" w:fill="auto"/>
            <w:vAlign w:val="center"/>
          </w:tcPr>
          <w:p w:rsidR="00DC1795" w:rsidRPr="00ED38E9" w:rsidRDefault="00DC1795" w:rsidP="007A0D35">
            <w:pPr>
              <w:keepNext/>
              <w:spacing w:before="20" w:after="20"/>
              <w:jc w:val="right"/>
              <w:rPr>
                <w:rFonts w:eastAsia="MS Mincho" w:cs="Arial"/>
                <w:b/>
                <w:noProof w:val="0"/>
                <w:sz w:val="18"/>
                <w:szCs w:val="20"/>
                <w:lang w:bidi="ar-SA"/>
              </w:rPr>
            </w:pPr>
            <w:r w:rsidRPr="00ED38E9">
              <w:rPr>
                <w:rFonts w:eastAsia="MS Mincho" w:cs="Arial"/>
                <w:b/>
                <w:noProof w:val="0"/>
                <w:sz w:val="18"/>
                <w:szCs w:val="20"/>
                <w:lang w:bidi="ar-SA"/>
              </w:rPr>
              <w:t>690 000</w:t>
            </w:r>
          </w:p>
        </w:tc>
      </w:tr>
    </w:tbl>
    <w:p w:rsidR="00DC1795" w:rsidRPr="00ED38E9" w:rsidRDefault="00DC1795" w:rsidP="00434A2F">
      <w:pPr>
        <w:rPr>
          <w:rFonts w:cs="Arial"/>
        </w:rPr>
      </w:pPr>
      <w:r w:rsidRPr="00ED38E9">
        <w:rPr>
          <w:rFonts w:cs="Arial"/>
        </w:rPr>
        <w:t xml:space="preserve">*Vychází z kvalifikovaného odhadu nákladů pro zpracování zohledňující zapojení jak administrativních pracovníků, tak i vedení KS do procesu </w:t>
      </w:r>
    </w:p>
    <w:p w:rsidR="00A70303" w:rsidRPr="00ED38E9" w:rsidRDefault="00A70303" w:rsidP="00434A2F">
      <w:pPr>
        <w:rPr>
          <w:rFonts w:cs="Arial"/>
        </w:rPr>
      </w:pPr>
    </w:p>
    <w:p w:rsidR="00A70303" w:rsidRPr="00ED38E9" w:rsidRDefault="00A70303" w:rsidP="00434A2F">
      <w:pPr>
        <w:rPr>
          <w:rFonts w:cs="Arial"/>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63"/>
        <w:gridCol w:w="1559"/>
      </w:tblGrid>
      <w:tr w:rsidR="00DC1795" w:rsidRPr="000B7CBF" w:rsidTr="00ED38E9">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b/>
                <w:noProof w:val="0"/>
                <w:sz w:val="18"/>
                <w:szCs w:val="20"/>
                <w:lang w:bidi="ar-SA"/>
              </w:rPr>
            </w:pPr>
            <w:r w:rsidRPr="00ED38E9">
              <w:rPr>
                <w:rFonts w:eastAsia="MS Mincho" w:cs="Arial"/>
                <w:b/>
                <w:noProof w:val="0"/>
                <w:sz w:val="18"/>
                <w:szCs w:val="20"/>
                <w:lang w:eastAsia="cs-CZ" w:bidi="ar-SA"/>
              </w:rPr>
              <w:lastRenderedPageBreak/>
              <w:t>Náklady MŽP správní řízení</w:t>
            </w:r>
          </w:p>
        </w:tc>
        <w:tc>
          <w:tcPr>
            <w:tcW w:w="1559" w:type="dxa"/>
            <w:shd w:val="clear" w:color="auto" w:fill="auto"/>
          </w:tcPr>
          <w:p w:rsidR="00DC1795" w:rsidRPr="00ED38E9" w:rsidRDefault="00DC1795" w:rsidP="00F35E4A">
            <w:pPr>
              <w:keepNext/>
              <w:spacing w:before="20" w:after="20"/>
              <w:jc w:val="left"/>
              <w:rPr>
                <w:rFonts w:eastAsia="MS Mincho" w:cs="Arial"/>
                <w:b/>
                <w:noProof w:val="0"/>
                <w:color w:val="FFFFFF"/>
                <w:sz w:val="18"/>
                <w:szCs w:val="20"/>
                <w:lang w:eastAsia="cs-CZ" w:bidi="ar-SA"/>
              </w:rPr>
            </w:pPr>
          </w:p>
        </w:tc>
      </w:tr>
      <w:tr w:rsidR="00DC1795"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noProof w:val="0"/>
                <w:color w:val="000000"/>
                <w:sz w:val="18"/>
                <w:szCs w:val="20"/>
                <w:lang w:bidi="ar-SA"/>
              </w:rPr>
            </w:pPr>
            <w:r w:rsidRPr="00ED38E9">
              <w:rPr>
                <w:rFonts w:eastAsia="MS Mincho" w:cs="Arial"/>
                <w:noProof w:val="0"/>
                <w:color w:val="000000"/>
                <w:sz w:val="18"/>
                <w:szCs w:val="20"/>
                <w:lang w:bidi="ar-SA"/>
              </w:rPr>
              <w:t>Počet subjektů (ks)</w:t>
            </w:r>
          </w:p>
        </w:tc>
        <w:tc>
          <w:tcPr>
            <w:tcW w:w="1559" w:type="dxa"/>
            <w:shd w:val="clear" w:color="auto" w:fill="auto"/>
            <w:vAlign w:val="center"/>
          </w:tcPr>
          <w:p w:rsidR="00DC1795" w:rsidRPr="00ED38E9" w:rsidRDefault="00DC1795" w:rsidP="007A0D35">
            <w:pPr>
              <w:keepNext/>
              <w:spacing w:before="20" w:after="20"/>
              <w:jc w:val="right"/>
              <w:rPr>
                <w:rFonts w:eastAsia="MS Mincho" w:cs="Arial"/>
                <w:noProof w:val="0"/>
                <w:color w:val="000000"/>
                <w:sz w:val="18"/>
                <w:szCs w:val="20"/>
                <w:lang w:bidi="ar-SA"/>
              </w:rPr>
            </w:pPr>
            <w:r w:rsidRPr="00ED38E9">
              <w:rPr>
                <w:rFonts w:eastAsia="MS Mincho" w:cs="Arial"/>
                <w:noProof w:val="0"/>
                <w:color w:val="000000"/>
                <w:sz w:val="18"/>
                <w:szCs w:val="20"/>
                <w:lang w:bidi="ar-SA"/>
              </w:rPr>
              <w:t>15</w:t>
            </w:r>
          </w:p>
        </w:tc>
      </w:tr>
      <w:tr w:rsidR="00DC1795"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noProof w:val="0"/>
                <w:color w:val="000000"/>
                <w:sz w:val="18"/>
                <w:szCs w:val="20"/>
                <w:lang w:bidi="ar-SA"/>
              </w:rPr>
            </w:pPr>
            <w:r w:rsidRPr="00ED38E9">
              <w:rPr>
                <w:rFonts w:eastAsia="MS Mincho" w:cs="Arial"/>
                <w:noProof w:val="0"/>
                <w:color w:val="000000"/>
                <w:sz w:val="18"/>
                <w:szCs w:val="20"/>
                <w:lang w:bidi="ar-SA"/>
              </w:rPr>
              <w:t>Mzdové a režijní náklady (Kč/hod)*</w:t>
            </w:r>
          </w:p>
        </w:tc>
        <w:tc>
          <w:tcPr>
            <w:tcW w:w="1559" w:type="dxa"/>
            <w:shd w:val="clear" w:color="auto" w:fill="auto"/>
            <w:vAlign w:val="center"/>
          </w:tcPr>
          <w:p w:rsidR="00DC1795" w:rsidRPr="00ED38E9" w:rsidRDefault="00DC1795" w:rsidP="007A0D35">
            <w:pPr>
              <w:keepNext/>
              <w:spacing w:before="20" w:after="20"/>
              <w:jc w:val="right"/>
              <w:rPr>
                <w:rFonts w:eastAsia="MS Mincho" w:cs="Arial"/>
                <w:noProof w:val="0"/>
                <w:color w:val="000000"/>
                <w:sz w:val="18"/>
                <w:szCs w:val="20"/>
                <w:lang w:bidi="ar-SA"/>
              </w:rPr>
            </w:pPr>
            <w:r w:rsidRPr="00ED38E9">
              <w:rPr>
                <w:rFonts w:eastAsia="MS Mincho" w:cs="Arial"/>
                <w:noProof w:val="0"/>
                <w:color w:val="000000"/>
                <w:sz w:val="18"/>
                <w:szCs w:val="20"/>
                <w:lang w:bidi="ar-SA"/>
              </w:rPr>
              <w:t>400</w:t>
            </w:r>
          </w:p>
        </w:tc>
      </w:tr>
      <w:tr w:rsidR="00DC1795" w:rsidRPr="000B7CBF" w:rsidTr="007A0D35">
        <w:trPr>
          <w:trHeight w:val="397"/>
        </w:trPr>
        <w:tc>
          <w:tcPr>
            <w:tcW w:w="6663" w:type="dxa"/>
            <w:shd w:val="clear" w:color="auto" w:fill="auto"/>
            <w:vAlign w:val="center"/>
          </w:tcPr>
          <w:p w:rsidR="00DC1795" w:rsidRPr="00ED38E9" w:rsidRDefault="00DC1795" w:rsidP="00F35E4A">
            <w:pPr>
              <w:keepNext/>
              <w:spacing w:before="20" w:after="20"/>
              <w:jc w:val="left"/>
              <w:rPr>
                <w:rFonts w:eastAsia="MS Mincho" w:cs="Arial"/>
                <w:noProof w:val="0"/>
                <w:color w:val="000000"/>
                <w:sz w:val="18"/>
                <w:szCs w:val="20"/>
                <w:lang w:bidi="ar-SA"/>
              </w:rPr>
            </w:pPr>
            <w:r w:rsidRPr="00ED38E9">
              <w:rPr>
                <w:rFonts w:eastAsia="MS Mincho" w:cs="Arial"/>
                <w:noProof w:val="0"/>
                <w:color w:val="000000"/>
                <w:sz w:val="18"/>
                <w:szCs w:val="20"/>
                <w:lang w:bidi="ar-SA"/>
              </w:rPr>
              <w:t>Časová náročnost na přípravu podkladů a projednávání pro 1 správní řízení (hod/správní řízení)</w:t>
            </w:r>
          </w:p>
        </w:tc>
        <w:tc>
          <w:tcPr>
            <w:tcW w:w="1559" w:type="dxa"/>
            <w:shd w:val="clear" w:color="auto" w:fill="auto"/>
            <w:vAlign w:val="center"/>
          </w:tcPr>
          <w:p w:rsidR="00DC1795" w:rsidRPr="00ED38E9" w:rsidRDefault="00DC1795" w:rsidP="007A0D35">
            <w:pPr>
              <w:keepNext/>
              <w:spacing w:before="20" w:after="20"/>
              <w:jc w:val="right"/>
              <w:rPr>
                <w:rFonts w:eastAsia="MS Mincho" w:cs="Arial"/>
                <w:noProof w:val="0"/>
                <w:color w:val="000000"/>
                <w:sz w:val="18"/>
                <w:szCs w:val="20"/>
                <w:lang w:bidi="ar-SA"/>
              </w:rPr>
            </w:pPr>
            <w:r w:rsidRPr="00ED38E9">
              <w:rPr>
                <w:rFonts w:eastAsia="MS Mincho" w:cs="Arial"/>
                <w:noProof w:val="0"/>
                <w:color w:val="000000"/>
                <w:sz w:val="18"/>
                <w:szCs w:val="20"/>
                <w:lang w:bidi="ar-SA"/>
              </w:rPr>
              <w:t>120</w:t>
            </w:r>
          </w:p>
        </w:tc>
      </w:tr>
      <w:tr w:rsidR="00DC1795" w:rsidRPr="000B7CBF" w:rsidTr="007A0D35">
        <w:trPr>
          <w:trHeight w:val="397"/>
        </w:trPr>
        <w:tc>
          <w:tcPr>
            <w:tcW w:w="6663" w:type="dxa"/>
            <w:shd w:val="clear" w:color="auto" w:fill="auto"/>
            <w:vAlign w:val="center"/>
          </w:tcPr>
          <w:p w:rsidR="00DC1795" w:rsidRPr="00ED38E9" w:rsidRDefault="00DC1795" w:rsidP="00F35E4A">
            <w:pPr>
              <w:spacing w:before="20" w:after="20"/>
              <w:jc w:val="left"/>
              <w:rPr>
                <w:rFonts w:eastAsia="MS Mincho" w:cs="Arial"/>
                <w:b/>
                <w:noProof w:val="0"/>
                <w:color w:val="000000"/>
                <w:sz w:val="18"/>
                <w:szCs w:val="20"/>
                <w:lang w:bidi="ar-SA"/>
              </w:rPr>
            </w:pPr>
            <w:r w:rsidRPr="00ED38E9">
              <w:rPr>
                <w:rFonts w:eastAsia="MS Mincho" w:cs="Arial"/>
                <w:b/>
                <w:noProof w:val="0"/>
                <w:color w:val="000000"/>
                <w:sz w:val="18"/>
                <w:szCs w:val="20"/>
                <w:lang w:bidi="ar-SA"/>
              </w:rPr>
              <w:t>Mzdové a režijní náklady na jedno správní řízení (Kč/správní řízení)</w:t>
            </w:r>
          </w:p>
        </w:tc>
        <w:tc>
          <w:tcPr>
            <w:tcW w:w="1559" w:type="dxa"/>
            <w:shd w:val="clear" w:color="auto" w:fill="auto"/>
            <w:vAlign w:val="center"/>
          </w:tcPr>
          <w:p w:rsidR="00DC1795" w:rsidRPr="00ED38E9" w:rsidRDefault="00DC1795" w:rsidP="007A0D35">
            <w:pPr>
              <w:spacing w:before="20" w:after="20"/>
              <w:jc w:val="right"/>
              <w:rPr>
                <w:rFonts w:eastAsia="MS Mincho" w:cs="Arial"/>
                <w:b/>
                <w:noProof w:val="0"/>
                <w:color w:val="000000"/>
                <w:sz w:val="18"/>
                <w:szCs w:val="20"/>
                <w:lang w:bidi="ar-SA"/>
              </w:rPr>
            </w:pPr>
            <w:r w:rsidRPr="00ED38E9">
              <w:rPr>
                <w:rFonts w:eastAsia="MS Mincho" w:cs="Arial"/>
                <w:b/>
                <w:noProof w:val="0"/>
                <w:color w:val="000000"/>
                <w:sz w:val="18"/>
                <w:szCs w:val="20"/>
                <w:lang w:bidi="ar-SA"/>
              </w:rPr>
              <w:t>48 000</w:t>
            </w:r>
          </w:p>
        </w:tc>
      </w:tr>
    </w:tbl>
    <w:p w:rsidR="00DC1795" w:rsidRPr="00ED38E9" w:rsidRDefault="00DC1795" w:rsidP="007A0D35">
      <w:pPr>
        <w:widowControl w:val="0"/>
        <w:spacing w:before="120" w:after="120"/>
        <w:rPr>
          <w:rFonts w:eastAsia="Calibri" w:cs="Arial"/>
          <w:noProof w:val="0"/>
          <w:szCs w:val="22"/>
          <w:lang w:bidi="ar-SA"/>
        </w:rPr>
      </w:pPr>
      <w:r w:rsidRPr="00ED38E9">
        <w:rPr>
          <w:rFonts w:eastAsia="Calibri" w:cs="Arial"/>
          <w:noProof w:val="0"/>
          <w:szCs w:val="22"/>
          <w:lang w:bidi="ar-SA"/>
        </w:rPr>
        <w:t>Očekáváme, že tento krok bude realizován zřídka. Náklady tohoto opatření by tak neměly přesáhnout výrazné výše. Nevyčíslitelným nákladem může být pouze určitá právní nejistota v případě, že nebudou striktně a jasně stanoveny podmínky odnětí autorizace.</w:t>
      </w:r>
    </w:p>
    <w:p w:rsidR="00A00F73" w:rsidRDefault="00DC1795" w:rsidP="00514FB9">
      <w:pPr>
        <w:widowControl w:val="0"/>
        <w:spacing w:before="120" w:after="120"/>
        <w:rPr>
          <w:rFonts w:eastAsia="Calibri" w:cs="Arial"/>
          <w:noProof w:val="0"/>
          <w:szCs w:val="22"/>
          <w:lang w:bidi="ar-SA"/>
        </w:rPr>
      </w:pPr>
      <w:r w:rsidRPr="00ED38E9">
        <w:rPr>
          <w:rFonts w:eastAsia="Calibri" w:cs="Arial"/>
          <w:noProof w:val="0"/>
          <w:szCs w:val="22"/>
          <w:lang w:bidi="ar-SA"/>
        </w:rPr>
        <w:t>Mimo výše uvedené náklady a přínosy Varianty 1 je dále třeba v případě jejího zavedení a současně ustanovení povinnosti, že místo zpětného odběru bude určené výrobcem (bude mít smlouvu s KS), započítat náklady spojené s rizikem obtížnějšího přístupu zpracovatelů ke komoditě v důsledku nemožnosti zřízení místa zpětného odběru bez souhlasu výrobce. Platí nicméně, že toto opatření může mít negativní vliv na individuální zpracovatele, na druhou stranu je však kompatibilní se systémem požadovaným Směrnicí</w:t>
      </w:r>
      <w:r w:rsidR="000953CA">
        <w:rPr>
          <w:rFonts w:eastAsia="Calibri" w:cs="Arial"/>
          <w:noProof w:val="0"/>
          <w:szCs w:val="22"/>
          <w:lang w:bidi="ar-SA"/>
        </w:rPr>
        <w:t xml:space="preserve"> OEEZ</w:t>
      </w:r>
      <w:r w:rsidRPr="00ED38E9">
        <w:rPr>
          <w:rFonts w:eastAsia="Calibri" w:cs="Arial"/>
          <w:noProof w:val="0"/>
          <w:szCs w:val="22"/>
          <w:lang w:bidi="ar-SA"/>
        </w:rPr>
        <w:t>, kdy odpovědnost za nakládání s OEEZ nese výrobce</w:t>
      </w:r>
      <w:r w:rsidR="00514FB9" w:rsidRPr="00ED38E9">
        <w:rPr>
          <w:rFonts w:eastAsia="Calibri" w:cs="Arial"/>
          <w:noProof w:val="0"/>
          <w:szCs w:val="22"/>
          <w:lang w:bidi="ar-SA"/>
        </w:rPr>
        <w:t>,</w:t>
      </w:r>
      <w:r w:rsidRPr="00ED38E9">
        <w:rPr>
          <w:rFonts w:eastAsia="Calibri" w:cs="Arial"/>
          <w:noProof w:val="0"/>
          <w:szCs w:val="22"/>
          <w:lang w:bidi="ar-SA"/>
        </w:rPr>
        <w:t xml:space="preserve"> a s variantou, že KS může být sankcionován odebráním oprávnění v případě neplnění podmínek stanovených zákonem, pokud jedna z těchto podmínek bude navázána na cíle sběru. V případě, že novou právní úpravou bude zaručena dostatečná a spolehlivá kontrola i kvality zpracování, a správně nastaveny jeho standardy, nemělo by toto opatření vést k nákladům ve formě špatně zpracovaného OEEZ.</w:t>
      </w:r>
    </w:p>
    <w:p w:rsidR="007E39E4" w:rsidRPr="006F5445" w:rsidRDefault="00A00F73" w:rsidP="006F5445">
      <w:pPr>
        <w:rPr>
          <w:rFonts w:eastAsia="Calibri"/>
          <w:lang w:bidi="ar-SA"/>
        </w:rPr>
      </w:pPr>
      <w:r>
        <w:rPr>
          <w:rFonts w:eastAsia="Calibri"/>
          <w:lang w:bidi="ar-SA"/>
        </w:rPr>
        <w:br w:type="page"/>
      </w:r>
    </w:p>
    <w:p w:rsidR="00A00F73" w:rsidRDefault="00A00F73" w:rsidP="006F5445">
      <w:pPr>
        <w:pStyle w:val="Titulek"/>
      </w:pPr>
      <w:r>
        <w:lastRenderedPageBreak/>
        <w:t xml:space="preserve">Tabulka </w:t>
      </w:r>
      <w:r w:rsidR="00381FB7">
        <w:fldChar w:fldCharType="begin"/>
      </w:r>
      <w:r>
        <w:instrText xml:space="preserve"> SEQ Tabulka \* ARABIC </w:instrText>
      </w:r>
      <w:r w:rsidR="00381FB7">
        <w:fldChar w:fldCharType="separate"/>
      </w:r>
      <w:r w:rsidR="00FD5E92">
        <w:t>39</w:t>
      </w:r>
      <w:r w:rsidR="00381FB7">
        <w:fldChar w:fldCharType="end"/>
      </w:r>
      <w:r>
        <w:t>: Souhrn nákladů a přínosů</w:t>
      </w:r>
    </w:p>
    <w:p w:rsidR="00A00F73" w:rsidRPr="00C17FCC" w:rsidRDefault="00A00F73"/>
    <w:tbl>
      <w:tblPr>
        <w:tblStyle w:val="Mkatabulky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A00F73" w:rsidRPr="00ED38E9" w:rsidTr="00AA3350">
        <w:trPr>
          <w:trHeight w:val="64"/>
          <w:jc w:val="center"/>
        </w:trPr>
        <w:tc>
          <w:tcPr>
            <w:tcW w:w="2419" w:type="dxa"/>
            <w:shd w:val="clear" w:color="auto" w:fill="B6B002"/>
            <w:vAlign w:val="center"/>
          </w:tcPr>
          <w:p w:rsidR="00A00F73" w:rsidRPr="00ED38E9" w:rsidRDefault="00A00F73" w:rsidP="00AA3350">
            <w:pPr>
              <w:spacing w:line="264" w:lineRule="auto"/>
              <w:jc w:val="center"/>
              <w:rPr>
                <w:rFonts w:cs="Arial"/>
                <w:b/>
                <w:noProof w:val="0"/>
                <w:sz w:val="20"/>
                <w:szCs w:val="20"/>
                <w:lang w:bidi="ar-SA"/>
              </w:rPr>
            </w:pPr>
          </w:p>
        </w:tc>
        <w:tc>
          <w:tcPr>
            <w:tcW w:w="3326" w:type="dxa"/>
            <w:shd w:val="clear" w:color="auto" w:fill="B6B002"/>
            <w:vAlign w:val="center"/>
          </w:tcPr>
          <w:p w:rsidR="00A00F73" w:rsidRPr="00ED38E9" w:rsidRDefault="00A00F73" w:rsidP="00AA3350">
            <w:pPr>
              <w:spacing w:line="264" w:lineRule="auto"/>
              <w:rPr>
                <w:rFonts w:cs="Arial"/>
                <w:b/>
                <w:noProof w:val="0"/>
                <w:sz w:val="20"/>
                <w:szCs w:val="20"/>
                <w:lang w:bidi="ar-SA"/>
              </w:rPr>
            </w:pPr>
            <w:r w:rsidRPr="00ED38E9">
              <w:rPr>
                <w:rFonts w:cs="Arial"/>
                <w:b/>
                <w:noProof w:val="0"/>
                <w:sz w:val="20"/>
                <w:szCs w:val="20"/>
                <w:lang w:bidi="ar-SA"/>
              </w:rPr>
              <w:t>Náklady</w:t>
            </w:r>
          </w:p>
        </w:tc>
        <w:tc>
          <w:tcPr>
            <w:tcW w:w="3327" w:type="dxa"/>
            <w:shd w:val="clear" w:color="auto" w:fill="B6B002"/>
            <w:vAlign w:val="center"/>
          </w:tcPr>
          <w:p w:rsidR="00A00F73" w:rsidRPr="00ED38E9" w:rsidRDefault="00A00F73" w:rsidP="00AA3350">
            <w:pPr>
              <w:spacing w:line="264" w:lineRule="auto"/>
              <w:rPr>
                <w:rFonts w:cs="Arial"/>
                <w:b/>
                <w:noProof w:val="0"/>
                <w:sz w:val="20"/>
                <w:szCs w:val="20"/>
                <w:lang w:bidi="ar-SA"/>
              </w:rPr>
            </w:pPr>
            <w:r w:rsidRPr="00ED38E9">
              <w:rPr>
                <w:rFonts w:cs="Arial"/>
                <w:b/>
                <w:noProof w:val="0"/>
                <w:sz w:val="20"/>
                <w:szCs w:val="20"/>
                <w:lang w:bidi="ar-SA"/>
              </w:rPr>
              <w:t>Přínosy</w:t>
            </w:r>
          </w:p>
        </w:tc>
      </w:tr>
    </w:tbl>
    <w:tbl>
      <w:tblPr>
        <w:tblStyle w:val="Mkatabulky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7E39E4" w:rsidRPr="007E39E4" w:rsidTr="007E39E4">
        <w:trPr>
          <w:trHeight w:val="64"/>
          <w:jc w:val="center"/>
        </w:trPr>
        <w:tc>
          <w:tcPr>
            <w:tcW w:w="9072" w:type="dxa"/>
            <w:gridSpan w:val="3"/>
            <w:shd w:val="clear" w:color="auto" w:fill="D9D9D9"/>
            <w:vAlign w:val="center"/>
          </w:tcPr>
          <w:p w:rsidR="007E39E4" w:rsidRPr="007E39E4" w:rsidRDefault="007E39E4" w:rsidP="007E39E4">
            <w:pPr>
              <w:spacing w:before="120" w:after="120"/>
              <w:rPr>
                <w:rFonts w:cs="Arial"/>
                <w:b/>
                <w:noProof w:val="0"/>
                <w:szCs w:val="22"/>
                <w:lang w:bidi="ar-SA"/>
              </w:rPr>
            </w:pPr>
            <w:r w:rsidRPr="007E39E4">
              <w:rPr>
                <w:rFonts w:cs="Arial"/>
                <w:b/>
                <w:szCs w:val="22"/>
                <w:lang w:bidi="ar-SA"/>
              </w:rPr>
              <w:t>Odebrání oprávnění k provozování KS</w:t>
            </w:r>
          </w:p>
        </w:tc>
      </w:tr>
      <w:tr w:rsidR="007E39E4" w:rsidRPr="007E39E4" w:rsidTr="007E39E4">
        <w:trPr>
          <w:trHeight w:val="64"/>
          <w:jc w:val="center"/>
        </w:trPr>
        <w:tc>
          <w:tcPr>
            <w:tcW w:w="2419" w:type="dxa"/>
            <w:shd w:val="clear" w:color="auto" w:fill="F2F2F2"/>
            <w:vAlign w:val="center"/>
          </w:tcPr>
          <w:p w:rsidR="007E39E4" w:rsidRPr="007E39E4" w:rsidRDefault="007E39E4" w:rsidP="007E39E4">
            <w:pPr>
              <w:spacing w:before="60" w:after="60" w:line="240" w:lineRule="auto"/>
              <w:jc w:val="left"/>
              <w:rPr>
                <w:rFonts w:cs="Arial"/>
                <w:sz w:val="20"/>
                <w:szCs w:val="20"/>
                <w:lang w:bidi="ar-SA"/>
              </w:rPr>
            </w:pPr>
            <w:r w:rsidRPr="007E39E4">
              <w:rPr>
                <w:rFonts w:cs="Arial"/>
                <w:sz w:val="20"/>
                <w:szCs w:val="20"/>
                <w:lang w:bidi="ar-SA"/>
              </w:rPr>
              <w:t>Varianta 0</w:t>
            </w:r>
          </w:p>
        </w:tc>
        <w:tc>
          <w:tcPr>
            <w:tcW w:w="3326" w:type="dxa"/>
            <w:shd w:val="clear" w:color="auto" w:fill="F2F2F2"/>
            <w:vAlign w:val="center"/>
          </w:tcPr>
          <w:p w:rsidR="007E39E4" w:rsidRPr="007E39E4" w:rsidRDefault="007E39E4" w:rsidP="007E39E4">
            <w:pPr>
              <w:spacing w:before="60" w:after="60" w:line="240" w:lineRule="auto"/>
              <w:jc w:val="left"/>
              <w:rPr>
                <w:rFonts w:cs="Arial"/>
                <w:noProof w:val="0"/>
                <w:sz w:val="20"/>
                <w:szCs w:val="20"/>
                <w:lang w:bidi="ar-SA"/>
              </w:rPr>
            </w:pPr>
            <w:r w:rsidRPr="007E39E4">
              <w:rPr>
                <w:rFonts w:cs="Arial"/>
                <w:noProof w:val="0"/>
                <w:sz w:val="20"/>
                <w:szCs w:val="20"/>
                <w:lang w:bidi="ar-SA"/>
              </w:rPr>
              <w:t>nulová varianta</w:t>
            </w:r>
          </w:p>
        </w:tc>
        <w:tc>
          <w:tcPr>
            <w:tcW w:w="3327" w:type="dxa"/>
            <w:shd w:val="clear" w:color="auto" w:fill="F2F2F2"/>
            <w:vAlign w:val="center"/>
          </w:tcPr>
          <w:p w:rsidR="007E39E4" w:rsidRPr="007E39E4" w:rsidRDefault="007E39E4" w:rsidP="007E39E4">
            <w:pPr>
              <w:spacing w:before="60" w:after="60" w:line="240" w:lineRule="auto"/>
              <w:jc w:val="left"/>
              <w:rPr>
                <w:rFonts w:cs="Arial"/>
                <w:noProof w:val="0"/>
                <w:sz w:val="20"/>
                <w:szCs w:val="20"/>
                <w:lang w:bidi="ar-SA"/>
              </w:rPr>
            </w:pPr>
            <w:r w:rsidRPr="007E39E4">
              <w:rPr>
                <w:rFonts w:cs="Arial"/>
                <w:noProof w:val="0"/>
                <w:sz w:val="20"/>
                <w:szCs w:val="20"/>
                <w:lang w:bidi="ar-SA"/>
              </w:rPr>
              <w:t>nulová varianta</w:t>
            </w:r>
          </w:p>
        </w:tc>
      </w:tr>
      <w:tr w:rsidR="007E39E4" w:rsidRPr="007E39E4" w:rsidTr="007E39E4">
        <w:trPr>
          <w:trHeight w:val="242"/>
          <w:jc w:val="center"/>
        </w:trPr>
        <w:tc>
          <w:tcPr>
            <w:tcW w:w="2419" w:type="dxa"/>
            <w:shd w:val="clear" w:color="auto" w:fill="D9D9D9"/>
            <w:vAlign w:val="center"/>
          </w:tcPr>
          <w:p w:rsidR="007E39E4" w:rsidRPr="007E39E4" w:rsidRDefault="007E39E4" w:rsidP="007E39E4">
            <w:pPr>
              <w:spacing w:before="60" w:after="60" w:line="240" w:lineRule="auto"/>
              <w:jc w:val="left"/>
              <w:rPr>
                <w:rFonts w:cs="Arial"/>
                <w:b/>
                <w:sz w:val="20"/>
                <w:szCs w:val="20"/>
                <w:u w:val="single"/>
                <w:lang w:bidi="ar-SA"/>
              </w:rPr>
            </w:pPr>
            <w:r w:rsidRPr="007E39E4">
              <w:rPr>
                <w:rFonts w:cs="Arial"/>
                <w:b/>
                <w:sz w:val="20"/>
                <w:szCs w:val="20"/>
                <w:u w:val="single"/>
                <w:lang w:bidi="ar-SA"/>
              </w:rPr>
              <w:t>Varianta 1</w:t>
            </w:r>
          </w:p>
        </w:tc>
        <w:tc>
          <w:tcPr>
            <w:tcW w:w="3326" w:type="dxa"/>
            <w:shd w:val="clear" w:color="auto" w:fill="D9D9D9"/>
            <w:vAlign w:val="center"/>
          </w:tcPr>
          <w:p w:rsidR="007E39E4" w:rsidRPr="007E39E4" w:rsidRDefault="007E39E4" w:rsidP="007E39E4">
            <w:pPr>
              <w:spacing w:before="60" w:after="60" w:line="240" w:lineRule="auto"/>
              <w:jc w:val="left"/>
              <w:rPr>
                <w:rFonts w:cs="Arial"/>
                <w:noProof w:val="0"/>
                <w:sz w:val="20"/>
                <w:szCs w:val="20"/>
                <w:lang w:bidi="ar-SA"/>
              </w:rPr>
            </w:pPr>
            <w:r w:rsidRPr="007E39E4">
              <w:rPr>
                <w:rFonts w:cs="Arial"/>
                <w:noProof w:val="0"/>
                <w:sz w:val="20"/>
                <w:szCs w:val="20"/>
                <w:lang w:bidi="ar-SA"/>
              </w:rPr>
              <w:t xml:space="preserve">Náklady na případné správní řízení ze strany MŽP 48 000 Kč za správní řízení. Náklady KS se správním řízením mohou dosahovat až 690 tis. Kč při maximálním počtu 15 správních řízení. </w:t>
            </w:r>
          </w:p>
        </w:tc>
        <w:tc>
          <w:tcPr>
            <w:tcW w:w="3327" w:type="dxa"/>
            <w:shd w:val="clear" w:color="auto" w:fill="D9D9D9"/>
            <w:vAlign w:val="center"/>
          </w:tcPr>
          <w:p w:rsidR="007E39E4" w:rsidRPr="007E39E4" w:rsidRDefault="007E39E4" w:rsidP="007E39E4">
            <w:pPr>
              <w:spacing w:before="60" w:after="60" w:line="240" w:lineRule="auto"/>
              <w:jc w:val="left"/>
              <w:rPr>
                <w:rFonts w:cs="Arial"/>
                <w:noProof w:val="0"/>
                <w:sz w:val="20"/>
                <w:szCs w:val="20"/>
                <w:lang w:bidi="ar-SA"/>
              </w:rPr>
            </w:pPr>
            <w:r w:rsidRPr="007E39E4">
              <w:rPr>
                <w:rFonts w:cs="Arial"/>
                <w:noProof w:val="0"/>
                <w:sz w:val="20"/>
                <w:szCs w:val="20"/>
                <w:lang w:bidi="ar-SA"/>
              </w:rPr>
              <w:t xml:space="preserve">Vyšší právní jistota, transparentnost, </w:t>
            </w:r>
            <w:proofErr w:type="spellStart"/>
            <w:r w:rsidRPr="007E39E4">
              <w:rPr>
                <w:rFonts w:cs="Arial"/>
                <w:noProof w:val="0"/>
                <w:sz w:val="20"/>
                <w:szCs w:val="20"/>
                <w:lang w:bidi="ar-SA"/>
              </w:rPr>
              <w:t>sankcionovatelnost</w:t>
            </w:r>
            <w:proofErr w:type="spellEnd"/>
            <w:r w:rsidRPr="007E39E4">
              <w:rPr>
                <w:rFonts w:cs="Arial"/>
                <w:noProof w:val="0"/>
                <w:sz w:val="20"/>
                <w:szCs w:val="20"/>
                <w:lang w:bidi="ar-SA"/>
              </w:rPr>
              <w:t>.</w:t>
            </w:r>
          </w:p>
        </w:tc>
      </w:tr>
    </w:tbl>
    <w:p w:rsidR="007E39E4" w:rsidRPr="00ED38E9" w:rsidRDefault="007E39E4" w:rsidP="00514FB9">
      <w:pPr>
        <w:widowControl w:val="0"/>
        <w:spacing w:before="120" w:after="120"/>
        <w:rPr>
          <w:rFonts w:eastAsia="Calibri" w:cs="Arial"/>
          <w:noProof w:val="0"/>
          <w:szCs w:val="22"/>
          <w:lang w:bidi="ar-SA"/>
        </w:rPr>
      </w:pPr>
    </w:p>
    <w:p w:rsidR="00DC1795" w:rsidRPr="00ED38E9" w:rsidRDefault="00DC1795" w:rsidP="007A0D35">
      <w:pPr>
        <w:keepNext/>
        <w:widowControl w:val="0"/>
        <w:spacing w:before="120"/>
        <w:rPr>
          <w:rFonts w:eastAsia="Calibri" w:cs="Arial"/>
          <w:b/>
          <w:noProof w:val="0"/>
          <w:szCs w:val="22"/>
          <w:lang w:bidi="ar-SA"/>
        </w:rPr>
      </w:pPr>
      <w:r w:rsidRPr="00ED38E9">
        <w:rPr>
          <w:rFonts w:eastAsia="Calibri" w:cs="Arial"/>
          <w:b/>
          <w:noProof w:val="0"/>
          <w:szCs w:val="22"/>
          <w:lang w:bidi="ar-SA"/>
        </w:rPr>
        <w:t>Vyhodnocení variant a návrh řešení:</w:t>
      </w:r>
    </w:p>
    <w:p w:rsidR="00DC1795" w:rsidRPr="00ED38E9" w:rsidRDefault="00DC1795" w:rsidP="007A0D35">
      <w:pPr>
        <w:widowControl w:val="0"/>
        <w:rPr>
          <w:rFonts w:eastAsia="Calibri" w:cs="Arial"/>
          <w:noProof w:val="0"/>
          <w:szCs w:val="22"/>
          <w:lang w:bidi="ar-SA"/>
        </w:rPr>
      </w:pPr>
      <w:r w:rsidRPr="00ED38E9">
        <w:rPr>
          <w:rFonts w:eastAsia="Calibri" w:cs="Arial"/>
          <w:noProof w:val="0"/>
          <w:szCs w:val="22"/>
          <w:lang w:bidi="ar-SA"/>
        </w:rPr>
        <w:t>V porovnání se současným stavem přínosy Varianty 1 jednoznačně převažují. Náklady zavedení Varianty 1 mohou být hodnoceny jako zanedbatelné (vzhledem k počtu kolektivních systémů v oblasti elektrozařízení působících na českém trhu), proto navrhujeme, aby právě tato varianta byla vybrána jako řešení daného problému. KS budou profitovat z vyšší právní jistoty a budou schopny se lépe přizpůsobit daným podmínkám. Budou-li cíle dané zákonem pro všechny subjekty reálně dosažitelné a jednoznačně definované (ale ne podhodnocené), pak budou subjekty motivovány k navyšování úrovně zpětného odběru a</w:t>
      </w:r>
      <w:r w:rsidR="0017046F" w:rsidRPr="00ED38E9">
        <w:rPr>
          <w:rFonts w:eastAsia="Calibri" w:cs="Arial"/>
          <w:noProof w:val="0"/>
          <w:szCs w:val="22"/>
          <w:lang w:bidi="ar-SA"/>
        </w:rPr>
        <w:t> </w:t>
      </w:r>
      <w:r w:rsidRPr="00ED38E9">
        <w:rPr>
          <w:rFonts w:eastAsia="Calibri" w:cs="Arial"/>
          <w:noProof w:val="0"/>
          <w:szCs w:val="22"/>
          <w:lang w:bidi="ar-SA"/>
        </w:rPr>
        <w:t>odděleného sběru, což představuje přínos zejména pro stát z hlediska snížení rizika sankcí ze strany EU a širokou veřejnost v důsledku zlepšení ochrany životního prostředí. Vzhledem k definici cílů EU doporučujeme tyto cíle nejpozději po dvou letech účinnosti vyhodnotit a</w:t>
      </w:r>
      <w:r w:rsidR="0017046F" w:rsidRPr="00ED38E9">
        <w:rPr>
          <w:rFonts w:eastAsia="Calibri" w:cs="Arial"/>
          <w:noProof w:val="0"/>
          <w:szCs w:val="22"/>
          <w:lang w:bidi="ar-SA"/>
        </w:rPr>
        <w:t> </w:t>
      </w:r>
      <w:r w:rsidRPr="00ED38E9">
        <w:rPr>
          <w:rFonts w:eastAsia="Calibri" w:cs="Arial"/>
          <w:noProof w:val="0"/>
          <w:szCs w:val="22"/>
          <w:lang w:bidi="ar-SA"/>
        </w:rPr>
        <w:t>případně přehodnotit výši optimálních cílů.</w:t>
      </w:r>
    </w:p>
    <w:p w:rsidR="00DC1795" w:rsidRPr="00ED38E9" w:rsidRDefault="00DC1795" w:rsidP="0011664A">
      <w:pPr>
        <w:pStyle w:val="Nadpis1"/>
      </w:pPr>
      <w:bookmarkStart w:id="85" w:name="_Toc406598336"/>
      <w:bookmarkStart w:id="86" w:name="_Toc441759870"/>
      <w:bookmarkStart w:id="87" w:name="_Toc441760186"/>
      <w:r w:rsidRPr="00ED38E9">
        <w:t xml:space="preserve">Právní forma </w:t>
      </w:r>
      <w:bookmarkEnd w:id="85"/>
      <w:r w:rsidR="00711A48">
        <w:t>kolektivního systému</w:t>
      </w:r>
      <w:bookmarkEnd w:id="86"/>
      <w:bookmarkEnd w:id="87"/>
    </w:p>
    <w:p w:rsidR="00725D27" w:rsidRDefault="00725D27" w:rsidP="0011664A">
      <w:pPr>
        <w:pStyle w:val="Nadpis2"/>
      </w:pPr>
      <w:bookmarkStart w:id="88" w:name="_Toc441759871"/>
      <w:r>
        <w:t>Definice problému a popis současného stavu</w:t>
      </w:r>
      <w:bookmarkEnd w:id="88"/>
    </w:p>
    <w:p w:rsidR="00AB51B9" w:rsidRPr="00ED38E9" w:rsidRDefault="00DC1795" w:rsidP="00514FB9">
      <w:pPr>
        <w:widowControl w:val="0"/>
        <w:spacing w:before="120" w:after="120"/>
        <w:rPr>
          <w:rFonts w:eastAsia="Calibri" w:cs="Arial"/>
          <w:noProof w:val="0"/>
          <w:szCs w:val="22"/>
          <w:lang w:bidi="ar-SA"/>
        </w:rPr>
      </w:pPr>
      <w:r w:rsidRPr="00ED38E9">
        <w:rPr>
          <w:rFonts w:eastAsia="Calibri" w:cs="Arial"/>
          <w:b/>
          <w:noProof w:val="0"/>
          <w:szCs w:val="22"/>
          <w:lang w:bidi="ar-SA"/>
        </w:rPr>
        <w:t xml:space="preserve">Popis současného stavu: </w:t>
      </w:r>
      <w:r w:rsidRPr="00ED38E9">
        <w:rPr>
          <w:rFonts w:eastAsia="Calibri" w:cs="Arial"/>
          <w:noProof w:val="0"/>
          <w:szCs w:val="22"/>
          <w:lang w:bidi="ar-SA"/>
        </w:rPr>
        <w:t xml:space="preserve">Právnická osoba zajišťující společné plnění povinností výrobců v oblasti OEEZ musí být založena nejméně čtyřmi výrobci elektrozařízení, anebo jinou právnickou osobou, sdružující nejméně čtyři výrobce elektrozařízení. Právní formu kolektivních systémů </w:t>
      </w:r>
      <w:r w:rsidR="00AB51B9">
        <w:rPr>
          <w:rFonts w:eastAsia="Calibri" w:cs="Arial"/>
          <w:noProof w:val="0"/>
          <w:szCs w:val="22"/>
          <w:lang w:bidi="ar-SA"/>
        </w:rPr>
        <w:t>v oblasti EEZ</w:t>
      </w:r>
      <w:r w:rsidR="00AB51B9" w:rsidRPr="00ED38E9">
        <w:rPr>
          <w:rFonts w:eastAsia="Calibri" w:cs="Arial"/>
          <w:noProof w:val="0"/>
          <w:szCs w:val="22"/>
          <w:lang w:bidi="ar-SA"/>
        </w:rPr>
        <w:t xml:space="preserve"> </w:t>
      </w:r>
      <w:r w:rsidRPr="00ED38E9">
        <w:rPr>
          <w:rFonts w:eastAsia="Calibri" w:cs="Arial"/>
          <w:noProof w:val="0"/>
          <w:szCs w:val="22"/>
          <w:lang w:bidi="ar-SA"/>
        </w:rPr>
        <w:t>současná legislativní úprava tedy specifikuje</w:t>
      </w:r>
      <w:r w:rsidR="00AB51B9">
        <w:rPr>
          <w:rFonts w:eastAsia="Calibri" w:cs="Arial"/>
          <w:noProof w:val="0"/>
          <w:szCs w:val="22"/>
          <w:lang w:bidi="ar-SA"/>
        </w:rPr>
        <w:t xml:space="preserve"> pouze do té míry, že musí jít o </w:t>
      </w:r>
      <w:r w:rsidR="00AB51B9" w:rsidRPr="00AB51B9">
        <w:rPr>
          <w:rFonts w:eastAsia="Calibri" w:cs="Arial"/>
          <w:noProof w:val="0"/>
          <w:szCs w:val="22"/>
          <w:lang w:bidi="ar-SA"/>
        </w:rPr>
        <w:t>obchodní společnost nebo družstvo</w:t>
      </w:r>
      <w:r w:rsidRPr="00ED38E9">
        <w:rPr>
          <w:rFonts w:eastAsia="Calibri" w:cs="Arial"/>
          <w:noProof w:val="0"/>
          <w:szCs w:val="22"/>
          <w:lang w:bidi="ar-SA"/>
        </w:rPr>
        <w:t xml:space="preserve"> (</w:t>
      </w:r>
      <w:r w:rsidR="00AB51B9">
        <w:rPr>
          <w:rFonts w:eastAsia="Calibri" w:cs="Arial"/>
          <w:noProof w:val="0"/>
          <w:szCs w:val="22"/>
          <w:lang w:bidi="ar-SA"/>
        </w:rPr>
        <w:t>v</w:t>
      </w:r>
      <w:r w:rsidRPr="00ED38E9">
        <w:rPr>
          <w:rFonts w:eastAsia="Calibri" w:cs="Arial"/>
          <w:noProof w:val="0"/>
          <w:szCs w:val="22"/>
          <w:lang w:bidi="ar-SA"/>
        </w:rPr>
        <w:t xml:space="preserve">šechny kolektivní systémy působící </w:t>
      </w:r>
      <w:r w:rsidR="00F94CE8">
        <w:rPr>
          <w:rFonts w:eastAsia="Calibri" w:cs="Arial"/>
          <w:noProof w:val="0"/>
          <w:szCs w:val="22"/>
          <w:lang w:bidi="ar-SA"/>
        </w:rPr>
        <w:t>v </w:t>
      </w:r>
      <w:r w:rsidR="00AB51B9">
        <w:rPr>
          <w:rFonts w:eastAsia="Calibri" w:cs="Arial"/>
          <w:noProof w:val="0"/>
          <w:szCs w:val="22"/>
          <w:lang w:bidi="ar-SA"/>
        </w:rPr>
        <w:t>oblasti EEZ</w:t>
      </w:r>
      <w:r w:rsidR="00AB51B9" w:rsidRPr="00ED38E9">
        <w:rPr>
          <w:rFonts w:eastAsia="Calibri" w:cs="Arial"/>
          <w:noProof w:val="0"/>
          <w:szCs w:val="22"/>
          <w:lang w:bidi="ar-SA"/>
        </w:rPr>
        <w:t xml:space="preserve"> </w:t>
      </w:r>
      <w:r w:rsidRPr="00ED38E9">
        <w:rPr>
          <w:rFonts w:eastAsia="Calibri" w:cs="Arial"/>
          <w:noProof w:val="0"/>
          <w:szCs w:val="22"/>
          <w:lang w:bidi="ar-SA"/>
        </w:rPr>
        <w:t>v říjnu roku 2014 však měly formu a.s. nebo s.r.o.)</w:t>
      </w:r>
      <w:r w:rsidR="00AB51B9">
        <w:rPr>
          <w:rFonts w:eastAsia="Calibri" w:cs="Arial"/>
          <w:noProof w:val="0"/>
          <w:szCs w:val="22"/>
          <w:lang w:bidi="ar-SA"/>
        </w:rPr>
        <w:t>.</w:t>
      </w:r>
      <w:r w:rsidR="00DF4A08">
        <w:rPr>
          <w:rFonts w:eastAsia="Calibri" w:cs="Arial"/>
          <w:noProof w:val="0"/>
          <w:szCs w:val="22"/>
          <w:lang w:bidi="ar-SA"/>
        </w:rPr>
        <w:t xml:space="preserve"> Formu akciové společnosti nebo společnosti s ručením omezeným musí mít podle zákona o odpadech kolektivní systémy v oblasti baterií a akumulátorů a pneumatik.</w:t>
      </w:r>
    </w:p>
    <w:p w:rsidR="00725D27" w:rsidRDefault="00725D27" w:rsidP="0011664A">
      <w:pPr>
        <w:pStyle w:val="Nadpis2"/>
      </w:pPr>
      <w:bookmarkStart w:id="89" w:name="_Toc441759872"/>
      <w:r>
        <w:t>Popis cílového stavu</w:t>
      </w:r>
      <w:bookmarkEnd w:id="89"/>
    </w:p>
    <w:p w:rsidR="00DC1795" w:rsidRPr="00ED38E9" w:rsidRDefault="00DC1795" w:rsidP="00514FB9">
      <w:pPr>
        <w:widowControl w:val="0"/>
        <w:spacing w:before="120" w:after="120"/>
        <w:rPr>
          <w:rFonts w:eastAsia="Calibri" w:cs="Arial"/>
          <w:noProof w:val="0"/>
          <w:szCs w:val="22"/>
          <w:lang w:bidi="ar-SA"/>
        </w:rPr>
      </w:pPr>
      <w:r w:rsidRPr="00ED38E9">
        <w:rPr>
          <w:rFonts w:eastAsia="Calibri" w:cs="Arial"/>
          <w:b/>
          <w:noProof w:val="0"/>
          <w:szCs w:val="22"/>
          <w:lang w:bidi="ar-SA"/>
        </w:rPr>
        <w:t xml:space="preserve">Cíl: </w:t>
      </w:r>
      <w:r w:rsidRPr="00ED38E9">
        <w:rPr>
          <w:rFonts w:eastAsia="Calibri" w:cs="Arial"/>
          <w:noProof w:val="0"/>
          <w:szCs w:val="22"/>
          <w:lang w:bidi="ar-SA"/>
        </w:rPr>
        <w:t>Cílem úpravy je při maximální možné efektivnosti sběru a kontroly KS minimalizovat jejich administrativní zátěž pomocí konzistentní právní úpravy.</w:t>
      </w:r>
    </w:p>
    <w:p w:rsidR="00DC1795" w:rsidRPr="00ED38E9" w:rsidRDefault="00DC1795" w:rsidP="0011664A">
      <w:pPr>
        <w:pStyle w:val="Nadpis2"/>
        <w:rPr>
          <w:rFonts w:eastAsia="Calibri"/>
          <w:lang w:bidi="ar-SA"/>
        </w:rPr>
      </w:pPr>
      <w:bookmarkStart w:id="90" w:name="_Toc441759873"/>
      <w:r w:rsidRPr="00ED38E9">
        <w:rPr>
          <w:rFonts w:eastAsia="Calibri"/>
          <w:lang w:bidi="ar-SA"/>
        </w:rPr>
        <w:t>Varianty řešení</w:t>
      </w:r>
      <w:bookmarkEnd w:id="90"/>
    </w:p>
    <w:p w:rsidR="00DC1795" w:rsidRPr="00ED38E9" w:rsidRDefault="00DC1795" w:rsidP="00514FB9">
      <w:pPr>
        <w:widowControl w:val="0"/>
        <w:spacing w:before="120" w:after="120"/>
        <w:rPr>
          <w:rFonts w:eastAsia="Calibri" w:cs="Arial"/>
          <w:noProof w:val="0"/>
          <w:szCs w:val="22"/>
          <w:lang w:bidi="ar-SA"/>
        </w:rPr>
      </w:pPr>
      <w:r w:rsidRPr="00ED38E9">
        <w:rPr>
          <w:rFonts w:eastAsia="Calibri" w:cs="Arial"/>
          <w:b/>
          <w:noProof w:val="0"/>
          <w:szCs w:val="22"/>
          <w:lang w:bidi="ar-SA"/>
        </w:rPr>
        <w:t>Variantu 0:</w:t>
      </w:r>
      <w:r w:rsidRPr="00ED38E9">
        <w:rPr>
          <w:rFonts w:eastAsia="Calibri" w:cs="Arial"/>
          <w:noProof w:val="0"/>
          <w:szCs w:val="22"/>
          <w:lang w:bidi="ar-SA"/>
        </w:rPr>
        <w:t xml:space="preserve"> Zachování současného stavu.</w:t>
      </w:r>
    </w:p>
    <w:p w:rsidR="00DC1795" w:rsidRPr="00ED38E9" w:rsidRDefault="00DC1795" w:rsidP="00514FB9">
      <w:pPr>
        <w:widowControl w:val="0"/>
        <w:spacing w:before="120" w:after="120"/>
        <w:rPr>
          <w:rFonts w:eastAsia="Calibri" w:cs="Arial"/>
          <w:noProof w:val="0"/>
          <w:szCs w:val="22"/>
          <w:lang w:bidi="ar-SA"/>
        </w:rPr>
      </w:pPr>
      <w:r w:rsidRPr="00ED38E9">
        <w:rPr>
          <w:rFonts w:eastAsia="Calibri" w:cs="Arial"/>
          <w:b/>
          <w:noProof w:val="0"/>
          <w:szCs w:val="22"/>
          <w:lang w:bidi="ar-SA"/>
        </w:rPr>
        <w:lastRenderedPageBreak/>
        <w:t>Varianta 1:</w:t>
      </w:r>
      <w:r w:rsidRPr="00ED38E9">
        <w:rPr>
          <w:rFonts w:eastAsia="Calibri" w:cs="Arial"/>
          <w:noProof w:val="0"/>
          <w:szCs w:val="22"/>
          <w:lang w:bidi="ar-SA"/>
        </w:rPr>
        <w:t xml:space="preserve"> Kolektivní systémy budou moci mít právní formu pouze a.s.</w:t>
      </w:r>
    </w:p>
    <w:p w:rsidR="00DC1795" w:rsidRPr="00ED38E9" w:rsidRDefault="00DC1795" w:rsidP="00514FB9">
      <w:pPr>
        <w:widowControl w:val="0"/>
        <w:spacing w:before="120" w:after="120"/>
        <w:ind w:firstLine="708"/>
        <w:rPr>
          <w:rFonts w:eastAsia="Calibri" w:cs="Arial"/>
          <w:noProof w:val="0"/>
          <w:szCs w:val="22"/>
          <w:lang w:bidi="ar-SA"/>
        </w:rPr>
      </w:pPr>
      <w:r w:rsidRPr="00ED38E9">
        <w:rPr>
          <w:rFonts w:eastAsia="Calibri" w:cs="Arial"/>
          <w:noProof w:val="0"/>
          <w:szCs w:val="22"/>
          <w:lang w:bidi="ar-SA"/>
        </w:rPr>
        <w:t>Varianta 1a: Právní forma a.s. nebude omezena dodatečnými požadavky</w:t>
      </w:r>
    </w:p>
    <w:p w:rsidR="00DC1795" w:rsidRPr="00ED38E9" w:rsidRDefault="00DC1795" w:rsidP="00514FB9">
      <w:pPr>
        <w:widowControl w:val="0"/>
        <w:spacing w:before="120" w:after="120"/>
        <w:ind w:left="709"/>
        <w:rPr>
          <w:rFonts w:eastAsia="Calibri" w:cs="Arial"/>
          <w:b/>
          <w:noProof w:val="0"/>
          <w:szCs w:val="22"/>
          <w:lang w:bidi="ar-SA"/>
        </w:rPr>
      </w:pPr>
      <w:r w:rsidRPr="00ED38E9">
        <w:rPr>
          <w:rFonts w:eastAsia="Calibri" w:cs="Arial"/>
          <w:noProof w:val="0"/>
          <w:szCs w:val="22"/>
          <w:lang w:bidi="ar-SA"/>
        </w:rPr>
        <w:t>Varianta 1b: Právní forma a.s. bude omezena dodatečnými požadavky (požadavek min. 4 akcionářů, pouze kmenové zaknihované akcie znějící na jméno, nemožnost vydávání akcií s rozdílnou váhou hlasů, akcie lze upisovat pouze peněžitými vklady).</w:t>
      </w:r>
    </w:p>
    <w:p w:rsidR="00DC1795" w:rsidRPr="00ED38E9" w:rsidRDefault="00DC1795" w:rsidP="00514FB9">
      <w:pPr>
        <w:widowControl w:val="0"/>
        <w:spacing w:before="120" w:after="120"/>
        <w:rPr>
          <w:rFonts w:eastAsia="Calibri" w:cs="Arial"/>
          <w:noProof w:val="0"/>
          <w:szCs w:val="22"/>
          <w:lang w:bidi="ar-SA"/>
        </w:rPr>
      </w:pPr>
      <w:r w:rsidRPr="00ED38E9">
        <w:rPr>
          <w:rFonts w:eastAsia="Calibri" w:cs="Arial"/>
          <w:b/>
          <w:noProof w:val="0"/>
          <w:szCs w:val="22"/>
          <w:lang w:bidi="ar-SA"/>
        </w:rPr>
        <w:t>Varianta 2:</w:t>
      </w:r>
      <w:r w:rsidRPr="00ED38E9">
        <w:rPr>
          <w:rFonts w:eastAsia="Calibri" w:cs="Arial"/>
          <w:noProof w:val="0"/>
          <w:szCs w:val="22"/>
          <w:lang w:bidi="ar-SA"/>
        </w:rPr>
        <w:t xml:space="preserve"> </w:t>
      </w:r>
      <w:r w:rsidR="00FA23E6">
        <w:rPr>
          <w:rFonts w:eastAsia="Calibri" w:cs="Arial"/>
          <w:noProof w:val="0"/>
          <w:szCs w:val="22"/>
          <w:lang w:bidi="ar-SA"/>
        </w:rPr>
        <w:t>Možnost volby</w:t>
      </w:r>
      <w:r w:rsidR="00FA23E6" w:rsidRPr="00ED38E9">
        <w:rPr>
          <w:rFonts w:eastAsia="Calibri" w:cs="Arial"/>
          <w:noProof w:val="0"/>
          <w:szCs w:val="22"/>
          <w:lang w:bidi="ar-SA"/>
        </w:rPr>
        <w:t xml:space="preserve"> </w:t>
      </w:r>
      <w:r w:rsidRPr="00ED38E9">
        <w:rPr>
          <w:rFonts w:eastAsia="Calibri" w:cs="Arial"/>
          <w:noProof w:val="0"/>
          <w:szCs w:val="22"/>
          <w:lang w:bidi="ar-SA"/>
        </w:rPr>
        <w:t>právní form</w:t>
      </w:r>
      <w:r w:rsidR="00FA23E6">
        <w:rPr>
          <w:rFonts w:eastAsia="Calibri" w:cs="Arial"/>
          <w:noProof w:val="0"/>
          <w:szCs w:val="22"/>
          <w:lang w:bidi="ar-SA"/>
        </w:rPr>
        <w:t>y</w:t>
      </w:r>
      <w:r w:rsidRPr="00ED38E9">
        <w:rPr>
          <w:rFonts w:eastAsia="Calibri" w:cs="Arial"/>
          <w:noProof w:val="0"/>
          <w:szCs w:val="22"/>
          <w:lang w:bidi="ar-SA"/>
        </w:rPr>
        <w:t xml:space="preserve"> založení KS </w:t>
      </w:r>
      <w:r w:rsidR="00FA23E6">
        <w:rPr>
          <w:rFonts w:eastAsia="Calibri" w:cs="Arial"/>
          <w:noProof w:val="0"/>
          <w:szCs w:val="22"/>
          <w:lang w:bidi="ar-SA"/>
        </w:rPr>
        <w:t xml:space="preserve">jako a.s. nebo jako s.r.o. </w:t>
      </w:r>
      <w:r w:rsidRPr="00ED38E9">
        <w:rPr>
          <w:rFonts w:eastAsia="Calibri" w:cs="Arial"/>
          <w:noProof w:val="0"/>
          <w:szCs w:val="22"/>
          <w:lang w:bidi="ar-SA"/>
        </w:rPr>
        <w:t>s blíže definovanými znaky: dualistický systém (má zřízené představenstvo a dozorčí radu), minimální výše základního kapitálu, nemožnost existence akcií/podílů s rozdílnou váhou hlasů, akcie/vklad pouze formou peněžitého vkladu atd.</w:t>
      </w:r>
    </w:p>
    <w:p w:rsidR="00DC1795" w:rsidRPr="00ED38E9" w:rsidRDefault="00DC1795" w:rsidP="00514FB9">
      <w:pPr>
        <w:widowControl w:val="0"/>
        <w:spacing w:before="120" w:after="120"/>
        <w:rPr>
          <w:rFonts w:eastAsia="Calibri" w:cs="Arial"/>
          <w:noProof w:val="0"/>
          <w:szCs w:val="22"/>
          <w:lang w:bidi="ar-SA"/>
        </w:rPr>
      </w:pPr>
      <w:r w:rsidRPr="00ED38E9">
        <w:rPr>
          <w:rFonts w:eastAsia="Calibri" w:cs="Arial"/>
          <w:noProof w:val="0"/>
          <w:szCs w:val="22"/>
          <w:lang w:bidi="ar-SA"/>
        </w:rPr>
        <w:t xml:space="preserve">V případě zavedení dodatečných požadavků by tyto měly sledovat </w:t>
      </w:r>
      <w:r w:rsidR="009D2C96" w:rsidRPr="00ED38E9">
        <w:rPr>
          <w:rFonts w:eastAsia="Calibri" w:cs="Arial"/>
          <w:noProof w:val="0"/>
          <w:szCs w:val="22"/>
          <w:lang w:bidi="ar-SA"/>
        </w:rPr>
        <w:t xml:space="preserve">za </w:t>
      </w:r>
      <w:r w:rsidRPr="00ED38E9">
        <w:rPr>
          <w:rFonts w:eastAsia="Calibri" w:cs="Arial"/>
          <w:noProof w:val="0"/>
          <w:szCs w:val="22"/>
          <w:lang w:bidi="ar-SA"/>
        </w:rPr>
        <w:t xml:space="preserve">cíl podporu zpětného odběru a zajištění efektivní kontroly, ale neměly by představovat neopodstatněné bariéry vstupu nových subjektů. </w:t>
      </w:r>
    </w:p>
    <w:p w:rsidR="00DC1795" w:rsidRPr="00ED38E9" w:rsidRDefault="00DC1795" w:rsidP="0011664A">
      <w:pPr>
        <w:pStyle w:val="Nadpis2"/>
        <w:rPr>
          <w:rFonts w:eastAsia="Calibri"/>
          <w:lang w:bidi="ar-SA"/>
        </w:rPr>
      </w:pPr>
      <w:bookmarkStart w:id="91" w:name="_Toc441759874"/>
      <w:r w:rsidRPr="00ED38E9">
        <w:rPr>
          <w:rFonts w:eastAsia="Calibri"/>
          <w:lang w:bidi="ar-SA"/>
        </w:rPr>
        <w:t>Identifikace nákladů a přínosů</w:t>
      </w:r>
      <w:bookmarkEnd w:id="91"/>
    </w:p>
    <w:p w:rsidR="00DC1795" w:rsidRPr="00ED38E9" w:rsidRDefault="00DC1795" w:rsidP="00514FB9">
      <w:pPr>
        <w:widowControl w:val="0"/>
        <w:spacing w:before="120" w:after="120"/>
        <w:rPr>
          <w:rFonts w:eastAsia="Calibri" w:cs="Arial"/>
          <w:noProof w:val="0"/>
          <w:szCs w:val="22"/>
          <w:lang w:bidi="ar-SA"/>
        </w:rPr>
      </w:pPr>
      <w:r w:rsidRPr="00ED38E9">
        <w:rPr>
          <w:rFonts w:eastAsia="Calibri" w:cs="Arial"/>
          <w:b/>
          <w:noProof w:val="0"/>
          <w:szCs w:val="22"/>
          <w:lang w:bidi="ar-SA"/>
        </w:rPr>
        <w:t>Varianta 0:</w:t>
      </w:r>
      <w:r w:rsidRPr="00ED38E9">
        <w:rPr>
          <w:rFonts w:eastAsia="Calibri" w:cs="Arial"/>
          <w:noProof w:val="0"/>
          <w:szCs w:val="22"/>
          <w:lang w:bidi="ar-SA"/>
        </w:rPr>
        <w:t xml:space="preserve"> Varianta 0 nepředstavuje pro dotčené subjekty žádné dodatečné náklady. Pouze představuje riziko nerovných podmínek pro účastníky trhu - rozdílná výše minimálního základního kapitálu, administrativní náklady apod.  </w:t>
      </w:r>
    </w:p>
    <w:p w:rsidR="00DC1795" w:rsidRPr="00ED38E9" w:rsidRDefault="00DC1795" w:rsidP="00514FB9">
      <w:pPr>
        <w:keepNext/>
        <w:widowControl w:val="0"/>
        <w:spacing w:before="120" w:after="120"/>
        <w:rPr>
          <w:rFonts w:eastAsia="Calibri" w:cs="Arial"/>
          <w:b/>
          <w:noProof w:val="0"/>
          <w:szCs w:val="22"/>
          <w:lang w:bidi="ar-SA"/>
        </w:rPr>
      </w:pPr>
      <w:r w:rsidRPr="00ED38E9">
        <w:rPr>
          <w:rFonts w:eastAsia="Calibri" w:cs="Arial"/>
          <w:b/>
          <w:noProof w:val="0"/>
          <w:szCs w:val="22"/>
          <w:lang w:bidi="ar-SA"/>
        </w:rPr>
        <w:t>Varianta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A70303">
            <w:pPr>
              <w:keepNext/>
              <w:jc w:val="left"/>
              <w:rPr>
                <w:rFonts w:eastAsia="MS Mincho" w:cs="Arial"/>
                <w:b/>
                <w:noProof w:val="0"/>
                <w:sz w:val="18"/>
                <w:szCs w:val="20"/>
                <w:lang w:bidi="ar-SA"/>
              </w:rPr>
            </w:pPr>
            <w:r w:rsidRPr="00ED38E9">
              <w:rPr>
                <w:rFonts w:eastAsia="MS Mincho" w:cs="Arial"/>
                <w:b/>
                <w:noProof w:val="0"/>
                <w:sz w:val="18"/>
                <w:szCs w:val="20"/>
                <w:lang w:eastAsia="cs-CZ" w:bidi="ar-SA"/>
              </w:rPr>
              <w:t>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A70303">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Vyšší právní jistota, transparentnost, jednotnost podmínek pro všechny KS</w:t>
            </w:r>
          </w:p>
          <w:p w:rsidR="00DC1795" w:rsidRPr="00ED38E9" w:rsidRDefault="00DC1795" w:rsidP="00A70303">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Náklady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Varianta 1a - Náklady na převod na právní formu a.s. v případě, že KS má jinou právní formu než a.s.</w:t>
            </w:r>
          </w:p>
          <w:p w:rsidR="00DC1795" w:rsidRPr="00ED38E9" w:rsidRDefault="00DC1795" w:rsidP="007A0D35">
            <w:pPr>
              <w:spacing w:before="20" w:after="20"/>
              <w:jc w:val="left"/>
              <w:rPr>
                <w:rFonts w:eastAsia="MS Mincho" w:cs="Arial"/>
                <w:noProof w:val="0"/>
                <w:sz w:val="18"/>
                <w:szCs w:val="20"/>
                <w:lang w:bidi="ar-SA"/>
              </w:rPr>
            </w:pPr>
            <w:r w:rsidRPr="00ED38E9">
              <w:rPr>
                <w:rFonts w:eastAsia="MS Mincho" w:cs="Arial"/>
                <w:noProof w:val="0"/>
                <w:sz w:val="18"/>
                <w:szCs w:val="20"/>
                <w:lang w:bidi="ar-SA"/>
              </w:rPr>
              <w:t xml:space="preserve">                     Varianta 1b - Náklady na povinné uschování akcií v CDCP (náklady první rok 30–40 tis. Kč, další </w:t>
            </w:r>
            <w:r w:rsidRPr="00ED38E9">
              <w:rPr>
                <w:rFonts w:eastAsia="MS Mincho" w:cs="Arial"/>
                <w:noProof w:val="0"/>
                <w:sz w:val="18"/>
                <w:szCs w:val="20"/>
                <w:lang w:bidi="ar-SA"/>
              </w:rPr>
              <w:br/>
              <w:t xml:space="preserve">                   roky 10–20 tis. Kč) a na další přizpůsobování v případě, že KS má jinou právní formu než a.s.</w:t>
            </w:r>
          </w:p>
        </w:tc>
      </w:tr>
      <w:tr w:rsidR="007A0D35" w:rsidRPr="000B7CBF" w:rsidTr="00ED38E9">
        <w:trPr>
          <w:trHeight w:val="397"/>
        </w:trPr>
        <w:tc>
          <w:tcPr>
            <w:tcW w:w="9180" w:type="dxa"/>
            <w:shd w:val="clear" w:color="auto" w:fill="auto"/>
            <w:vAlign w:val="center"/>
          </w:tcPr>
          <w:p w:rsidR="00DC1795" w:rsidRPr="00ED38E9" w:rsidRDefault="00DC1795" w:rsidP="00A70303">
            <w:pPr>
              <w:keepNext/>
              <w:jc w:val="left"/>
              <w:rPr>
                <w:rFonts w:eastAsia="MS Mincho" w:cs="Arial"/>
                <w:b/>
                <w:noProof w:val="0"/>
                <w:sz w:val="18"/>
                <w:szCs w:val="20"/>
                <w:lang w:bidi="ar-SA"/>
              </w:rPr>
            </w:pPr>
            <w:r w:rsidRPr="00ED38E9">
              <w:rPr>
                <w:rFonts w:eastAsia="MS Mincho" w:cs="Arial"/>
                <w:b/>
                <w:noProof w:val="0"/>
                <w:sz w:val="18"/>
                <w:szCs w:val="20"/>
                <w:lang w:eastAsia="cs-CZ" w:bidi="ar-SA"/>
              </w:rPr>
              <w:t>Státní správa</w:t>
            </w:r>
          </w:p>
        </w:tc>
      </w:tr>
      <w:tr w:rsidR="007A0D35" w:rsidRPr="000B7CBF" w:rsidTr="007A0D35">
        <w:trPr>
          <w:trHeight w:val="397"/>
        </w:trPr>
        <w:tc>
          <w:tcPr>
            <w:tcW w:w="9180" w:type="dxa"/>
            <w:vAlign w:val="center"/>
          </w:tcPr>
          <w:p w:rsidR="00DC1795" w:rsidRPr="00ED38E9" w:rsidRDefault="00DC1795" w:rsidP="00A70303">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Vyšší právní jistota, transparentnost, jednotnost řešení</w:t>
            </w:r>
          </w:p>
        </w:tc>
      </w:tr>
    </w:tbl>
    <w:p w:rsidR="00DC1795" w:rsidRPr="00ED38E9" w:rsidRDefault="00DC1795" w:rsidP="00DC1795">
      <w:pPr>
        <w:keepNext/>
        <w:widowControl w:val="0"/>
        <w:spacing w:before="360" w:after="120"/>
        <w:rPr>
          <w:rFonts w:eastAsia="Calibri" w:cs="Arial"/>
          <w:b/>
          <w:noProof w:val="0"/>
          <w:szCs w:val="22"/>
          <w:lang w:bidi="ar-SA"/>
        </w:rPr>
      </w:pPr>
      <w:r w:rsidRPr="00ED38E9">
        <w:rPr>
          <w:rFonts w:eastAsia="Calibri" w:cs="Arial"/>
          <w:b/>
          <w:noProof w:val="0"/>
          <w:szCs w:val="22"/>
          <w:lang w:bidi="ar-SA"/>
        </w:rPr>
        <w:t>Varianta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A70303">
            <w:pPr>
              <w:keepNext/>
              <w:jc w:val="left"/>
              <w:rPr>
                <w:rFonts w:eastAsia="MS Mincho" w:cs="Arial"/>
                <w:b/>
                <w:noProof w:val="0"/>
                <w:sz w:val="18"/>
                <w:szCs w:val="20"/>
                <w:lang w:bidi="ar-SA"/>
              </w:rPr>
            </w:pPr>
            <w:r w:rsidRPr="00ED38E9">
              <w:rPr>
                <w:rFonts w:eastAsia="MS Mincho" w:cs="Arial"/>
                <w:b/>
                <w:noProof w:val="0"/>
                <w:sz w:val="18"/>
                <w:szCs w:val="20"/>
                <w:lang w:eastAsia="cs-CZ" w:bidi="ar-SA"/>
              </w:rPr>
              <w:t>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A70303">
            <w:pPr>
              <w:spacing w:before="20" w:after="20"/>
              <w:jc w:val="left"/>
              <w:rPr>
                <w:rFonts w:eastAsia="MS Mincho" w:cs="Arial"/>
                <w:b/>
                <w:i/>
                <w:noProof w:val="0"/>
                <w:sz w:val="18"/>
                <w:szCs w:val="20"/>
                <w:lang w:bidi="ar-SA"/>
              </w:rPr>
            </w:pPr>
            <w:r w:rsidRPr="00ED38E9">
              <w:rPr>
                <w:rFonts w:eastAsia="MS Mincho" w:cs="Arial"/>
                <w:b/>
                <w:i/>
                <w:noProof w:val="0"/>
                <w:sz w:val="18"/>
                <w:szCs w:val="20"/>
                <w:lang w:bidi="ar-SA"/>
              </w:rPr>
              <w:t xml:space="preserve">Přínosy – </w:t>
            </w:r>
            <w:r w:rsidRPr="00ED38E9">
              <w:rPr>
                <w:rFonts w:eastAsia="MS Mincho" w:cs="Arial"/>
                <w:i/>
                <w:noProof w:val="0"/>
                <w:sz w:val="18"/>
                <w:szCs w:val="20"/>
                <w:lang w:bidi="ar-SA"/>
              </w:rPr>
              <w:t>Vyšší právní jistota, transparentnost, možnost volby vhodnější právní formy</w:t>
            </w:r>
          </w:p>
          <w:p w:rsidR="00DC1795" w:rsidRPr="00ED38E9" w:rsidRDefault="00DC1795" w:rsidP="00A70303">
            <w:pPr>
              <w:spacing w:before="20" w:after="20"/>
              <w:jc w:val="left"/>
              <w:rPr>
                <w:rFonts w:eastAsia="MS Mincho" w:cs="Arial"/>
                <w:b/>
                <w:i/>
                <w:noProof w:val="0"/>
                <w:sz w:val="18"/>
                <w:szCs w:val="20"/>
                <w:lang w:bidi="ar-SA"/>
              </w:rPr>
            </w:pPr>
            <w:r w:rsidRPr="00ED38E9">
              <w:rPr>
                <w:rFonts w:eastAsia="MS Mincho" w:cs="Arial"/>
                <w:b/>
                <w:i/>
                <w:noProof w:val="0"/>
                <w:sz w:val="18"/>
                <w:szCs w:val="20"/>
                <w:lang w:bidi="ar-SA"/>
              </w:rPr>
              <w:t xml:space="preserve">Náklady – </w:t>
            </w:r>
            <w:r w:rsidRPr="00ED38E9">
              <w:rPr>
                <w:rFonts w:eastAsia="MS Mincho" w:cs="Arial"/>
                <w:i/>
                <w:noProof w:val="0"/>
                <w:sz w:val="18"/>
                <w:szCs w:val="20"/>
                <w:lang w:bidi="ar-SA"/>
              </w:rPr>
              <w:t xml:space="preserve">Náklady na přizpůsobení se požadavkům specifikovaným </w:t>
            </w:r>
            <w:r w:rsidR="00A56310" w:rsidRPr="00ED38E9">
              <w:rPr>
                <w:rFonts w:eastAsia="MS Mincho" w:cs="Arial"/>
                <w:i/>
                <w:noProof w:val="0"/>
                <w:sz w:val="18"/>
                <w:szCs w:val="20"/>
                <w:lang w:bidi="ar-SA"/>
              </w:rPr>
              <w:t>MŽP</w:t>
            </w:r>
          </w:p>
        </w:tc>
      </w:tr>
      <w:tr w:rsidR="007A0D35" w:rsidRPr="000B7CBF" w:rsidTr="00ED38E9">
        <w:trPr>
          <w:trHeight w:val="397"/>
        </w:trPr>
        <w:tc>
          <w:tcPr>
            <w:tcW w:w="9180" w:type="dxa"/>
            <w:shd w:val="clear" w:color="auto" w:fill="auto"/>
            <w:vAlign w:val="center"/>
          </w:tcPr>
          <w:p w:rsidR="00DC1795" w:rsidRPr="00ED38E9" w:rsidRDefault="00DC1795" w:rsidP="00A70303">
            <w:pPr>
              <w:keepNext/>
              <w:jc w:val="left"/>
              <w:rPr>
                <w:rFonts w:eastAsia="MS Mincho" w:cs="Arial"/>
                <w:b/>
                <w:noProof w:val="0"/>
                <w:sz w:val="18"/>
                <w:szCs w:val="20"/>
                <w:lang w:bidi="ar-SA"/>
              </w:rPr>
            </w:pPr>
            <w:r w:rsidRPr="00ED38E9">
              <w:rPr>
                <w:rFonts w:eastAsia="MS Mincho" w:cs="Arial"/>
                <w:b/>
                <w:noProof w:val="0"/>
                <w:sz w:val="18"/>
                <w:szCs w:val="20"/>
                <w:lang w:eastAsia="cs-CZ" w:bidi="ar-SA"/>
              </w:rPr>
              <w:t>Státní správa</w:t>
            </w:r>
          </w:p>
        </w:tc>
      </w:tr>
      <w:tr w:rsidR="007A0D35" w:rsidRPr="000B7CBF" w:rsidTr="007A0D35">
        <w:trPr>
          <w:trHeight w:val="397"/>
        </w:trPr>
        <w:tc>
          <w:tcPr>
            <w:tcW w:w="9180" w:type="dxa"/>
            <w:vAlign w:val="center"/>
          </w:tcPr>
          <w:p w:rsidR="00DC1795" w:rsidRPr="00ED38E9" w:rsidRDefault="00DC1795" w:rsidP="00A70303">
            <w:pPr>
              <w:spacing w:before="20" w:after="20"/>
              <w:jc w:val="left"/>
              <w:rPr>
                <w:rFonts w:eastAsia="MS Mincho" w:cs="Arial"/>
                <w:noProof w:val="0"/>
                <w:sz w:val="18"/>
                <w:szCs w:val="20"/>
                <w:lang w:bidi="ar-SA"/>
              </w:rPr>
            </w:pPr>
            <w:r w:rsidRPr="00ED38E9">
              <w:rPr>
                <w:rFonts w:eastAsia="MS Mincho" w:cs="Arial"/>
                <w:b/>
                <w:i/>
                <w:noProof w:val="0"/>
                <w:sz w:val="18"/>
                <w:szCs w:val="20"/>
                <w:lang w:bidi="ar-SA"/>
              </w:rPr>
              <w:t>Přínosy</w:t>
            </w:r>
            <w:r w:rsidRPr="00ED38E9">
              <w:rPr>
                <w:rFonts w:eastAsia="MS Mincho" w:cs="Arial"/>
                <w:i/>
                <w:noProof w:val="0"/>
                <w:sz w:val="18"/>
                <w:szCs w:val="20"/>
                <w:lang w:bidi="ar-SA"/>
              </w:rPr>
              <w:t xml:space="preserve"> </w:t>
            </w:r>
            <w:r w:rsidRPr="00ED38E9">
              <w:rPr>
                <w:rFonts w:eastAsia="MS Mincho" w:cs="Arial"/>
                <w:noProof w:val="0"/>
                <w:sz w:val="18"/>
                <w:szCs w:val="20"/>
                <w:lang w:bidi="ar-SA"/>
              </w:rPr>
              <w:t>– Vyšší právní jistota, jednotnost podmínek pro všechny KS</w:t>
            </w:r>
          </w:p>
        </w:tc>
      </w:tr>
    </w:tbl>
    <w:p w:rsidR="00B43AE5" w:rsidRPr="00ED38E9" w:rsidRDefault="00B43AE5" w:rsidP="00B43AE5">
      <w:pPr>
        <w:rPr>
          <w:rFonts w:eastAsia="Calibri" w:cs="Arial"/>
          <w:lang w:bidi="ar-SA"/>
        </w:rPr>
      </w:pPr>
    </w:p>
    <w:p w:rsidR="00DC1795" w:rsidRPr="00ED38E9" w:rsidRDefault="00DC1795" w:rsidP="00B43AE5">
      <w:pPr>
        <w:rPr>
          <w:rFonts w:eastAsia="Calibri" w:cs="Arial"/>
          <w:lang w:bidi="ar-SA"/>
        </w:rPr>
      </w:pPr>
      <w:r w:rsidRPr="00ED38E9">
        <w:rPr>
          <w:rFonts w:eastAsia="Calibri" w:cs="Arial"/>
          <w:lang w:bidi="ar-SA"/>
        </w:rPr>
        <w:t xml:space="preserve">Níže uvedený příklad z praxe ilustruje možné riziko plynoucí z definování právní formy KS pouze prostřednictvím právní formy obchodní korporace a nikoliv za pomoci blíže definovaných dodatečných požadavků (tj. například minimální výše základního kapitálu, existence dozorčí rady a jiné). Taková to definice je náchylná na změnu právního předpisu upravujícího příslušnou právní formu obchodní korporace a mohla by tak minimálně krátkodobě představovat riziko v případě rozvolnění příslušného právního předpisu. Po úpravě požadavku na právní formu kolektivního systému tak může dojít k situaci, kdy </w:t>
      </w:r>
      <w:r w:rsidRPr="00ED38E9">
        <w:rPr>
          <w:rFonts w:eastAsia="Calibri" w:cs="Arial"/>
          <w:lang w:bidi="ar-SA"/>
        </w:rPr>
        <w:lastRenderedPageBreak/>
        <w:t>formálně bude i nadále právní forma KS v souladu se zákonem, věcně ale nedojde k naplnění původních požadavků na právní formu KS v důsledku změny právního předpisu upravujícího příslušnou právní formu obchodní korporace.</w:t>
      </w:r>
    </w:p>
    <w:p w:rsidR="00DC1795" w:rsidRPr="00ED38E9" w:rsidRDefault="00DC1795" w:rsidP="00DC1795">
      <w:pPr>
        <w:keepNext/>
        <w:widowControl w:val="0"/>
        <w:spacing w:before="120" w:after="120"/>
        <w:rPr>
          <w:rFonts w:eastAsia="Calibri" w:cs="Arial"/>
          <w:b/>
          <w:noProof w:val="0"/>
          <w:lang w:bidi="ar-SA"/>
        </w:rPr>
      </w:pPr>
      <w:r w:rsidRPr="00ED38E9">
        <w:rPr>
          <w:rFonts w:eastAsia="Calibri" w:cs="Arial"/>
          <w:b/>
          <w:noProof w:val="0"/>
          <w:lang w:bidi="ar-SA"/>
        </w:rPr>
        <w:t>Příklad  - Změna minimální výše základního kapitálu společnosti s ručením omezeným</w:t>
      </w:r>
    </w:p>
    <w:p w:rsidR="00DC1795" w:rsidRPr="00ED38E9" w:rsidRDefault="00DC1795" w:rsidP="00A70303">
      <w:pPr>
        <w:keepNext/>
        <w:widowControl w:val="0"/>
        <w:pBdr>
          <w:top w:val="single" w:sz="4" w:space="1" w:color="auto"/>
          <w:left w:val="single" w:sz="4" w:space="4" w:color="auto"/>
          <w:bottom w:val="single" w:sz="4" w:space="1" w:color="auto"/>
          <w:right w:val="single" w:sz="4" w:space="4" w:color="auto"/>
        </w:pBdr>
        <w:shd w:val="clear" w:color="auto" w:fill="D9D9D9"/>
        <w:spacing w:before="120" w:after="120" w:line="240" w:lineRule="auto"/>
        <w:ind w:left="284" w:right="284"/>
        <w:rPr>
          <w:rFonts w:eastAsia="Calibri" w:cs="Arial"/>
          <w:noProof w:val="0"/>
          <w:lang w:bidi="ar-SA"/>
        </w:rPr>
      </w:pPr>
      <w:r w:rsidRPr="00ED38E9">
        <w:rPr>
          <w:rFonts w:eastAsia="Calibri" w:cs="Arial"/>
          <w:noProof w:val="0"/>
          <w:lang w:bidi="ar-SA"/>
        </w:rPr>
        <w:t>S účinností od 1. ledna 2014 vešel v platnost nový zákon č.</w:t>
      </w:r>
      <w:r w:rsidR="00E91058" w:rsidRPr="00ED38E9">
        <w:rPr>
          <w:rFonts w:eastAsia="Calibri" w:cs="Arial"/>
          <w:noProof w:val="0"/>
          <w:lang w:bidi="ar-SA"/>
        </w:rPr>
        <w:t xml:space="preserve"> </w:t>
      </w:r>
      <w:r w:rsidRPr="00ED38E9">
        <w:rPr>
          <w:rFonts w:eastAsia="Calibri" w:cs="Arial"/>
          <w:noProof w:val="0"/>
          <w:lang w:bidi="ar-SA"/>
        </w:rPr>
        <w:t xml:space="preserve">90/2012 Sb., o obchodních korporacích, který nově upravuje zejména společnost s ručením omezeným, jakožto jednu z nejčastějších právních forem obchodní korporace. Zákon o obchodních korporacích nově mimo jiné stanovuje minimální výši základního kapitálu na 1 Kč, nestanoví-li společenská smlouva výši základního kapitálu společnosti vyšší. Došlo tak oproti předcházející právní úpravě k snížení požadavku na minimální výši základního kapitálu u společnosti s ručením omezeným z částky 200 tis. Kč na 1 Kč.     </w:t>
      </w:r>
    </w:p>
    <w:p w:rsidR="00DC1795" w:rsidRDefault="00DC1795" w:rsidP="00A70303">
      <w:pPr>
        <w:widowControl w:val="0"/>
        <w:spacing w:before="120" w:after="120" w:line="240" w:lineRule="auto"/>
        <w:rPr>
          <w:rFonts w:cs="Arial"/>
          <w:i/>
          <w:iCs/>
          <w:noProof w:val="0"/>
          <w:color w:val="000000"/>
          <w:sz w:val="20"/>
          <w:szCs w:val="20"/>
          <w:lang w:eastAsia="cs-CZ" w:bidi="ar-SA"/>
        </w:rPr>
      </w:pPr>
      <w:r w:rsidRPr="00ED38E9">
        <w:rPr>
          <w:rFonts w:cs="Arial"/>
          <w:i/>
          <w:iCs/>
          <w:noProof w:val="0"/>
          <w:color w:val="000000"/>
          <w:sz w:val="20"/>
          <w:szCs w:val="20"/>
          <w:lang w:eastAsia="cs-CZ" w:bidi="ar-SA"/>
        </w:rPr>
        <w:t>Zdroj: EEIP, Zákon č.90/2012 Sb.</w:t>
      </w:r>
    </w:p>
    <w:p w:rsidR="00384FC8" w:rsidRDefault="00384FC8" w:rsidP="006F5445">
      <w:pPr>
        <w:pStyle w:val="Titulek"/>
      </w:pPr>
      <w:r>
        <w:t xml:space="preserve">Tabulka </w:t>
      </w:r>
      <w:r w:rsidR="00381FB7">
        <w:fldChar w:fldCharType="begin"/>
      </w:r>
      <w:r>
        <w:instrText xml:space="preserve"> SEQ Tabulka \* ARABIC </w:instrText>
      </w:r>
      <w:r w:rsidR="00381FB7">
        <w:fldChar w:fldCharType="separate"/>
      </w:r>
      <w:r w:rsidR="00FD5E92">
        <w:t>40</w:t>
      </w:r>
      <w:r w:rsidR="00381FB7">
        <w:fldChar w:fldCharType="end"/>
      </w:r>
      <w:r>
        <w:t>: Souhrn nákladů a přínosů</w:t>
      </w:r>
    </w:p>
    <w:tbl>
      <w:tblPr>
        <w:tblStyle w:val="Mkatabulky9"/>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A3666B" w:rsidRPr="00ED38E9" w:rsidTr="00AA3350">
        <w:trPr>
          <w:trHeight w:val="64"/>
          <w:jc w:val="center"/>
        </w:trPr>
        <w:tc>
          <w:tcPr>
            <w:tcW w:w="2419" w:type="dxa"/>
            <w:shd w:val="clear" w:color="auto" w:fill="B6B002"/>
            <w:vAlign w:val="center"/>
          </w:tcPr>
          <w:p w:rsidR="00A3666B" w:rsidRPr="00ED38E9" w:rsidRDefault="00A3666B" w:rsidP="00AA3350">
            <w:pPr>
              <w:spacing w:line="264" w:lineRule="auto"/>
              <w:jc w:val="center"/>
              <w:rPr>
                <w:rFonts w:cs="Arial"/>
                <w:b/>
                <w:noProof w:val="0"/>
                <w:sz w:val="20"/>
                <w:szCs w:val="20"/>
                <w:lang w:bidi="ar-SA"/>
              </w:rPr>
            </w:pPr>
          </w:p>
        </w:tc>
        <w:tc>
          <w:tcPr>
            <w:tcW w:w="3326" w:type="dxa"/>
            <w:shd w:val="clear" w:color="auto" w:fill="B6B002"/>
            <w:vAlign w:val="center"/>
          </w:tcPr>
          <w:p w:rsidR="00A3666B" w:rsidRPr="00ED38E9" w:rsidRDefault="00A3666B" w:rsidP="00AA3350">
            <w:pPr>
              <w:spacing w:line="264" w:lineRule="auto"/>
              <w:rPr>
                <w:rFonts w:cs="Arial"/>
                <w:b/>
                <w:noProof w:val="0"/>
                <w:sz w:val="20"/>
                <w:szCs w:val="20"/>
                <w:lang w:bidi="ar-SA"/>
              </w:rPr>
            </w:pPr>
            <w:r w:rsidRPr="00ED38E9">
              <w:rPr>
                <w:rFonts w:cs="Arial"/>
                <w:b/>
                <w:noProof w:val="0"/>
                <w:sz w:val="20"/>
                <w:szCs w:val="20"/>
                <w:lang w:bidi="ar-SA"/>
              </w:rPr>
              <w:t>Náklady</w:t>
            </w:r>
          </w:p>
        </w:tc>
        <w:tc>
          <w:tcPr>
            <w:tcW w:w="3327" w:type="dxa"/>
            <w:shd w:val="clear" w:color="auto" w:fill="B6B002"/>
            <w:vAlign w:val="center"/>
          </w:tcPr>
          <w:p w:rsidR="00A3666B" w:rsidRPr="00ED38E9" w:rsidRDefault="00A3666B" w:rsidP="00AA3350">
            <w:pPr>
              <w:spacing w:line="264" w:lineRule="auto"/>
              <w:rPr>
                <w:rFonts w:cs="Arial"/>
                <w:b/>
                <w:noProof w:val="0"/>
                <w:sz w:val="20"/>
                <w:szCs w:val="20"/>
                <w:lang w:bidi="ar-SA"/>
              </w:rPr>
            </w:pPr>
            <w:r w:rsidRPr="00ED38E9">
              <w:rPr>
                <w:rFonts w:cs="Arial"/>
                <w:b/>
                <w:noProof w:val="0"/>
                <w:sz w:val="20"/>
                <w:szCs w:val="20"/>
                <w:lang w:bidi="ar-SA"/>
              </w:rPr>
              <w:t>Přínosy</w:t>
            </w:r>
          </w:p>
        </w:tc>
      </w:tr>
    </w:tbl>
    <w:tbl>
      <w:tblPr>
        <w:tblStyle w:val="Mkatabulky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384FC8" w:rsidRPr="00384FC8" w:rsidTr="00AA3350">
        <w:trPr>
          <w:trHeight w:val="64"/>
          <w:jc w:val="center"/>
        </w:trPr>
        <w:tc>
          <w:tcPr>
            <w:tcW w:w="9072" w:type="dxa"/>
            <w:gridSpan w:val="3"/>
            <w:shd w:val="clear" w:color="auto" w:fill="F2F2F2"/>
            <w:vAlign w:val="center"/>
          </w:tcPr>
          <w:p w:rsidR="00384FC8" w:rsidRPr="00384FC8" w:rsidRDefault="00384FC8" w:rsidP="00384FC8">
            <w:pPr>
              <w:spacing w:before="120" w:after="120"/>
              <w:rPr>
                <w:rFonts w:cs="Arial"/>
                <w:b/>
                <w:noProof w:val="0"/>
                <w:szCs w:val="22"/>
                <w:lang w:bidi="ar-SA"/>
              </w:rPr>
            </w:pPr>
            <w:r w:rsidRPr="00384FC8">
              <w:rPr>
                <w:rFonts w:cs="Arial"/>
                <w:b/>
                <w:szCs w:val="22"/>
                <w:lang w:bidi="ar-SA"/>
              </w:rPr>
              <w:t>Právní forma založení KS</w:t>
            </w:r>
          </w:p>
        </w:tc>
      </w:tr>
      <w:tr w:rsidR="00384FC8" w:rsidRPr="00384FC8" w:rsidTr="00AA3350">
        <w:trPr>
          <w:trHeight w:val="64"/>
          <w:jc w:val="center"/>
        </w:trPr>
        <w:tc>
          <w:tcPr>
            <w:tcW w:w="2419" w:type="dxa"/>
            <w:shd w:val="clear" w:color="auto" w:fill="D9D9D9"/>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Varianta 0</w:t>
            </w:r>
          </w:p>
        </w:tc>
        <w:tc>
          <w:tcPr>
            <w:tcW w:w="3326" w:type="dxa"/>
            <w:shd w:val="clear" w:color="auto" w:fill="D9D9D9"/>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nulová varianta</w:t>
            </w:r>
          </w:p>
        </w:tc>
        <w:tc>
          <w:tcPr>
            <w:tcW w:w="3327" w:type="dxa"/>
            <w:shd w:val="clear" w:color="auto" w:fill="D9D9D9"/>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nulová varianta</w:t>
            </w:r>
          </w:p>
        </w:tc>
      </w:tr>
      <w:tr w:rsidR="00384FC8" w:rsidRPr="00384FC8" w:rsidTr="00AA3350">
        <w:trPr>
          <w:trHeight w:val="64"/>
          <w:jc w:val="center"/>
        </w:trPr>
        <w:tc>
          <w:tcPr>
            <w:tcW w:w="2419" w:type="dxa"/>
            <w:shd w:val="clear" w:color="auto" w:fill="F2F2F2"/>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Varianta 1a</w:t>
            </w:r>
          </w:p>
        </w:tc>
        <w:tc>
          <w:tcPr>
            <w:tcW w:w="3326" w:type="dxa"/>
            <w:shd w:val="clear" w:color="auto" w:fill="F2F2F2"/>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Náklady pro KS spojené s transformací na akciovou společnost</w:t>
            </w:r>
          </w:p>
        </w:tc>
        <w:tc>
          <w:tcPr>
            <w:tcW w:w="3327" w:type="dxa"/>
            <w:shd w:val="clear" w:color="auto" w:fill="F2F2F2"/>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Vyšší právní jistota, transparentnost</w:t>
            </w:r>
          </w:p>
        </w:tc>
      </w:tr>
      <w:tr w:rsidR="00384FC8" w:rsidRPr="00384FC8" w:rsidTr="00AA3350">
        <w:trPr>
          <w:trHeight w:val="673"/>
          <w:jc w:val="center"/>
        </w:trPr>
        <w:tc>
          <w:tcPr>
            <w:tcW w:w="2419" w:type="dxa"/>
            <w:shd w:val="clear" w:color="auto" w:fill="D9D9D9"/>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Varianta 1b</w:t>
            </w:r>
          </w:p>
        </w:tc>
        <w:tc>
          <w:tcPr>
            <w:tcW w:w="3326" w:type="dxa"/>
            <w:shd w:val="clear" w:color="auto" w:fill="D9D9D9"/>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 xml:space="preserve">Náklady pro KS spojené s transformací na a.s. a s přizpůsobením se požadavkům specifikovaným v zákoně (např. uchování akcií v CDCP </w:t>
            </w:r>
          </w:p>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30 - 40 tis. Kč ročně)</w:t>
            </w:r>
          </w:p>
        </w:tc>
        <w:tc>
          <w:tcPr>
            <w:tcW w:w="3327" w:type="dxa"/>
            <w:shd w:val="clear" w:color="auto" w:fill="D9D9D9"/>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Vyšší právní jistota, transparentnost</w:t>
            </w:r>
          </w:p>
        </w:tc>
      </w:tr>
      <w:tr w:rsidR="00384FC8" w:rsidRPr="00384FC8" w:rsidTr="00AA3350">
        <w:trPr>
          <w:trHeight w:val="64"/>
          <w:jc w:val="center"/>
        </w:trPr>
        <w:tc>
          <w:tcPr>
            <w:tcW w:w="2419" w:type="dxa"/>
            <w:shd w:val="clear" w:color="auto" w:fill="F2F2F2"/>
            <w:vAlign w:val="center"/>
          </w:tcPr>
          <w:p w:rsidR="00384FC8" w:rsidRPr="00384FC8" w:rsidRDefault="00384FC8" w:rsidP="00384FC8">
            <w:pPr>
              <w:spacing w:before="60" w:after="60" w:line="240" w:lineRule="auto"/>
              <w:jc w:val="left"/>
              <w:rPr>
                <w:rFonts w:cs="Arial"/>
                <w:b/>
                <w:sz w:val="20"/>
                <w:szCs w:val="20"/>
                <w:lang w:bidi="ar-SA"/>
              </w:rPr>
            </w:pPr>
            <w:r w:rsidRPr="00384FC8">
              <w:rPr>
                <w:rFonts w:cs="Arial"/>
                <w:b/>
                <w:noProof w:val="0"/>
                <w:sz w:val="20"/>
                <w:szCs w:val="20"/>
                <w:u w:val="single"/>
                <w:lang w:bidi="ar-SA"/>
              </w:rPr>
              <w:t>Varianta 2</w:t>
            </w:r>
          </w:p>
        </w:tc>
        <w:tc>
          <w:tcPr>
            <w:tcW w:w="3326" w:type="dxa"/>
            <w:shd w:val="clear" w:color="auto" w:fill="F2F2F2"/>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Náklady pro KS spojené s přizpůsobením se požadavkům specifikovaným v zákoně</w:t>
            </w:r>
          </w:p>
        </w:tc>
        <w:tc>
          <w:tcPr>
            <w:tcW w:w="3327" w:type="dxa"/>
            <w:shd w:val="clear" w:color="auto" w:fill="F2F2F2"/>
            <w:vAlign w:val="center"/>
          </w:tcPr>
          <w:p w:rsidR="00384FC8" w:rsidRPr="00384FC8" w:rsidRDefault="00384FC8" w:rsidP="00384FC8">
            <w:pPr>
              <w:spacing w:before="60" w:after="60" w:line="240" w:lineRule="auto"/>
              <w:jc w:val="left"/>
              <w:rPr>
                <w:rFonts w:cs="Arial"/>
                <w:noProof w:val="0"/>
                <w:sz w:val="20"/>
                <w:szCs w:val="20"/>
                <w:lang w:bidi="ar-SA"/>
              </w:rPr>
            </w:pPr>
            <w:r w:rsidRPr="00384FC8">
              <w:rPr>
                <w:rFonts w:cs="Arial"/>
                <w:noProof w:val="0"/>
                <w:sz w:val="20"/>
                <w:szCs w:val="20"/>
                <w:lang w:bidi="ar-SA"/>
              </w:rPr>
              <w:t xml:space="preserve">Vyšší právní jistota, transparentnost </w:t>
            </w:r>
          </w:p>
        </w:tc>
      </w:tr>
    </w:tbl>
    <w:p w:rsidR="00384FC8" w:rsidRPr="00ED38E9" w:rsidRDefault="00384FC8" w:rsidP="00A70303">
      <w:pPr>
        <w:widowControl w:val="0"/>
        <w:spacing w:before="120" w:after="120" w:line="240" w:lineRule="auto"/>
        <w:rPr>
          <w:rFonts w:cs="Arial"/>
          <w:i/>
          <w:iCs/>
          <w:noProof w:val="0"/>
          <w:color w:val="000000"/>
          <w:sz w:val="20"/>
          <w:szCs w:val="20"/>
          <w:lang w:eastAsia="cs-CZ" w:bidi="ar-SA"/>
        </w:rPr>
      </w:pPr>
    </w:p>
    <w:p w:rsidR="00DC1795" w:rsidRPr="00ED38E9" w:rsidRDefault="00DC1795" w:rsidP="00B43AE5">
      <w:pPr>
        <w:keepNext/>
        <w:widowControl w:val="0"/>
        <w:spacing w:before="120" w:after="120"/>
        <w:rPr>
          <w:rFonts w:eastAsia="Calibri" w:cs="Arial"/>
          <w:b/>
          <w:noProof w:val="0"/>
          <w:szCs w:val="22"/>
          <w:lang w:bidi="ar-SA"/>
        </w:rPr>
      </w:pPr>
      <w:r w:rsidRPr="00ED38E9">
        <w:rPr>
          <w:rFonts w:eastAsia="Calibri" w:cs="Arial"/>
          <w:b/>
          <w:noProof w:val="0"/>
          <w:szCs w:val="22"/>
          <w:lang w:bidi="ar-SA"/>
        </w:rPr>
        <w:t>Vyhodnocení variant a návrh řešení:</w:t>
      </w:r>
    </w:p>
    <w:p w:rsidR="00DC1795" w:rsidRPr="00ED38E9" w:rsidRDefault="00DC1795" w:rsidP="00B43AE5">
      <w:pPr>
        <w:widowControl w:val="0"/>
        <w:spacing w:before="120" w:after="120"/>
        <w:rPr>
          <w:rFonts w:eastAsia="Calibri" w:cs="Arial"/>
          <w:noProof w:val="0"/>
          <w:szCs w:val="22"/>
          <w:lang w:bidi="ar-SA"/>
        </w:rPr>
      </w:pPr>
      <w:r w:rsidRPr="00ED38E9">
        <w:rPr>
          <w:rFonts w:eastAsia="Calibri" w:cs="Arial"/>
          <w:noProof w:val="0"/>
          <w:szCs w:val="22"/>
          <w:lang w:bidi="ar-SA"/>
        </w:rPr>
        <w:t xml:space="preserve">Žádná z variant by neměla výrazně ovlivnit primární cíl daný směrnicí EU – úroveň sběru, zvolená právní forma kolektivního systému bude mít vliv především na náklady KS. Protože KS musí být schopen plnit své finanční závazky a splňovat kritéria vyplývající z povinnosti pro získání oprávnění k provozování KS, pak z důvodu vyšší transparentnosti a zaručení rovných podmínek pro povinné subjekty není vhodné zachovávání současného stavu (Varianty 0). </w:t>
      </w:r>
    </w:p>
    <w:p w:rsidR="00DC1795" w:rsidRPr="00ED38E9" w:rsidRDefault="00DC1795" w:rsidP="009A5282">
      <w:pPr>
        <w:widowControl w:val="0"/>
        <w:spacing w:before="120"/>
        <w:rPr>
          <w:rFonts w:eastAsia="Calibri" w:cs="Arial"/>
          <w:noProof w:val="0"/>
          <w:szCs w:val="22"/>
          <w:lang w:bidi="ar-SA"/>
        </w:rPr>
      </w:pPr>
      <w:r w:rsidRPr="00ED38E9">
        <w:rPr>
          <w:rFonts w:eastAsia="Calibri" w:cs="Arial"/>
          <w:noProof w:val="0"/>
          <w:szCs w:val="22"/>
          <w:lang w:bidi="ar-SA"/>
        </w:rPr>
        <w:t xml:space="preserve">Na základě výše uvedeného příkladu zde existuje reálné riziko, že může dojít ke změně definice pojmu akciová společnost (i pojmu společnost s ručením omezeným), která pak může být v rozporu s původním záměrem návrhu zákona, proto je z hlediska právní jistoty hodnocena Varianta 2 jako vhodnější než Varianta 1b, případně Varianta 1a. Povinná forma a.s. by navíc představovala neopodstatněné dodatečné náklady pro některé KS ve formě převodu obchodní korporace na právní formu akciové společnosti. Na základě výše uvedeného </w:t>
      </w:r>
      <w:r w:rsidRPr="00ED38E9">
        <w:rPr>
          <w:rFonts w:eastAsia="Calibri" w:cs="Arial"/>
          <w:b/>
          <w:noProof w:val="0"/>
          <w:szCs w:val="22"/>
          <w:lang w:bidi="ar-SA"/>
        </w:rPr>
        <w:t xml:space="preserve">doporučujeme realizaci Varianty 2 </w:t>
      </w:r>
      <w:r w:rsidRPr="00ED38E9">
        <w:rPr>
          <w:rFonts w:eastAsia="Calibri" w:cs="Arial"/>
          <w:noProof w:val="0"/>
          <w:szCs w:val="22"/>
          <w:lang w:bidi="ar-SA"/>
        </w:rPr>
        <w:t xml:space="preserve">- </w:t>
      </w:r>
      <w:r w:rsidR="00FA23E6">
        <w:rPr>
          <w:rFonts w:eastAsia="Calibri" w:cs="Arial"/>
          <w:noProof w:val="0"/>
          <w:szCs w:val="22"/>
          <w:lang w:bidi="ar-SA"/>
        </w:rPr>
        <w:t>možnost volby</w:t>
      </w:r>
      <w:r w:rsidR="00FA23E6" w:rsidRPr="00ED38E9">
        <w:rPr>
          <w:rFonts w:eastAsia="Calibri" w:cs="Arial"/>
          <w:noProof w:val="0"/>
          <w:szCs w:val="22"/>
          <w:lang w:bidi="ar-SA"/>
        </w:rPr>
        <w:t xml:space="preserve"> právní form</w:t>
      </w:r>
      <w:r w:rsidR="00FA23E6">
        <w:rPr>
          <w:rFonts w:eastAsia="Calibri" w:cs="Arial"/>
          <w:noProof w:val="0"/>
          <w:szCs w:val="22"/>
          <w:lang w:bidi="ar-SA"/>
        </w:rPr>
        <w:t>y</w:t>
      </w:r>
      <w:r w:rsidR="00FA23E6" w:rsidRPr="00ED38E9">
        <w:rPr>
          <w:rFonts w:eastAsia="Calibri" w:cs="Arial"/>
          <w:noProof w:val="0"/>
          <w:szCs w:val="22"/>
          <w:lang w:bidi="ar-SA"/>
        </w:rPr>
        <w:t xml:space="preserve"> založení KS </w:t>
      </w:r>
      <w:r w:rsidR="00FA23E6">
        <w:rPr>
          <w:rFonts w:eastAsia="Calibri" w:cs="Arial"/>
          <w:noProof w:val="0"/>
          <w:szCs w:val="22"/>
          <w:lang w:bidi="ar-SA"/>
        </w:rPr>
        <w:t xml:space="preserve">jako a.s. nebo jako s.r.o. </w:t>
      </w:r>
      <w:r w:rsidRPr="00ED38E9">
        <w:rPr>
          <w:rFonts w:eastAsia="Calibri" w:cs="Arial"/>
          <w:noProof w:val="0"/>
          <w:szCs w:val="22"/>
          <w:lang w:bidi="ar-SA"/>
        </w:rPr>
        <w:t xml:space="preserve"> s blíže definovanými znaky.</w:t>
      </w:r>
      <w:r w:rsidRPr="00ED38E9">
        <w:rPr>
          <w:rFonts w:eastAsia="Calibri" w:cs="Arial"/>
          <w:b/>
          <w:noProof w:val="0"/>
          <w:szCs w:val="22"/>
          <w:lang w:bidi="ar-SA"/>
        </w:rPr>
        <w:t xml:space="preserve"> </w:t>
      </w:r>
    </w:p>
    <w:p w:rsidR="00DC1795" w:rsidRPr="00ED38E9" w:rsidRDefault="00DC1795" w:rsidP="0011664A">
      <w:pPr>
        <w:pStyle w:val="Nadpis1"/>
      </w:pPr>
      <w:bookmarkStart w:id="92" w:name="_Toc406598337"/>
      <w:bookmarkStart w:id="93" w:name="_Toc441759875"/>
      <w:bookmarkStart w:id="94" w:name="_Toc441760187"/>
      <w:r w:rsidRPr="00ED38E9">
        <w:lastRenderedPageBreak/>
        <w:t>Způsob financování činností KS</w:t>
      </w:r>
      <w:bookmarkEnd w:id="92"/>
      <w:bookmarkEnd w:id="93"/>
      <w:bookmarkEnd w:id="94"/>
    </w:p>
    <w:p w:rsidR="00725D27" w:rsidRDefault="00725D27" w:rsidP="0011664A">
      <w:pPr>
        <w:pStyle w:val="Nadpis2"/>
      </w:pPr>
      <w:bookmarkStart w:id="95" w:name="_Toc441759876"/>
      <w:r>
        <w:t>Definice problému a popis současného stavu</w:t>
      </w:r>
      <w:bookmarkEnd w:id="95"/>
    </w:p>
    <w:p w:rsidR="00DC1795" w:rsidRPr="00ED38E9" w:rsidRDefault="00DC1795" w:rsidP="00B43AE5">
      <w:pPr>
        <w:spacing w:before="120" w:after="120"/>
        <w:rPr>
          <w:rFonts w:eastAsia="Calibri" w:cs="Arial"/>
          <w:noProof w:val="0"/>
          <w:szCs w:val="22"/>
          <w:lang w:bidi="ar-SA"/>
        </w:rPr>
      </w:pPr>
      <w:r w:rsidRPr="00ED38E9">
        <w:rPr>
          <w:rFonts w:eastAsia="Calibri" w:cs="Arial"/>
          <w:b/>
          <w:noProof w:val="0"/>
          <w:szCs w:val="22"/>
          <w:lang w:bidi="ar-SA"/>
        </w:rPr>
        <w:t>Popis současného stavu:</w:t>
      </w:r>
      <w:r w:rsidRPr="00ED38E9">
        <w:rPr>
          <w:rFonts w:eastAsia="Calibri" w:cs="Arial"/>
          <w:noProof w:val="0"/>
          <w:szCs w:val="22"/>
          <w:lang w:bidi="ar-SA"/>
        </w:rPr>
        <w:t xml:space="preserve"> Současná právní úprava nedefinuje jednoznačně způsob financování činnosti KS a umožňuje tak paralelní existenci dvou systémů „zálohového“ a „průběžného“.</w:t>
      </w:r>
    </w:p>
    <w:p w:rsidR="00DC1795" w:rsidRPr="00ED38E9" w:rsidRDefault="00DC1795" w:rsidP="00B43AE5">
      <w:pPr>
        <w:spacing w:before="120" w:after="120"/>
        <w:rPr>
          <w:rFonts w:eastAsia="Calibri" w:cs="Arial"/>
          <w:noProof w:val="0"/>
          <w:szCs w:val="22"/>
          <w:lang w:bidi="ar-SA"/>
        </w:rPr>
      </w:pPr>
      <w:r w:rsidRPr="00ED38E9">
        <w:rPr>
          <w:rFonts w:eastAsia="Calibri" w:cs="Arial"/>
          <w:b/>
          <w:noProof w:val="0"/>
          <w:szCs w:val="22"/>
          <w:lang w:bidi="ar-SA"/>
        </w:rPr>
        <w:t>Definice problému:</w:t>
      </w:r>
      <w:r w:rsidRPr="00ED38E9">
        <w:rPr>
          <w:rFonts w:eastAsia="Calibri" w:cs="Arial"/>
          <w:noProof w:val="0"/>
          <w:szCs w:val="22"/>
          <w:lang w:bidi="ar-SA"/>
        </w:rPr>
        <w:t xml:space="preserve"> Souběžná existence dvou rozdílných typů financování, které mají různé dopady na zúčastněné subjekty a čelí různým rizikům, může pro KS vytvářet rozdílné podmínky pro hospodářskou soutěž. S ohledem na charakter předmětu podnikání je žádoucí snažit se o zajištění stejných podmínek k podnikání pro všechny zúčastněné subjekty.</w:t>
      </w:r>
    </w:p>
    <w:p w:rsidR="00725D27" w:rsidRDefault="00725D27" w:rsidP="0011664A">
      <w:pPr>
        <w:pStyle w:val="Nadpis2"/>
      </w:pPr>
      <w:bookmarkStart w:id="96" w:name="_Toc441759877"/>
      <w:r>
        <w:t>Popis cílového stavu</w:t>
      </w:r>
      <w:bookmarkEnd w:id="96"/>
    </w:p>
    <w:p w:rsidR="00DC1795" w:rsidRPr="00ED38E9" w:rsidRDefault="00DC1795" w:rsidP="00B43AE5">
      <w:pPr>
        <w:spacing w:before="120" w:after="120"/>
        <w:rPr>
          <w:rFonts w:eastAsia="Calibri" w:cs="Arial"/>
          <w:noProof w:val="0"/>
          <w:szCs w:val="22"/>
          <w:lang w:bidi="ar-SA"/>
        </w:rPr>
      </w:pPr>
      <w:r w:rsidRPr="00ED38E9">
        <w:rPr>
          <w:rFonts w:eastAsia="Calibri" w:cs="Arial"/>
          <w:noProof w:val="0"/>
          <w:szCs w:val="22"/>
          <w:lang w:bidi="ar-SA"/>
        </w:rPr>
        <w:t xml:space="preserve">Hlavním cílem je dosažení minimálně požadované úrovně </w:t>
      </w:r>
      <w:r w:rsidR="00404605">
        <w:rPr>
          <w:rFonts w:eastAsia="Calibri" w:cs="Arial"/>
          <w:noProof w:val="0"/>
          <w:szCs w:val="22"/>
          <w:lang w:bidi="ar-SA"/>
        </w:rPr>
        <w:t>zpětného odběru výrobků s ukončenou životností</w:t>
      </w:r>
      <w:r w:rsidRPr="00ED38E9">
        <w:rPr>
          <w:rFonts w:eastAsia="Calibri" w:cs="Arial"/>
          <w:noProof w:val="0"/>
          <w:szCs w:val="22"/>
          <w:lang w:bidi="ar-SA"/>
        </w:rPr>
        <w:t>. Vedlejším cílem je zajištění transparentního způsobu financování s minimalizací negativních efektů na zúčastněné subjekty.</w:t>
      </w:r>
    </w:p>
    <w:p w:rsidR="00DC1795" w:rsidRPr="00ED38E9" w:rsidRDefault="00DC1795" w:rsidP="0011664A">
      <w:pPr>
        <w:pStyle w:val="Nadpis2"/>
        <w:rPr>
          <w:rFonts w:eastAsia="Calibri"/>
          <w:lang w:bidi="ar-SA"/>
        </w:rPr>
      </w:pPr>
      <w:bookmarkStart w:id="97" w:name="_Toc441759878"/>
      <w:r w:rsidRPr="00ED38E9">
        <w:rPr>
          <w:rFonts w:eastAsia="Calibri"/>
          <w:lang w:bidi="ar-SA"/>
        </w:rPr>
        <w:t>Varianty řešení:</w:t>
      </w:r>
      <w:bookmarkEnd w:id="97"/>
    </w:p>
    <w:p w:rsidR="00DC1795" w:rsidRPr="00ED38E9" w:rsidRDefault="00DC1795" w:rsidP="00B43AE5">
      <w:pPr>
        <w:spacing w:before="120" w:after="120"/>
        <w:rPr>
          <w:rFonts w:eastAsia="Calibri" w:cs="Arial"/>
          <w:noProof w:val="0"/>
          <w:szCs w:val="22"/>
          <w:lang w:bidi="ar-SA"/>
        </w:rPr>
      </w:pPr>
      <w:r w:rsidRPr="00ED38E9">
        <w:rPr>
          <w:rFonts w:eastAsia="Calibri" w:cs="Arial"/>
          <w:b/>
          <w:noProof w:val="0"/>
          <w:szCs w:val="22"/>
          <w:lang w:bidi="ar-SA"/>
        </w:rPr>
        <w:t>Varianta 0</w:t>
      </w:r>
      <w:r w:rsidRPr="00ED38E9">
        <w:rPr>
          <w:rFonts w:eastAsia="Calibri" w:cs="Arial"/>
          <w:noProof w:val="0"/>
          <w:szCs w:val="22"/>
          <w:lang w:bidi="ar-SA"/>
        </w:rPr>
        <w:t xml:space="preserve"> – ponechání stávajícího stavu souběžné existence obou způsobů financování</w:t>
      </w:r>
    </w:p>
    <w:p w:rsidR="00DC1795" w:rsidRPr="00ED38E9" w:rsidRDefault="00DC1795" w:rsidP="00B43AE5">
      <w:pPr>
        <w:spacing w:before="120" w:after="120"/>
        <w:rPr>
          <w:rFonts w:eastAsia="Calibri" w:cs="Arial"/>
          <w:noProof w:val="0"/>
          <w:szCs w:val="22"/>
          <w:lang w:bidi="ar-SA"/>
        </w:rPr>
      </w:pPr>
      <w:r w:rsidRPr="00ED38E9">
        <w:rPr>
          <w:rFonts w:eastAsia="Calibri" w:cs="Arial"/>
          <w:b/>
          <w:noProof w:val="0"/>
          <w:szCs w:val="22"/>
          <w:lang w:bidi="ar-SA"/>
        </w:rPr>
        <w:t>Varianta 1</w:t>
      </w:r>
      <w:r w:rsidRPr="00ED38E9">
        <w:rPr>
          <w:rFonts w:eastAsia="Calibri" w:cs="Arial"/>
          <w:noProof w:val="0"/>
          <w:szCs w:val="22"/>
          <w:lang w:bidi="ar-SA"/>
        </w:rPr>
        <w:t xml:space="preserve"> – povolení pouze průběžného systému financování</w:t>
      </w:r>
    </w:p>
    <w:p w:rsidR="00DC1795" w:rsidRPr="00ED38E9" w:rsidRDefault="00DC1795" w:rsidP="00B43AE5">
      <w:pPr>
        <w:spacing w:before="120" w:after="120"/>
        <w:rPr>
          <w:rFonts w:eastAsia="Calibri" w:cs="Arial"/>
          <w:noProof w:val="0"/>
          <w:szCs w:val="22"/>
          <w:lang w:bidi="ar-SA"/>
        </w:rPr>
      </w:pPr>
      <w:r w:rsidRPr="00ED38E9">
        <w:rPr>
          <w:rFonts w:eastAsia="Calibri" w:cs="Arial"/>
          <w:b/>
          <w:noProof w:val="0"/>
          <w:szCs w:val="22"/>
          <w:lang w:bidi="ar-SA"/>
        </w:rPr>
        <w:t>Varianta 2</w:t>
      </w:r>
      <w:r w:rsidRPr="00ED38E9">
        <w:rPr>
          <w:rFonts w:eastAsia="Calibri" w:cs="Arial"/>
          <w:noProof w:val="0"/>
          <w:szCs w:val="22"/>
          <w:lang w:bidi="ar-SA"/>
        </w:rPr>
        <w:t xml:space="preserve"> – povolení pouze zálohového systému financování</w:t>
      </w:r>
    </w:p>
    <w:p w:rsidR="00DC1795" w:rsidRPr="00ED38E9" w:rsidRDefault="00DC1795" w:rsidP="0011664A">
      <w:pPr>
        <w:pStyle w:val="Nadpis2"/>
        <w:rPr>
          <w:rFonts w:eastAsia="Calibri"/>
          <w:lang w:bidi="ar-SA"/>
        </w:rPr>
      </w:pPr>
      <w:bookmarkStart w:id="98" w:name="_Toc441759879"/>
      <w:r w:rsidRPr="00ED38E9">
        <w:rPr>
          <w:rFonts w:eastAsia="Calibri"/>
          <w:lang w:bidi="ar-SA"/>
        </w:rPr>
        <w:t>Identifikace nákladů a přínosů:</w:t>
      </w:r>
      <w:bookmarkEnd w:id="98"/>
    </w:p>
    <w:p w:rsidR="00DC1795" w:rsidRPr="00ED38E9" w:rsidRDefault="00DC1795" w:rsidP="00B43AE5">
      <w:pPr>
        <w:spacing w:before="120" w:after="120"/>
        <w:rPr>
          <w:rFonts w:eastAsia="Calibri" w:cs="Arial"/>
          <w:noProof w:val="0"/>
          <w:szCs w:val="22"/>
          <w:lang w:bidi="ar-SA"/>
        </w:rPr>
      </w:pPr>
      <w:r w:rsidRPr="00ED38E9">
        <w:rPr>
          <w:rFonts w:eastAsia="Calibri" w:cs="Arial"/>
          <w:noProof w:val="0"/>
          <w:szCs w:val="22"/>
          <w:lang w:bidi="ar-SA"/>
        </w:rPr>
        <w:t>Varianty 1 a 2 představují jedinou formu dodatečného nákladu</w:t>
      </w:r>
      <w:r w:rsidR="005E41EA" w:rsidRPr="00ED38E9">
        <w:rPr>
          <w:rFonts w:eastAsia="Calibri" w:cs="Arial"/>
          <w:noProof w:val="0"/>
          <w:szCs w:val="22"/>
          <w:lang w:bidi="ar-SA"/>
        </w:rPr>
        <w:t>,</w:t>
      </w:r>
      <w:r w:rsidRPr="00ED38E9">
        <w:rPr>
          <w:rFonts w:eastAsia="Calibri" w:cs="Arial"/>
          <w:noProof w:val="0"/>
          <w:szCs w:val="22"/>
          <w:lang w:bidi="ar-SA"/>
        </w:rPr>
        <w:t xml:space="preserve"> a to jsou náklady na přechod ze stávajícího systému na systém vybraný u kolektivního systému, který v současnosti používá systém opačný. V současnosti většina kolektivních systémů funguje na principu zálohového financování a lze tedy předpokládat, že přechod ze systému zálohového na průběžný by představoval vyšší náklady než naopak. Na základě uskutečněných konzultací by v případě potřeby přechod mezi systémy pro jednotlivé systémy nepředstavoval zásadní dodatečné náklady. Zásadním přínosem variant 1 a 2 oproti současnému stavu je zajištění transparentních a rovných podmínek pro účastníky trhu. Takové prostředí může mít pozitivní dopad na plnění cíle právní úpravy, tj. dosažení stanovených cílů zpětného odběru a odděleného sběru. Mimo hlavní přínos mají jednotlivé Varianty 1 a 2 přínosy a náklady vyplývající z výhod a nevýhod obou řešených systémů financování, které ovšem reálně dle zkušenosti nemají přímý dopad na plnění cíle - pokud je výrobci uložena </w:t>
      </w:r>
      <w:r w:rsidR="00A17F43">
        <w:rPr>
          <w:rFonts w:eastAsia="Calibri" w:cs="Arial"/>
          <w:noProof w:val="0"/>
          <w:szCs w:val="22"/>
          <w:lang w:bidi="ar-SA"/>
        </w:rPr>
        <w:t>rozšířená</w:t>
      </w:r>
      <w:r w:rsidRPr="00ED38E9">
        <w:rPr>
          <w:rFonts w:eastAsia="Calibri" w:cs="Arial"/>
          <w:noProof w:val="0"/>
          <w:szCs w:val="22"/>
          <w:lang w:bidi="ar-SA"/>
        </w:rPr>
        <w:t xml:space="preserve"> odpovědnost, je na jeho interních procesech, jakým způsobem splnění povinností zajistí; klíčovou podmínkou je zajištění vynutitelnosti této povinnosti a </w:t>
      </w:r>
      <w:proofErr w:type="spellStart"/>
      <w:r w:rsidRPr="00ED38E9">
        <w:rPr>
          <w:rFonts w:eastAsia="Calibri" w:cs="Arial"/>
          <w:noProof w:val="0"/>
          <w:szCs w:val="22"/>
          <w:lang w:bidi="ar-SA"/>
        </w:rPr>
        <w:t>sankcionovatelnosti</w:t>
      </w:r>
      <w:proofErr w:type="spellEnd"/>
      <w:r w:rsidRPr="00ED38E9">
        <w:rPr>
          <w:rFonts w:eastAsia="Calibri" w:cs="Arial"/>
          <w:noProof w:val="0"/>
          <w:szCs w:val="22"/>
          <w:lang w:bidi="ar-SA"/>
        </w:rPr>
        <w:t xml:space="preserve"> v případě neplnění. Popis možných systémů financování včetně jejich výhod a nevýhod je </w:t>
      </w:r>
      <w:r w:rsidR="005E41EA" w:rsidRPr="00ED38E9">
        <w:rPr>
          <w:rFonts w:eastAsia="Calibri" w:cs="Arial"/>
          <w:noProof w:val="0"/>
          <w:szCs w:val="22"/>
          <w:lang w:bidi="ar-SA"/>
        </w:rPr>
        <w:t xml:space="preserve">uveden </w:t>
      </w:r>
      <w:r w:rsidRPr="00ED38E9">
        <w:rPr>
          <w:rFonts w:eastAsia="Calibri" w:cs="Arial"/>
          <w:noProof w:val="0"/>
          <w:szCs w:val="22"/>
          <w:lang w:bidi="ar-SA"/>
        </w:rPr>
        <w:t>níže.</w:t>
      </w:r>
    </w:p>
    <w:p w:rsidR="00DC1795" w:rsidRPr="00ED38E9" w:rsidRDefault="00DC1795" w:rsidP="00B43AE5">
      <w:pPr>
        <w:keepNext/>
        <w:spacing w:before="120" w:after="120"/>
        <w:rPr>
          <w:rFonts w:eastAsia="Calibri" w:cs="Arial"/>
          <w:b/>
          <w:noProof w:val="0"/>
          <w:szCs w:val="22"/>
          <w:lang w:bidi="ar-SA"/>
        </w:rPr>
      </w:pPr>
      <w:r w:rsidRPr="00ED38E9">
        <w:rPr>
          <w:rFonts w:eastAsia="Calibri" w:cs="Arial"/>
          <w:b/>
          <w:noProof w:val="0"/>
          <w:szCs w:val="22"/>
          <w:lang w:bidi="ar-SA"/>
        </w:rPr>
        <w:t>Průběžný systém financování</w:t>
      </w:r>
    </w:p>
    <w:p w:rsidR="00DC1795" w:rsidRPr="00ED38E9" w:rsidRDefault="00DC1795" w:rsidP="00B43AE5">
      <w:pPr>
        <w:keepNext/>
        <w:spacing w:before="120" w:after="120"/>
        <w:rPr>
          <w:rFonts w:eastAsia="Calibri" w:cs="Arial"/>
          <w:b/>
          <w:noProof w:val="0"/>
          <w:szCs w:val="22"/>
          <w:lang w:bidi="ar-SA"/>
        </w:rPr>
      </w:pPr>
      <w:r w:rsidRPr="00ED38E9">
        <w:rPr>
          <w:rFonts w:eastAsia="Calibri" w:cs="Arial"/>
          <w:b/>
          <w:noProof w:val="0"/>
          <w:szCs w:val="22"/>
          <w:lang w:bidi="ar-SA"/>
        </w:rPr>
        <w:t>Výhody</w:t>
      </w:r>
    </w:p>
    <w:p w:rsidR="00DC1795" w:rsidRPr="00ED38E9" w:rsidRDefault="00DC1795" w:rsidP="00B43AE5">
      <w:pPr>
        <w:spacing w:before="120" w:after="120"/>
        <w:rPr>
          <w:rFonts w:eastAsia="Calibri" w:cs="Arial"/>
          <w:noProof w:val="0"/>
          <w:szCs w:val="22"/>
          <w:lang w:bidi="ar-SA"/>
        </w:rPr>
      </w:pPr>
      <w:r w:rsidRPr="00ED38E9">
        <w:rPr>
          <w:rFonts w:eastAsia="Calibri" w:cs="Arial"/>
          <w:noProof w:val="0"/>
          <w:szCs w:val="22"/>
          <w:lang w:bidi="ar-SA"/>
        </w:rPr>
        <w:t xml:space="preserve">V rámci průběžného systému nejsou tvořeny finanční rezervy k úhradě budoucích nákladů na zajištění povinností výrobce. Průběžný systém využívá k úhradě nákladů na zajištění </w:t>
      </w:r>
      <w:r w:rsidRPr="00ED38E9">
        <w:rPr>
          <w:rFonts w:eastAsia="Calibri" w:cs="Arial"/>
          <w:noProof w:val="0"/>
          <w:szCs w:val="22"/>
          <w:lang w:bidi="ar-SA"/>
        </w:rPr>
        <w:lastRenderedPageBreak/>
        <w:t xml:space="preserve">povinností výrobce v daném roce prostředky vybrané prostřednictvím recyklačního </w:t>
      </w:r>
      <w:r w:rsidR="00404605">
        <w:rPr>
          <w:rFonts w:eastAsia="Calibri" w:cs="Arial"/>
          <w:noProof w:val="0"/>
          <w:szCs w:val="22"/>
          <w:lang w:bidi="ar-SA"/>
        </w:rPr>
        <w:t>příspěvku</w:t>
      </w:r>
      <w:r w:rsidR="00404605" w:rsidRPr="00ED38E9">
        <w:rPr>
          <w:rFonts w:eastAsia="Calibri" w:cs="Arial"/>
          <w:noProof w:val="0"/>
          <w:szCs w:val="22"/>
          <w:lang w:bidi="ar-SA"/>
        </w:rPr>
        <w:t xml:space="preserve"> </w:t>
      </w:r>
      <w:r w:rsidRPr="00ED38E9">
        <w:rPr>
          <w:rFonts w:eastAsia="Calibri" w:cs="Arial"/>
          <w:noProof w:val="0"/>
          <w:szCs w:val="22"/>
          <w:lang w:bidi="ar-SA"/>
        </w:rPr>
        <w:t xml:space="preserve">za zboží uvedené na trh výrobci v kolektivním systému v daném roce. </w:t>
      </w:r>
    </w:p>
    <w:p w:rsidR="00DC1795" w:rsidRPr="00ED38E9" w:rsidRDefault="00DC1795" w:rsidP="00B43AE5">
      <w:pPr>
        <w:keepNext/>
        <w:spacing w:before="120" w:after="120"/>
        <w:rPr>
          <w:rFonts w:eastAsia="Calibri" w:cs="Arial"/>
          <w:b/>
          <w:noProof w:val="0"/>
          <w:szCs w:val="22"/>
          <w:lang w:bidi="ar-SA"/>
        </w:rPr>
      </w:pPr>
      <w:r w:rsidRPr="00ED38E9">
        <w:rPr>
          <w:rFonts w:eastAsia="Calibri" w:cs="Arial"/>
          <w:b/>
          <w:noProof w:val="0"/>
          <w:szCs w:val="22"/>
          <w:lang w:bidi="ar-SA"/>
        </w:rPr>
        <w:t>Nevýhody</w:t>
      </w:r>
    </w:p>
    <w:p w:rsidR="00DC1795" w:rsidRPr="00ED38E9" w:rsidRDefault="00DC1795" w:rsidP="00B43AE5">
      <w:pPr>
        <w:spacing w:before="120" w:after="120"/>
        <w:rPr>
          <w:rFonts w:eastAsia="Calibri" w:cs="Arial"/>
          <w:noProof w:val="0"/>
          <w:szCs w:val="22"/>
          <w:lang w:bidi="ar-SA"/>
        </w:rPr>
      </w:pPr>
      <w:r w:rsidRPr="00ED38E9">
        <w:rPr>
          <w:rFonts w:eastAsia="Calibri" w:cs="Arial"/>
          <w:noProof w:val="0"/>
          <w:szCs w:val="22"/>
          <w:lang w:bidi="ar-SA"/>
        </w:rPr>
        <w:t>Tento způsob financování je výrazně náchylnější k výkyvům hospodářské</w:t>
      </w:r>
      <w:r w:rsidR="00F71A1A" w:rsidRPr="00ED38E9">
        <w:rPr>
          <w:rFonts w:eastAsia="Calibri" w:cs="Arial"/>
          <w:noProof w:val="0"/>
          <w:szCs w:val="22"/>
          <w:lang w:bidi="ar-SA"/>
        </w:rPr>
        <w:t>ho</w:t>
      </w:r>
      <w:r w:rsidRPr="00ED38E9">
        <w:rPr>
          <w:rFonts w:eastAsia="Calibri" w:cs="Arial"/>
          <w:noProof w:val="0"/>
          <w:szCs w:val="22"/>
          <w:lang w:bidi="ar-SA"/>
        </w:rPr>
        <w:t xml:space="preserve"> cyklu, což může vést k deficitnímu hospodaření. Existence deficitního hospodaření pak může potenciálně ohrozit úroveň sběru či kvalitu recyklace a představuje tak riziko nesplnění stanovených cílů, </w:t>
      </w:r>
      <w:r w:rsidR="00404605">
        <w:rPr>
          <w:rFonts w:eastAsia="Calibri" w:cs="Arial"/>
          <w:noProof w:val="0"/>
          <w:szCs w:val="22"/>
          <w:lang w:bidi="ar-SA"/>
        </w:rPr>
        <w:t>zejména</w:t>
      </w:r>
      <w:r w:rsidRPr="00ED38E9">
        <w:rPr>
          <w:rFonts w:eastAsia="Calibri" w:cs="Arial"/>
          <w:noProof w:val="0"/>
          <w:szCs w:val="22"/>
          <w:lang w:bidi="ar-SA"/>
        </w:rPr>
        <w:t xml:space="preserve"> v oblasti sběru OEEZ, případně recyklace OEEZ. Předejít riziku deficitního hospodaření lze jednak častou aktualizací výše recyklačních </w:t>
      </w:r>
      <w:r w:rsidR="007D17E4">
        <w:rPr>
          <w:rFonts w:eastAsia="Calibri" w:cs="Arial"/>
          <w:noProof w:val="0"/>
          <w:szCs w:val="22"/>
          <w:lang w:bidi="ar-SA"/>
        </w:rPr>
        <w:t>příspěvků</w:t>
      </w:r>
      <w:r w:rsidR="007D17E4" w:rsidRPr="00ED38E9">
        <w:rPr>
          <w:rFonts w:eastAsia="Calibri" w:cs="Arial"/>
          <w:noProof w:val="0"/>
          <w:szCs w:val="22"/>
          <w:lang w:bidi="ar-SA"/>
        </w:rPr>
        <w:t xml:space="preserve"> </w:t>
      </w:r>
      <w:r w:rsidRPr="00ED38E9">
        <w:rPr>
          <w:rFonts w:eastAsia="Calibri" w:cs="Arial"/>
          <w:noProof w:val="0"/>
          <w:szCs w:val="22"/>
          <w:lang w:bidi="ar-SA"/>
        </w:rPr>
        <w:t xml:space="preserve">(PNE) anebo tvorbou rezerv ze zisku. V takovém případě se ovšem jedná o hybrid mezi systémem průběžným a zálohovým. Neméně důležitým aspektem je problematika odchodu významného výrobce z českého trhu či přechodu do jiného KS. V takovém případě neexistují přímé prostředky, které by bylo možné využít na </w:t>
      </w:r>
      <w:r w:rsidR="00977513">
        <w:rPr>
          <w:rFonts w:eastAsia="Calibri" w:cs="Arial"/>
          <w:noProof w:val="0"/>
          <w:szCs w:val="22"/>
          <w:lang w:bidi="ar-SA"/>
        </w:rPr>
        <w:t xml:space="preserve"> nakládání s </w:t>
      </w:r>
      <w:r w:rsidR="007D17E4">
        <w:rPr>
          <w:rFonts w:eastAsia="Calibri" w:cs="Arial"/>
          <w:noProof w:val="0"/>
          <w:szCs w:val="22"/>
          <w:lang w:bidi="ar-SA"/>
        </w:rPr>
        <w:t>VUŽ</w:t>
      </w:r>
      <w:r w:rsidR="007D17E4" w:rsidRPr="00ED38E9">
        <w:rPr>
          <w:rFonts w:eastAsia="Calibri" w:cs="Arial"/>
          <w:noProof w:val="0"/>
          <w:szCs w:val="22"/>
          <w:lang w:bidi="ar-SA"/>
        </w:rPr>
        <w:t xml:space="preserve"> </w:t>
      </w:r>
      <w:r w:rsidRPr="00ED38E9">
        <w:rPr>
          <w:rFonts w:eastAsia="Calibri" w:cs="Arial"/>
          <w:noProof w:val="0"/>
          <w:szCs w:val="22"/>
          <w:lang w:bidi="ar-SA"/>
        </w:rPr>
        <w:t>uveden</w:t>
      </w:r>
      <w:r w:rsidR="00977513">
        <w:rPr>
          <w:rFonts w:eastAsia="Calibri" w:cs="Arial"/>
          <w:noProof w:val="0"/>
          <w:szCs w:val="22"/>
          <w:lang w:bidi="ar-SA"/>
        </w:rPr>
        <w:t>ým</w:t>
      </w:r>
      <w:r w:rsidRPr="00ED38E9">
        <w:rPr>
          <w:rFonts w:eastAsia="Calibri" w:cs="Arial"/>
          <w:noProof w:val="0"/>
          <w:szCs w:val="22"/>
          <w:lang w:bidi="ar-SA"/>
        </w:rPr>
        <w:t xml:space="preserve"> v minulosti </w:t>
      </w:r>
      <w:r w:rsidR="00977513">
        <w:rPr>
          <w:rFonts w:eastAsia="Calibri" w:cs="Arial"/>
          <w:noProof w:val="0"/>
          <w:szCs w:val="22"/>
          <w:lang w:bidi="ar-SA"/>
        </w:rPr>
        <w:t>tímto</w:t>
      </w:r>
      <w:r w:rsidRPr="00ED38E9">
        <w:rPr>
          <w:rFonts w:eastAsia="Calibri" w:cs="Arial"/>
          <w:noProof w:val="0"/>
          <w:szCs w:val="22"/>
          <w:lang w:bidi="ar-SA"/>
        </w:rPr>
        <w:t xml:space="preserve"> výrobce</w:t>
      </w:r>
      <w:r w:rsidR="00977513">
        <w:rPr>
          <w:rFonts w:eastAsia="Calibri" w:cs="Arial"/>
          <w:noProof w:val="0"/>
          <w:szCs w:val="22"/>
          <w:lang w:bidi="ar-SA"/>
        </w:rPr>
        <w:t>m na trh,</w:t>
      </w:r>
      <w:r w:rsidRPr="00ED38E9">
        <w:rPr>
          <w:rFonts w:eastAsia="Calibri" w:cs="Arial"/>
          <w:noProof w:val="0"/>
          <w:szCs w:val="22"/>
          <w:lang w:bidi="ar-SA"/>
        </w:rPr>
        <w:t xml:space="preserve"> a to i</w:t>
      </w:r>
      <w:r w:rsidR="00EB1018">
        <w:rPr>
          <w:rFonts w:eastAsia="Calibri" w:cs="Arial"/>
          <w:noProof w:val="0"/>
          <w:szCs w:val="22"/>
          <w:lang w:bidi="ar-SA"/>
        </w:rPr>
        <w:t> </w:t>
      </w:r>
      <w:r w:rsidRPr="00ED38E9">
        <w:rPr>
          <w:rFonts w:eastAsia="Calibri" w:cs="Arial"/>
          <w:noProof w:val="0"/>
          <w:szCs w:val="22"/>
          <w:lang w:bidi="ar-SA"/>
        </w:rPr>
        <w:t xml:space="preserve">přesto, že </w:t>
      </w:r>
      <w:proofErr w:type="gramStart"/>
      <w:r w:rsidRPr="00ED38E9">
        <w:rPr>
          <w:rFonts w:eastAsia="Calibri" w:cs="Arial"/>
          <w:noProof w:val="0"/>
          <w:szCs w:val="22"/>
          <w:lang w:bidi="ar-SA"/>
        </w:rPr>
        <w:t>PNE byl</w:t>
      </w:r>
      <w:proofErr w:type="gramEnd"/>
      <w:r w:rsidRPr="00ED38E9">
        <w:rPr>
          <w:rFonts w:eastAsia="Calibri" w:cs="Arial"/>
          <w:noProof w:val="0"/>
          <w:szCs w:val="22"/>
          <w:lang w:bidi="ar-SA"/>
        </w:rPr>
        <w:t xml:space="preserve"> při prodeji řádně zaplacen. Ke krytí nákladů by </w:t>
      </w:r>
      <w:proofErr w:type="gramStart"/>
      <w:r w:rsidRPr="00ED38E9">
        <w:rPr>
          <w:rFonts w:eastAsia="Calibri" w:cs="Arial"/>
          <w:noProof w:val="0"/>
          <w:szCs w:val="22"/>
          <w:lang w:bidi="ar-SA"/>
        </w:rPr>
        <w:t>došlo</w:t>
      </w:r>
      <w:proofErr w:type="gramEnd"/>
      <w:r w:rsidRPr="00ED38E9">
        <w:rPr>
          <w:rFonts w:eastAsia="Calibri" w:cs="Arial"/>
          <w:noProof w:val="0"/>
          <w:szCs w:val="22"/>
          <w:lang w:bidi="ar-SA"/>
        </w:rPr>
        <w:t xml:space="preserve"> za pomoci navýšení </w:t>
      </w:r>
      <w:proofErr w:type="gramStart"/>
      <w:r w:rsidRPr="00ED38E9">
        <w:rPr>
          <w:rFonts w:eastAsia="Calibri" w:cs="Arial"/>
          <w:noProof w:val="0"/>
          <w:szCs w:val="22"/>
          <w:lang w:bidi="ar-SA"/>
        </w:rPr>
        <w:t>PNE</w:t>
      </w:r>
      <w:proofErr w:type="gramEnd"/>
      <w:r w:rsidRPr="00ED38E9">
        <w:rPr>
          <w:rFonts w:eastAsia="Calibri" w:cs="Arial"/>
          <w:noProof w:val="0"/>
          <w:szCs w:val="22"/>
          <w:lang w:bidi="ar-SA"/>
        </w:rPr>
        <w:t xml:space="preserve"> od </w:t>
      </w:r>
      <w:r w:rsidR="007D17E4">
        <w:rPr>
          <w:rFonts w:eastAsia="Calibri" w:cs="Arial"/>
          <w:noProof w:val="0"/>
          <w:szCs w:val="22"/>
          <w:lang w:bidi="ar-SA"/>
        </w:rPr>
        <w:t>ostatních</w:t>
      </w:r>
      <w:r w:rsidRPr="00ED38E9">
        <w:rPr>
          <w:rFonts w:eastAsia="Calibri" w:cs="Arial"/>
          <w:noProof w:val="0"/>
          <w:szCs w:val="22"/>
          <w:lang w:bidi="ar-SA"/>
        </w:rPr>
        <w:t xml:space="preserve"> výrobců v systému, případně použití existující rezervy. V případě krachu daného výrobce</w:t>
      </w:r>
      <w:r w:rsidR="007D17E4">
        <w:rPr>
          <w:rFonts w:eastAsia="Calibri" w:cs="Arial"/>
          <w:noProof w:val="0"/>
          <w:szCs w:val="22"/>
          <w:lang w:bidi="ar-SA"/>
        </w:rPr>
        <w:t>,</w:t>
      </w:r>
      <w:r w:rsidRPr="00ED38E9">
        <w:rPr>
          <w:rFonts w:eastAsia="Calibri" w:cs="Arial"/>
          <w:noProof w:val="0"/>
          <w:szCs w:val="22"/>
          <w:lang w:bidi="ar-SA"/>
        </w:rPr>
        <w:t xml:space="preserve"> neochoty ostatních výrobců zaplatit zvýšené náklady či neexistence dostatečné rezervy k pokrytí nákladů spojených s </w:t>
      </w:r>
      <w:r w:rsidR="00977513">
        <w:rPr>
          <w:rFonts w:eastAsia="Calibri" w:cs="Arial"/>
          <w:noProof w:val="0"/>
          <w:szCs w:val="22"/>
          <w:lang w:bidi="ar-SA"/>
        </w:rPr>
        <w:t>dalším nakládáním</w:t>
      </w:r>
      <w:r w:rsidR="00977513" w:rsidRPr="00ED38E9">
        <w:rPr>
          <w:rFonts w:eastAsia="Calibri" w:cs="Arial"/>
          <w:noProof w:val="0"/>
          <w:szCs w:val="22"/>
          <w:lang w:bidi="ar-SA"/>
        </w:rPr>
        <w:t xml:space="preserve"> </w:t>
      </w:r>
      <w:r w:rsidRPr="00ED38E9">
        <w:rPr>
          <w:rFonts w:eastAsia="Calibri" w:cs="Arial"/>
          <w:noProof w:val="0"/>
          <w:szCs w:val="22"/>
          <w:lang w:bidi="ar-SA"/>
        </w:rPr>
        <w:t xml:space="preserve">je zapotřebí dodatečných prostředků od akcionářů/společníků. </w:t>
      </w:r>
    </w:p>
    <w:p w:rsidR="00DC1795" w:rsidRPr="00ED38E9" w:rsidRDefault="00DC1795" w:rsidP="00B43AE5">
      <w:pPr>
        <w:spacing w:before="120" w:after="120"/>
        <w:rPr>
          <w:rFonts w:eastAsia="Calibri" w:cs="Arial"/>
          <w:noProof w:val="0"/>
          <w:szCs w:val="22"/>
          <w:lang w:bidi="ar-SA"/>
        </w:rPr>
      </w:pPr>
      <w:r w:rsidRPr="00ED38E9">
        <w:rPr>
          <w:rFonts w:eastAsia="Calibri" w:cs="Arial"/>
          <w:noProof w:val="0"/>
          <w:szCs w:val="22"/>
          <w:lang w:bidi="ar-SA"/>
        </w:rPr>
        <w:t xml:space="preserve">Průběžný systém není vhodný pro některé </w:t>
      </w:r>
      <w:r w:rsidR="005E14AE">
        <w:rPr>
          <w:rFonts w:eastAsia="Calibri" w:cs="Arial"/>
          <w:noProof w:val="0"/>
          <w:szCs w:val="22"/>
          <w:lang w:bidi="ar-SA"/>
        </w:rPr>
        <w:t>vybrané výrobky</w:t>
      </w:r>
      <w:r w:rsidRPr="00ED38E9">
        <w:rPr>
          <w:rFonts w:eastAsia="Calibri" w:cs="Arial"/>
          <w:noProof w:val="0"/>
          <w:szCs w:val="22"/>
          <w:lang w:bidi="ar-SA"/>
        </w:rPr>
        <w:t xml:space="preserve">, například solární panely, kdy </w:t>
      </w:r>
      <w:proofErr w:type="gramStart"/>
      <w:r w:rsidRPr="00ED38E9">
        <w:rPr>
          <w:rFonts w:eastAsia="Calibri" w:cs="Arial"/>
          <w:noProof w:val="0"/>
          <w:szCs w:val="22"/>
          <w:lang w:bidi="ar-SA"/>
        </w:rPr>
        <w:t>dochází</w:t>
      </w:r>
      <w:proofErr w:type="gramEnd"/>
      <w:r w:rsidRPr="00ED38E9">
        <w:rPr>
          <w:rFonts w:eastAsia="Calibri" w:cs="Arial"/>
          <w:noProof w:val="0"/>
          <w:szCs w:val="22"/>
          <w:lang w:bidi="ar-SA"/>
        </w:rPr>
        <w:t xml:space="preserve"> k významnému časovému nesouladu mezi platbou </w:t>
      </w:r>
      <w:proofErr w:type="gramStart"/>
      <w:r w:rsidRPr="00ED38E9">
        <w:rPr>
          <w:rFonts w:eastAsia="Calibri" w:cs="Arial"/>
          <w:noProof w:val="0"/>
          <w:szCs w:val="22"/>
          <w:lang w:bidi="ar-SA"/>
        </w:rPr>
        <w:t>PNE</w:t>
      </w:r>
      <w:proofErr w:type="gramEnd"/>
      <w:r w:rsidRPr="00ED38E9">
        <w:rPr>
          <w:rFonts w:eastAsia="Calibri" w:cs="Arial"/>
          <w:noProof w:val="0"/>
          <w:szCs w:val="22"/>
          <w:lang w:bidi="ar-SA"/>
        </w:rPr>
        <w:t xml:space="preserve"> a dobou plnění ve formě úhrady nákladů za recyklaci. V takovém případě bude i u průběžného systému docházet s velkou pravděpodobností k tvorbě rezerv. </w:t>
      </w:r>
    </w:p>
    <w:p w:rsidR="00DC1795" w:rsidRPr="00ED38E9" w:rsidRDefault="00DC1795" w:rsidP="00B43AE5">
      <w:pPr>
        <w:keepNext/>
        <w:spacing w:before="120" w:after="120"/>
        <w:rPr>
          <w:rFonts w:eastAsia="Calibri" w:cs="Arial"/>
          <w:b/>
          <w:noProof w:val="0"/>
          <w:szCs w:val="22"/>
          <w:lang w:bidi="ar-SA"/>
        </w:rPr>
      </w:pPr>
      <w:r w:rsidRPr="00ED38E9">
        <w:rPr>
          <w:rFonts w:eastAsia="Calibri" w:cs="Arial"/>
          <w:b/>
          <w:noProof w:val="0"/>
          <w:szCs w:val="22"/>
          <w:lang w:bidi="ar-SA"/>
        </w:rPr>
        <w:t>Zálohový systém financování</w:t>
      </w:r>
    </w:p>
    <w:p w:rsidR="00DC1795" w:rsidRPr="00ED38E9" w:rsidRDefault="00DC1795" w:rsidP="00B43AE5">
      <w:pPr>
        <w:keepNext/>
        <w:spacing w:before="120" w:after="120"/>
        <w:rPr>
          <w:rFonts w:eastAsia="Calibri" w:cs="Arial"/>
          <w:b/>
          <w:noProof w:val="0"/>
          <w:szCs w:val="22"/>
          <w:lang w:bidi="ar-SA"/>
        </w:rPr>
      </w:pPr>
      <w:r w:rsidRPr="00ED38E9">
        <w:rPr>
          <w:rFonts w:eastAsia="Calibri" w:cs="Arial"/>
          <w:b/>
          <w:noProof w:val="0"/>
          <w:szCs w:val="22"/>
          <w:lang w:bidi="ar-SA"/>
        </w:rPr>
        <w:t>Výhody</w:t>
      </w:r>
    </w:p>
    <w:p w:rsidR="00DC1795" w:rsidRPr="00ED38E9" w:rsidRDefault="00DC1795" w:rsidP="00B43AE5">
      <w:pPr>
        <w:spacing w:before="120" w:after="120"/>
        <w:rPr>
          <w:rFonts w:eastAsia="Calibri" w:cs="Arial"/>
          <w:noProof w:val="0"/>
          <w:szCs w:val="22"/>
          <w:lang w:bidi="ar-SA"/>
        </w:rPr>
      </w:pPr>
      <w:r w:rsidRPr="00ED38E9">
        <w:rPr>
          <w:rFonts w:eastAsia="Calibri" w:cs="Arial"/>
          <w:noProof w:val="0"/>
          <w:szCs w:val="22"/>
          <w:lang w:bidi="ar-SA"/>
        </w:rPr>
        <w:t xml:space="preserve">Zálohový systém oproti systému průběžnému tvoří finanční rezervy k úhradě budoucích nákladů na zajištění povinností výrobců. Finanční rezervy představují vázané prostředky, které mají sloužit k úhradě budoucích nákladů. Z důvodu vázanosti těchto prostředků na zajištění splnění rozšíření povinnosti výrobce by bylo žádoucí k finančním rezervám takto přistupovat a v souladu s obdobnou právní úpravou vázaných prostředků (např. v pojišťovnictví) omezit možnost nakládání s těmito prostředky. Takováto právní úprava by snížila možnost KS využít vázaných prostředků pro rozvoj dalších činností, čímž by mohlo dojít k narušení hospodářské soutěže. Současně však tento systém snižuje riziko deficitního hospodaření, neboť alespoň část budoucích nákladů může být uhrazena z těchto vázaných prostředků. Další výhodou zálohového systému oproti systému průběžnému je existence prostředků určených na </w:t>
      </w:r>
      <w:r w:rsidR="00977513">
        <w:rPr>
          <w:rFonts w:eastAsia="Calibri" w:cs="Arial"/>
          <w:noProof w:val="0"/>
          <w:szCs w:val="22"/>
          <w:lang w:bidi="ar-SA"/>
        </w:rPr>
        <w:t>nakládání s</w:t>
      </w:r>
      <w:r w:rsidR="00977513" w:rsidRPr="00ED38E9">
        <w:rPr>
          <w:rFonts w:eastAsia="Calibri" w:cs="Arial"/>
          <w:noProof w:val="0"/>
          <w:szCs w:val="22"/>
          <w:lang w:bidi="ar-SA"/>
        </w:rPr>
        <w:t xml:space="preserve"> </w:t>
      </w:r>
      <w:r w:rsidR="002D153C">
        <w:rPr>
          <w:rFonts w:eastAsia="Calibri" w:cs="Arial"/>
          <w:noProof w:val="0"/>
          <w:szCs w:val="22"/>
          <w:lang w:bidi="ar-SA"/>
        </w:rPr>
        <w:t>VUŽ</w:t>
      </w:r>
      <w:r w:rsidR="002D153C" w:rsidRPr="00ED38E9">
        <w:rPr>
          <w:rFonts w:eastAsia="Calibri" w:cs="Arial"/>
          <w:noProof w:val="0"/>
          <w:szCs w:val="22"/>
          <w:lang w:bidi="ar-SA"/>
        </w:rPr>
        <w:t xml:space="preserve"> </w:t>
      </w:r>
      <w:r w:rsidRPr="00ED38E9">
        <w:rPr>
          <w:rFonts w:eastAsia="Calibri" w:cs="Arial"/>
          <w:noProof w:val="0"/>
          <w:szCs w:val="22"/>
          <w:lang w:bidi="ar-SA"/>
        </w:rPr>
        <w:t>i u výrobců, kteří odešli/zbankrotovali. KS se zálohovým systémem je schopen dostát svým závazkům vyplývajícím ze smlouvy o kolektivním plnění a splnit rozšířenou povinnost výrobce u výrobků</w:t>
      </w:r>
      <w:r w:rsidR="002D153C" w:rsidRPr="002D153C">
        <w:rPr>
          <w:rFonts w:eastAsia="Calibri" w:cs="Arial"/>
          <w:noProof w:val="0"/>
          <w:szCs w:val="22"/>
          <w:lang w:bidi="ar-SA"/>
        </w:rPr>
        <w:t xml:space="preserve"> </w:t>
      </w:r>
      <w:r w:rsidR="002D153C" w:rsidRPr="00ED38E9">
        <w:rPr>
          <w:rFonts w:eastAsia="Calibri" w:cs="Arial"/>
          <w:noProof w:val="0"/>
          <w:szCs w:val="22"/>
          <w:lang w:bidi="ar-SA"/>
        </w:rPr>
        <w:t>již uvedených</w:t>
      </w:r>
      <w:r w:rsidR="002D153C">
        <w:rPr>
          <w:rFonts w:eastAsia="Calibri" w:cs="Arial"/>
          <w:noProof w:val="0"/>
          <w:szCs w:val="22"/>
          <w:lang w:bidi="ar-SA"/>
        </w:rPr>
        <w:t xml:space="preserve"> na trh</w:t>
      </w:r>
      <w:r w:rsidRPr="00ED38E9">
        <w:rPr>
          <w:rFonts w:eastAsia="Calibri" w:cs="Arial"/>
          <w:noProof w:val="0"/>
          <w:szCs w:val="22"/>
          <w:lang w:bidi="ar-SA"/>
        </w:rPr>
        <w:t xml:space="preserve">. </w:t>
      </w:r>
    </w:p>
    <w:p w:rsidR="00DC1795" w:rsidRPr="00ED38E9" w:rsidRDefault="00DC1795" w:rsidP="00B43AE5">
      <w:pPr>
        <w:keepNext/>
        <w:spacing w:before="120" w:after="120"/>
        <w:rPr>
          <w:rFonts w:eastAsia="Calibri" w:cs="Arial"/>
          <w:b/>
          <w:noProof w:val="0"/>
          <w:szCs w:val="22"/>
          <w:lang w:bidi="ar-SA"/>
        </w:rPr>
      </w:pPr>
      <w:r w:rsidRPr="00ED38E9">
        <w:rPr>
          <w:rFonts w:eastAsia="Calibri" w:cs="Arial"/>
          <w:b/>
          <w:noProof w:val="0"/>
          <w:szCs w:val="22"/>
          <w:lang w:bidi="ar-SA"/>
        </w:rPr>
        <w:t>Nevýhody</w:t>
      </w:r>
    </w:p>
    <w:p w:rsidR="00D51B4E" w:rsidRDefault="00DC1795" w:rsidP="00B43AE5">
      <w:pPr>
        <w:spacing w:before="120" w:after="120"/>
        <w:rPr>
          <w:rFonts w:eastAsia="Calibri" w:cs="Arial"/>
          <w:noProof w:val="0"/>
          <w:szCs w:val="22"/>
          <w:lang w:bidi="ar-SA"/>
        </w:rPr>
      </w:pPr>
      <w:r w:rsidRPr="00ED38E9">
        <w:rPr>
          <w:rFonts w:eastAsia="Calibri" w:cs="Arial"/>
          <w:noProof w:val="0"/>
          <w:szCs w:val="22"/>
          <w:lang w:bidi="ar-SA"/>
        </w:rPr>
        <w:t>Zásadní nevýhodou zálohového systému financování je obtížnost stanovení reálných nákladů na zpracování, neboť dochází k časovému nesouladu mezi výběrem prostředků a</w:t>
      </w:r>
      <w:r w:rsidR="00EB1018">
        <w:rPr>
          <w:rFonts w:eastAsia="Calibri" w:cs="Arial"/>
          <w:noProof w:val="0"/>
          <w:szCs w:val="22"/>
          <w:lang w:bidi="ar-SA"/>
        </w:rPr>
        <w:t> </w:t>
      </w:r>
      <w:r w:rsidRPr="00ED38E9">
        <w:rPr>
          <w:rFonts w:eastAsia="Calibri" w:cs="Arial"/>
          <w:noProof w:val="0"/>
          <w:szCs w:val="22"/>
          <w:lang w:bidi="ar-SA"/>
        </w:rPr>
        <w:t>vznikem nákladů na recyklaci. Z tohoto důvodu může docházet k nadsazování budoucích nákladů a systém zálohový se tak v porovnání se systémem průběžným stává dražším. U</w:t>
      </w:r>
      <w:r w:rsidR="00EB1018">
        <w:rPr>
          <w:rFonts w:eastAsia="Calibri" w:cs="Arial"/>
          <w:noProof w:val="0"/>
          <w:szCs w:val="22"/>
          <w:lang w:bidi="ar-SA"/>
        </w:rPr>
        <w:t> </w:t>
      </w:r>
      <w:r w:rsidRPr="00ED38E9">
        <w:rPr>
          <w:rFonts w:eastAsia="Calibri" w:cs="Arial"/>
          <w:noProof w:val="0"/>
          <w:szCs w:val="22"/>
          <w:lang w:bidi="ar-SA"/>
        </w:rPr>
        <w:t xml:space="preserve">KS se tak </w:t>
      </w:r>
      <w:r w:rsidRPr="00ED38E9">
        <w:rPr>
          <w:rFonts w:eastAsia="Calibri" w:cs="Arial"/>
          <w:noProof w:val="0"/>
          <w:szCs w:val="22"/>
          <w:lang w:bidi="ar-SA"/>
        </w:rPr>
        <w:lastRenderedPageBreak/>
        <w:t>mohou kumulovat významné finanční prostředky, které lze použít dle současné právní úpravy bez zásadních omezení.</w:t>
      </w:r>
    </w:p>
    <w:p w:rsidR="00D51B4E" w:rsidRDefault="00D51B4E" w:rsidP="006F5445">
      <w:pPr>
        <w:pStyle w:val="Titulek"/>
      </w:pPr>
      <w:r>
        <w:t xml:space="preserve">Tabulka </w:t>
      </w:r>
      <w:r w:rsidR="00381FB7">
        <w:fldChar w:fldCharType="begin"/>
      </w:r>
      <w:r>
        <w:instrText xml:space="preserve"> SEQ Tabulka \* ARABIC </w:instrText>
      </w:r>
      <w:r w:rsidR="00381FB7">
        <w:fldChar w:fldCharType="separate"/>
      </w:r>
      <w:r w:rsidR="00FD5E92">
        <w:t>41</w:t>
      </w:r>
      <w:r w:rsidR="00381FB7">
        <w:fldChar w:fldCharType="end"/>
      </w:r>
      <w:r>
        <w:t>: Souhrn nákladů a přínosů</w:t>
      </w:r>
    </w:p>
    <w:tbl>
      <w:tblPr>
        <w:tblStyle w:val="Mkatabulky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D51B4E" w:rsidRPr="00D51B4E" w:rsidTr="00AA3350">
        <w:trPr>
          <w:trHeight w:val="64"/>
          <w:jc w:val="center"/>
        </w:trPr>
        <w:tc>
          <w:tcPr>
            <w:tcW w:w="2419" w:type="dxa"/>
            <w:shd w:val="clear" w:color="auto" w:fill="B6B002"/>
            <w:vAlign w:val="center"/>
          </w:tcPr>
          <w:p w:rsidR="00D51B4E" w:rsidRPr="00D51B4E" w:rsidRDefault="00D51B4E" w:rsidP="00D51B4E">
            <w:pPr>
              <w:spacing w:line="264" w:lineRule="auto"/>
              <w:jc w:val="center"/>
              <w:rPr>
                <w:rFonts w:cs="Arial"/>
                <w:b/>
                <w:noProof w:val="0"/>
                <w:sz w:val="20"/>
                <w:szCs w:val="20"/>
                <w:lang w:bidi="ar-SA"/>
              </w:rPr>
            </w:pPr>
          </w:p>
        </w:tc>
        <w:tc>
          <w:tcPr>
            <w:tcW w:w="3326" w:type="dxa"/>
            <w:shd w:val="clear" w:color="auto" w:fill="B6B002"/>
            <w:vAlign w:val="center"/>
          </w:tcPr>
          <w:p w:rsidR="00D51B4E" w:rsidRPr="00D51B4E" w:rsidRDefault="00D51B4E" w:rsidP="00D51B4E">
            <w:pPr>
              <w:spacing w:line="264" w:lineRule="auto"/>
              <w:rPr>
                <w:rFonts w:cs="Arial"/>
                <w:b/>
                <w:noProof w:val="0"/>
                <w:sz w:val="20"/>
                <w:szCs w:val="20"/>
                <w:lang w:bidi="ar-SA"/>
              </w:rPr>
            </w:pPr>
            <w:r w:rsidRPr="00D51B4E">
              <w:rPr>
                <w:rFonts w:cs="Arial"/>
                <w:b/>
                <w:noProof w:val="0"/>
                <w:sz w:val="20"/>
                <w:szCs w:val="20"/>
                <w:lang w:bidi="ar-SA"/>
              </w:rPr>
              <w:t>Náklady</w:t>
            </w:r>
          </w:p>
        </w:tc>
        <w:tc>
          <w:tcPr>
            <w:tcW w:w="3327" w:type="dxa"/>
            <w:shd w:val="clear" w:color="auto" w:fill="B6B002"/>
            <w:vAlign w:val="center"/>
          </w:tcPr>
          <w:p w:rsidR="00D51B4E" w:rsidRPr="00D51B4E" w:rsidRDefault="00D51B4E" w:rsidP="00D51B4E">
            <w:pPr>
              <w:spacing w:line="264" w:lineRule="auto"/>
              <w:rPr>
                <w:rFonts w:cs="Arial"/>
                <w:b/>
                <w:noProof w:val="0"/>
                <w:sz w:val="20"/>
                <w:szCs w:val="20"/>
                <w:lang w:bidi="ar-SA"/>
              </w:rPr>
            </w:pPr>
            <w:r w:rsidRPr="00D51B4E">
              <w:rPr>
                <w:rFonts w:cs="Arial"/>
                <w:b/>
                <w:noProof w:val="0"/>
                <w:sz w:val="20"/>
                <w:szCs w:val="20"/>
                <w:lang w:bidi="ar-SA"/>
              </w:rPr>
              <w:t>Přínosy</w:t>
            </w:r>
          </w:p>
        </w:tc>
      </w:tr>
    </w:tbl>
    <w:tbl>
      <w:tblPr>
        <w:tblStyle w:val="Mkatabulky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D51B4E" w:rsidRPr="00ED38E9" w:rsidTr="00AA3350">
        <w:trPr>
          <w:trHeight w:val="64"/>
          <w:jc w:val="center"/>
        </w:trPr>
        <w:tc>
          <w:tcPr>
            <w:tcW w:w="9072" w:type="dxa"/>
            <w:gridSpan w:val="3"/>
            <w:shd w:val="clear" w:color="auto" w:fill="D9D9D9"/>
            <w:vAlign w:val="center"/>
          </w:tcPr>
          <w:p w:rsidR="00D51B4E" w:rsidRPr="00ED38E9" w:rsidRDefault="00D51B4E" w:rsidP="00AA3350">
            <w:pPr>
              <w:spacing w:before="120" w:after="120"/>
              <w:rPr>
                <w:rFonts w:cs="Arial"/>
                <w:b/>
                <w:noProof w:val="0"/>
                <w:szCs w:val="22"/>
                <w:lang w:bidi="ar-SA"/>
              </w:rPr>
            </w:pPr>
            <w:r w:rsidRPr="00ED38E9">
              <w:rPr>
                <w:rFonts w:cs="Arial"/>
                <w:b/>
                <w:noProof w:val="0"/>
                <w:szCs w:val="22"/>
                <w:lang w:bidi="ar-SA"/>
              </w:rPr>
              <w:t>Způsob financování činností KS</w:t>
            </w:r>
          </w:p>
        </w:tc>
      </w:tr>
      <w:tr w:rsidR="00D51B4E" w:rsidRPr="00ED38E9" w:rsidTr="00AA3350">
        <w:trPr>
          <w:trHeight w:val="397"/>
          <w:jc w:val="center"/>
        </w:trPr>
        <w:tc>
          <w:tcPr>
            <w:tcW w:w="2419" w:type="dxa"/>
            <w:shd w:val="clear" w:color="auto" w:fill="F2F2F2"/>
            <w:vAlign w:val="center"/>
          </w:tcPr>
          <w:p w:rsidR="00D51B4E" w:rsidRPr="00ED38E9" w:rsidRDefault="00D51B4E" w:rsidP="00AA3350">
            <w:pPr>
              <w:spacing w:before="60" w:after="60" w:line="240" w:lineRule="auto"/>
              <w:jc w:val="left"/>
              <w:rPr>
                <w:rFonts w:cs="Arial"/>
                <w:noProof w:val="0"/>
                <w:sz w:val="20"/>
                <w:szCs w:val="20"/>
                <w:lang w:bidi="ar-SA"/>
              </w:rPr>
            </w:pPr>
            <w:r w:rsidRPr="00ED38E9">
              <w:rPr>
                <w:rFonts w:cs="Arial"/>
                <w:noProof w:val="0"/>
                <w:sz w:val="20"/>
                <w:szCs w:val="20"/>
                <w:lang w:bidi="ar-SA"/>
              </w:rPr>
              <w:t>Varianta 0</w:t>
            </w:r>
          </w:p>
        </w:tc>
        <w:tc>
          <w:tcPr>
            <w:tcW w:w="3326" w:type="dxa"/>
            <w:shd w:val="clear" w:color="auto" w:fill="F2F2F2"/>
            <w:vAlign w:val="center"/>
          </w:tcPr>
          <w:p w:rsidR="00D51B4E" w:rsidRPr="00ED38E9" w:rsidRDefault="00D51B4E" w:rsidP="00AA3350">
            <w:pPr>
              <w:spacing w:before="60" w:after="60" w:line="240" w:lineRule="auto"/>
              <w:jc w:val="left"/>
              <w:rPr>
                <w:rFonts w:cs="Arial"/>
                <w:noProof w:val="0"/>
                <w:sz w:val="20"/>
                <w:szCs w:val="20"/>
                <w:lang w:bidi="ar-SA"/>
              </w:rPr>
            </w:pPr>
            <w:r w:rsidRPr="000B7CBF">
              <w:rPr>
                <w:rFonts w:cs="Arial"/>
                <w:noProof w:val="0"/>
                <w:sz w:val="20"/>
                <w:szCs w:val="20"/>
                <w:lang w:bidi="ar-SA"/>
              </w:rPr>
              <w:t>nulová varianta</w:t>
            </w:r>
          </w:p>
        </w:tc>
        <w:tc>
          <w:tcPr>
            <w:tcW w:w="3327" w:type="dxa"/>
            <w:shd w:val="clear" w:color="auto" w:fill="F2F2F2"/>
            <w:vAlign w:val="center"/>
          </w:tcPr>
          <w:p w:rsidR="00D51B4E" w:rsidRPr="00ED38E9" w:rsidRDefault="00D51B4E" w:rsidP="00AA3350">
            <w:pPr>
              <w:spacing w:before="60" w:after="60" w:line="240" w:lineRule="auto"/>
              <w:jc w:val="left"/>
              <w:rPr>
                <w:rFonts w:cs="Arial"/>
                <w:noProof w:val="0"/>
                <w:sz w:val="20"/>
                <w:szCs w:val="20"/>
                <w:lang w:bidi="ar-SA"/>
              </w:rPr>
            </w:pPr>
            <w:r w:rsidRPr="000B7CBF">
              <w:rPr>
                <w:rFonts w:cs="Arial"/>
                <w:noProof w:val="0"/>
                <w:sz w:val="20"/>
                <w:szCs w:val="20"/>
                <w:lang w:bidi="ar-SA"/>
              </w:rPr>
              <w:t>nulová varianta</w:t>
            </w:r>
          </w:p>
        </w:tc>
      </w:tr>
      <w:tr w:rsidR="00D51B4E" w:rsidRPr="00ED38E9" w:rsidTr="00AA3350">
        <w:trPr>
          <w:trHeight w:val="397"/>
          <w:jc w:val="center"/>
        </w:trPr>
        <w:tc>
          <w:tcPr>
            <w:tcW w:w="2419" w:type="dxa"/>
            <w:shd w:val="clear" w:color="auto" w:fill="D9D9D9"/>
            <w:vAlign w:val="center"/>
          </w:tcPr>
          <w:p w:rsidR="00D51B4E" w:rsidRPr="00ED38E9" w:rsidRDefault="00D51B4E" w:rsidP="00AA3350">
            <w:pPr>
              <w:spacing w:before="60" w:after="60" w:line="240" w:lineRule="auto"/>
              <w:jc w:val="left"/>
              <w:rPr>
                <w:rFonts w:cs="Arial"/>
                <w:b/>
                <w:noProof w:val="0"/>
                <w:sz w:val="20"/>
                <w:szCs w:val="20"/>
                <w:u w:val="single"/>
                <w:lang w:bidi="ar-SA"/>
              </w:rPr>
            </w:pPr>
            <w:r w:rsidRPr="00ED38E9">
              <w:rPr>
                <w:rFonts w:cs="Arial"/>
                <w:b/>
                <w:noProof w:val="0"/>
                <w:sz w:val="20"/>
                <w:szCs w:val="20"/>
                <w:u w:val="single"/>
                <w:lang w:bidi="ar-SA"/>
              </w:rPr>
              <w:t>Varianta 1</w:t>
            </w:r>
          </w:p>
        </w:tc>
        <w:tc>
          <w:tcPr>
            <w:tcW w:w="3326" w:type="dxa"/>
            <w:shd w:val="clear" w:color="auto" w:fill="D9D9D9"/>
            <w:vAlign w:val="center"/>
          </w:tcPr>
          <w:p w:rsidR="00D51B4E" w:rsidRPr="00ED38E9" w:rsidRDefault="00D51B4E" w:rsidP="00AA3350">
            <w:pPr>
              <w:spacing w:before="60" w:after="60" w:line="240" w:lineRule="auto"/>
              <w:jc w:val="left"/>
              <w:rPr>
                <w:rFonts w:cs="Arial"/>
                <w:noProof w:val="0"/>
                <w:sz w:val="20"/>
                <w:szCs w:val="20"/>
                <w:lang w:bidi="ar-SA"/>
              </w:rPr>
            </w:pPr>
            <w:r w:rsidRPr="00ED38E9">
              <w:rPr>
                <w:rFonts w:cs="Arial"/>
                <w:noProof w:val="0"/>
                <w:sz w:val="20"/>
                <w:szCs w:val="20"/>
                <w:lang w:bidi="ar-SA"/>
              </w:rPr>
              <w:t>Nevýznamné</w:t>
            </w:r>
          </w:p>
        </w:tc>
        <w:tc>
          <w:tcPr>
            <w:tcW w:w="3327" w:type="dxa"/>
            <w:shd w:val="clear" w:color="auto" w:fill="D9D9D9"/>
            <w:vAlign w:val="center"/>
          </w:tcPr>
          <w:p w:rsidR="00D51B4E" w:rsidRPr="00ED38E9" w:rsidRDefault="00D51B4E" w:rsidP="00AA3350">
            <w:pPr>
              <w:spacing w:before="60" w:after="60" w:line="240" w:lineRule="auto"/>
              <w:jc w:val="left"/>
              <w:rPr>
                <w:rFonts w:cs="Arial"/>
                <w:noProof w:val="0"/>
                <w:sz w:val="20"/>
                <w:szCs w:val="20"/>
                <w:lang w:bidi="ar-SA"/>
              </w:rPr>
            </w:pPr>
            <w:r w:rsidRPr="00ED38E9">
              <w:rPr>
                <w:rFonts w:cs="Arial"/>
                <w:noProof w:val="0"/>
                <w:sz w:val="20"/>
                <w:szCs w:val="20"/>
                <w:lang w:bidi="ar-SA"/>
              </w:rPr>
              <w:t xml:space="preserve">Transparentnější podmínky, rovné podmínky pro všechny KS. </w:t>
            </w:r>
          </w:p>
        </w:tc>
      </w:tr>
      <w:tr w:rsidR="00D51B4E" w:rsidRPr="00ED38E9" w:rsidTr="00AA3350">
        <w:trPr>
          <w:trHeight w:val="397"/>
          <w:jc w:val="center"/>
        </w:trPr>
        <w:tc>
          <w:tcPr>
            <w:tcW w:w="2419" w:type="dxa"/>
            <w:shd w:val="clear" w:color="auto" w:fill="F2F2F2"/>
            <w:vAlign w:val="center"/>
          </w:tcPr>
          <w:p w:rsidR="00D51B4E" w:rsidRPr="00ED38E9" w:rsidRDefault="00D51B4E" w:rsidP="00AA3350">
            <w:pPr>
              <w:spacing w:before="60" w:after="60" w:line="240" w:lineRule="auto"/>
              <w:jc w:val="left"/>
              <w:rPr>
                <w:rFonts w:cs="Arial"/>
                <w:b/>
                <w:noProof w:val="0"/>
                <w:sz w:val="20"/>
                <w:szCs w:val="20"/>
                <w:u w:val="single"/>
                <w:lang w:bidi="ar-SA"/>
              </w:rPr>
            </w:pPr>
            <w:r w:rsidRPr="00ED38E9">
              <w:rPr>
                <w:rFonts w:cs="Arial"/>
                <w:b/>
                <w:noProof w:val="0"/>
                <w:sz w:val="20"/>
                <w:szCs w:val="20"/>
                <w:u w:val="single"/>
                <w:lang w:bidi="ar-SA"/>
              </w:rPr>
              <w:t>Varianta 2</w:t>
            </w:r>
          </w:p>
        </w:tc>
        <w:tc>
          <w:tcPr>
            <w:tcW w:w="3326" w:type="dxa"/>
            <w:shd w:val="clear" w:color="auto" w:fill="F2F2F2"/>
            <w:vAlign w:val="center"/>
          </w:tcPr>
          <w:p w:rsidR="00D51B4E" w:rsidRPr="00ED38E9" w:rsidRDefault="00D51B4E" w:rsidP="00AA3350">
            <w:pPr>
              <w:spacing w:before="60" w:after="60" w:line="240" w:lineRule="auto"/>
              <w:jc w:val="left"/>
              <w:rPr>
                <w:rFonts w:cs="Arial"/>
                <w:noProof w:val="0"/>
                <w:sz w:val="20"/>
                <w:szCs w:val="20"/>
                <w:lang w:bidi="ar-SA"/>
              </w:rPr>
            </w:pPr>
            <w:r w:rsidRPr="00ED38E9">
              <w:rPr>
                <w:rFonts w:cs="Arial"/>
                <w:noProof w:val="0"/>
                <w:sz w:val="20"/>
                <w:szCs w:val="20"/>
                <w:lang w:bidi="ar-SA"/>
              </w:rPr>
              <w:t>Nevýznamné</w:t>
            </w:r>
          </w:p>
        </w:tc>
        <w:tc>
          <w:tcPr>
            <w:tcW w:w="3327" w:type="dxa"/>
            <w:shd w:val="clear" w:color="auto" w:fill="F2F2F2"/>
            <w:vAlign w:val="center"/>
          </w:tcPr>
          <w:p w:rsidR="00D51B4E" w:rsidRPr="00ED38E9" w:rsidRDefault="00D51B4E" w:rsidP="00AA3350">
            <w:pPr>
              <w:spacing w:before="60" w:after="60" w:line="240" w:lineRule="auto"/>
              <w:jc w:val="left"/>
              <w:rPr>
                <w:rFonts w:cs="Arial"/>
                <w:noProof w:val="0"/>
                <w:sz w:val="20"/>
                <w:szCs w:val="20"/>
                <w:lang w:bidi="ar-SA"/>
              </w:rPr>
            </w:pPr>
            <w:r w:rsidRPr="00ED38E9">
              <w:rPr>
                <w:rFonts w:cs="Arial"/>
                <w:noProof w:val="0"/>
                <w:sz w:val="20"/>
                <w:szCs w:val="20"/>
                <w:lang w:bidi="ar-SA"/>
              </w:rPr>
              <w:t>Transparentnější podmínky, rovné podmínky pro všechny KS.</w:t>
            </w:r>
          </w:p>
        </w:tc>
      </w:tr>
    </w:tbl>
    <w:p w:rsidR="00D51B4E" w:rsidRPr="00ED38E9" w:rsidRDefault="00D51B4E" w:rsidP="00B43AE5">
      <w:pPr>
        <w:spacing w:before="120" w:after="120"/>
        <w:rPr>
          <w:rFonts w:eastAsia="Calibri" w:cs="Arial"/>
          <w:noProof w:val="0"/>
          <w:szCs w:val="22"/>
          <w:lang w:bidi="ar-SA"/>
        </w:rPr>
      </w:pPr>
    </w:p>
    <w:p w:rsidR="00DC1795" w:rsidRPr="00ED38E9" w:rsidRDefault="00DC1795" w:rsidP="0011664A">
      <w:pPr>
        <w:pStyle w:val="Nadpis2"/>
        <w:rPr>
          <w:rFonts w:eastAsia="Calibri"/>
          <w:lang w:bidi="ar-SA"/>
        </w:rPr>
      </w:pPr>
      <w:bookmarkStart w:id="99" w:name="_Toc441759880"/>
      <w:r w:rsidRPr="00ED38E9">
        <w:rPr>
          <w:rFonts w:eastAsia="Calibri"/>
          <w:lang w:bidi="ar-SA"/>
        </w:rPr>
        <w:t>Vyhodnocení variant a návrh řešení</w:t>
      </w:r>
      <w:bookmarkEnd w:id="99"/>
    </w:p>
    <w:p w:rsidR="00DC1795" w:rsidRPr="00ED38E9" w:rsidRDefault="00DC1795" w:rsidP="00B43AE5">
      <w:pPr>
        <w:spacing w:before="120" w:after="120"/>
        <w:rPr>
          <w:rFonts w:eastAsia="Calibri" w:cs="Arial"/>
          <w:noProof w:val="0"/>
          <w:szCs w:val="22"/>
          <w:lang w:bidi="ar-SA"/>
        </w:rPr>
      </w:pPr>
      <w:r w:rsidRPr="00ED38E9">
        <w:rPr>
          <w:rFonts w:eastAsia="Calibri" w:cs="Arial"/>
          <w:noProof w:val="0"/>
          <w:szCs w:val="22"/>
          <w:lang w:bidi="ar-SA"/>
        </w:rPr>
        <w:t xml:space="preserve">S ohledem na jeden z vedlejších cílů právní úpravy ve formě zajištění rovných podmínek pro zúčastněné subjekty doporučujeme </w:t>
      </w:r>
      <w:r w:rsidR="0000696E" w:rsidRPr="00ED38E9">
        <w:rPr>
          <w:rFonts w:eastAsia="Calibri" w:cs="Arial"/>
          <w:noProof w:val="0"/>
          <w:szCs w:val="22"/>
          <w:lang w:bidi="ar-SA"/>
        </w:rPr>
        <w:t xml:space="preserve">výběr </w:t>
      </w:r>
      <w:r w:rsidRPr="00ED38E9">
        <w:rPr>
          <w:rFonts w:eastAsia="Calibri" w:cs="Arial"/>
          <w:noProof w:val="0"/>
          <w:szCs w:val="22"/>
          <w:lang w:bidi="ar-SA"/>
        </w:rPr>
        <w:t>jednoho ze způsobů financování tak</w:t>
      </w:r>
      <w:r w:rsidR="002D153C">
        <w:rPr>
          <w:rFonts w:eastAsia="Calibri" w:cs="Arial"/>
          <w:noProof w:val="0"/>
          <w:szCs w:val="22"/>
          <w:lang w:bidi="ar-SA"/>
        </w:rPr>
        <w:t>,</w:t>
      </w:r>
      <w:r w:rsidRPr="00ED38E9">
        <w:rPr>
          <w:rFonts w:eastAsia="Calibri" w:cs="Arial"/>
          <w:noProof w:val="0"/>
          <w:szCs w:val="22"/>
          <w:lang w:bidi="ar-SA"/>
        </w:rPr>
        <w:t xml:space="preserve"> aby nedocházelo k možnému zvýhodnění </w:t>
      </w:r>
      <w:r w:rsidR="0000696E" w:rsidRPr="00ED38E9">
        <w:rPr>
          <w:rFonts w:eastAsia="Calibri" w:cs="Arial"/>
          <w:noProof w:val="0"/>
          <w:szCs w:val="22"/>
          <w:lang w:bidi="ar-SA"/>
        </w:rPr>
        <w:t>některých</w:t>
      </w:r>
      <w:r w:rsidRPr="00ED38E9">
        <w:rPr>
          <w:rFonts w:eastAsia="Calibri" w:cs="Arial"/>
          <w:noProof w:val="0"/>
          <w:szCs w:val="22"/>
          <w:lang w:bidi="ar-SA"/>
        </w:rPr>
        <w:t xml:space="preserve"> subjektů na trhu. Právní jistota a rovnost podmínek pak povede k vytvoření transparentnějšího prostředí bez neodůvodnitelných bariér, což se může pozitivně projevit na výši zpětného odběru. Na základě výše uvedeného doporučujeme realizovat Variantu 1 nebo Variantu 2</w:t>
      </w:r>
    </w:p>
    <w:p w:rsidR="00DC1795" w:rsidRPr="00ED38E9" w:rsidRDefault="00DC1795" w:rsidP="0000696E">
      <w:pPr>
        <w:spacing w:before="120"/>
        <w:rPr>
          <w:rFonts w:eastAsia="Calibri" w:cs="Arial"/>
          <w:noProof w:val="0"/>
          <w:szCs w:val="22"/>
          <w:lang w:bidi="ar-SA"/>
        </w:rPr>
      </w:pPr>
      <w:r w:rsidRPr="00ED38E9">
        <w:rPr>
          <w:rFonts w:eastAsia="Calibri" w:cs="Arial"/>
          <w:noProof w:val="0"/>
          <w:szCs w:val="22"/>
          <w:lang w:bidi="ar-SA"/>
        </w:rPr>
        <w:t>Volba mezi Variantami 1 a 2 při správném nastavení systému, který zajistí rovné podmínky pro jednotlivé kolektivní systémy, nemá přímý dopad na plnění hlavního cíle - dosažení požadované úrovně zpětného odběru a volbu mezi variantou 1 a 2 tak necháváme na politickém rozhodnutí</w:t>
      </w:r>
      <w:r w:rsidR="002D153C">
        <w:rPr>
          <w:rFonts w:eastAsia="Calibri" w:cs="Arial"/>
          <w:noProof w:val="0"/>
          <w:szCs w:val="22"/>
          <w:lang w:bidi="ar-SA"/>
        </w:rPr>
        <w:t>.</w:t>
      </w:r>
    </w:p>
    <w:p w:rsidR="00DC1795" w:rsidRPr="00ED38E9" w:rsidRDefault="00DC1795" w:rsidP="0011664A">
      <w:pPr>
        <w:pStyle w:val="Nadpis1"/>
      </w:pPr>
      <w:bookmarkStart w:id="100" w:name="_Toc406598339"/>
      <w:bookmarkStart w:id="101" w:name="_Toc441759881"/>
      <w:bookmarkStart w:id="102" w:name="_Toc441760188"/>
      <w:r w:rsidRPr="00ED38E9">
        <w:t>Předmět činnosti KS</w:t>
      </w:r>
      <w:bookmarkEnd w:id="100"/>
      <w:bookmarkEnd w:id="101"/>
      <w:bookmarkEnd w:id="102"/>
    </w:p>
    <w:p w:rsidR="00725D27" w:rsidRDefault="00725D27" w:rsidP="0011664A">
      <w:pPr>
        <w:pStyle w:val="Nadpis2"/>
      </w:pPr>
      <w:bookmarkStart w:id="103" w:name="_Toc441759882"/>
      <w:r>
        <w:t>Definice problému a popis současného stavu</w:t>
      </w:r>
      <w:bookmarkEnd w:id="103"/>
    </w:p>
    <w:p w:rsidR="00DC1795" w:rsidRDefault="0009235B" w:rsidP="007E6E96">
      <w:pPr>
        <w:spacing w:before="120" w:after="120"/>
        <w:rPr>
          <w:rFonts w:eastAsia="Calibri" w:cs="Arial"/>
          <w:noProof w:val="0"/>
          <w:szCs w:val="22"/>
          <w:lang w:bidi="ar-SA"/>
        </w:rPr>
      </w:pPr>
      <w:r>
        <w:rPr>
          <w:rFonts w:eastAsia="Calibri" w:cs="Arial"/>
          <w:noProof w:val="0"/>
          <w:szCs w:val="22"/>
          <w:lang w:bidi="ar-SA"/>
        </w:rPr>
        <w:t>S</w:t>
      </w:r>
      <w:r w:rsidR="00DC1795" w:rsidRPr="00ED38E9">
        <w:rPr>
          <w:rFonts w:eastAsia="Calibri" w:cs="Arial"/>
          <w:noProof w:val="0"/>
          <w:szCs w:val="22"/>
          <w:lang w:bidi="ar-SA"/>
        </w:rPr>
        <w:t>oučasn</w:t>
      </w:r>
      <w:r w:rsidR="00373338" w:rsidRPr="00ED38E9">
        <w:rPr>
          <w:rFonts w:eastAsia="Calibri" w:cs="Arial"/>
          <w:noProof w:val="0"/>
          <w:szCs w:val="22"/>
          <w:lang w:bidi="ar-SA"/>
        </w:rPr>
        <w:t>á</w:t>
      </w:r>
      <w:r w:rsidR="00DC1795" w:rsidRPr="00ED38E9">
        <w:rPr>
          <w:rFonts w:eastAsia="Calibri" w:cs="Arial"/>
          <w:noProof w:val="0"/>
          <w:szCs w:val="22"/>
          <w:lang w:bidi="ar-SA"/>
        </w:rPr>
        <w:t xml:space="preserve"> právní úprav</w:t>
      </w:r>
      <w:r w:rsidR="00373338" w:rsidRPr="00ED38E9">
        <w:rPr>
          <w:rFonts w:eastAsia="Calibri" w:cs="Arial"/>
          <w:noProof w:val="0"/>
          <w:szCs w:val="22"/>
          <w:lang w:bidi="ar-SA"/>
        </w:rPr>
        <w:t>a</w:t>
      </w:r>
      <w:r>
        <w:rPr>
          <w:rFonts w:eastAsia="Calibri" w:cs="Arial"/>
          <w:noProof w:val="0"/>
          <w:szCs w:val="22"/>
          <w:lang w:bidi="ar-SA"/>
        </w:rPr>
        <w:t xml:space="preserve"> v zákoně o odpadech v případě elektrozařízení</w:t>
      </w:r>
      <w:r w:rsidR="00DC1795" w:rsidRPr="00ED38E9">
        <w:rPr>
          <w:rFonts w:eastAsia="Calibri" w:cs="Arial"/>
          <w:noProof w:val="0"/>
          <w:szCs w:val="22"/>
          <w:lang w:bidi="ar-SA"/>
        </w:rPr>
        <w:t xml:space="preserve"> nespecifikuje </w:t>
      </w:r>
      <w:r w:rsidRPr="00ED38E9">
        <w:rPr>
          <w:rFonts w:eastAsia="Calibri" w:cs="Arial"/>
          <w:noProof w:val="0"/>
          <w:szCs w:val="22"/>
          <w:lang w:bidi="ar-SA"/>
        </w:rPr>
        <w:t xml:space="preserve">přesně </w:t>
      </w:r>
      <w:r w:rsidR="00DC1795" w:rsidRPr="00ED38E9">
        <w:rPr>
          <w:rFonts w:eastAsia="Calibri" w:cs="Arial"/>
          <w:noProof w:val="0"/>
          <w:szCs w:val="22"/>
          <w:lang w:bidi="ar-SA"/>
        </w:rPr>
        <w:t>předmět činnosti kolektivního systému, stejně jako nespecifikuje případná omezení akcionářů/společníků či fyzických osob ve statutárních orgánech kolektivního systému. Tato právní nejistota může vést až k situaci, kter</w:t>
      </w:r>
      <w:r w:rsidR="00373338" w:rsidRPr="00ED38E9">
        <w:rPr>
          <w:rFonts w:eastAsia="Calibri" w:cs="Arial"/>
          <w:noProof w:val="0"/>
          <w:szCs w:val="22"/>
          <w:lang w:bidi="ar-SA"/>
        </w:rPr>
        <w:t>á</w:t>
      </w:r>
      <w:r w:rsidR="00DC1795" w:rsidRPr="00ED38E9">
        <w:rPr>
          <w:rFonts w:eastAsia="Calibri" w:cs="Arial"/>
          <w:noProof w:val="0"/>
          <w:szCs w:val="22"/>
          <w:lang w:bidi="ar-SA"/>
        </w:rPr>
        <w:t xml:space="preserve"> může mít negativní dopad na hospodářskou soutěž z důvodu zneužití tržního postavení.</w:t>
      </w:r>
    </w:p>
    <w:p w:rsidR="0009235B" w:rsidRPr="00ED38E9" w:rsidRDefault="0009235B" w:rsidP="0009235B">
      <w:pPr>
        <w:spacing w:before="120" w:after="120"/>
        <w:rPr>
          <w:rFonts w:eastAsia="Calibri" w:cs="Arial"/>
          <w:noProof w:val="0"/>
          <w:szCs w:val="22"/>
          <w:lang w:bidi="ar-SA"/>
        </w:rPr>
      </w:pPr>
      <w:r>
        <w:rPr>
          <w:rFonts w:eastAsia="Calibri" w:cs="Arial"/>
          <w:noProof w:val="0"/>
          <w:szCs w:val="22"/>
          <w:lang w:bidi="ar-SA"/>
        </w:rPr>
        <w:t xml:space="preserve">V oblastech baterií a akumulátorů a pneumatik zákon o odpadech stanoví, že provozovatel KS </w:t>
      </w:r>
      <w:r w:rsidRPr="0009235B">
        <w:rPr>
          <w:rFonts w:eastAsia="Calibri" w:cs="Arial"/>
          <w:noProof w:val="0"/>
          <w:szCs w:val="22"/>
          <w:lang w:bidi="ar-SA"/>
        </w:rPr>
        <w:t>zajišťuje společné plnění povinností výrobců na základě smluv o společném plnění s jednotlivými výrobci</w:t>
      </w:r>
      <w:r>
        <w:rPr>
          <w:rFonts w:eastAsia="Calibri" w:cs="Arial"/>
          <w:noProof w:val="0"/>
          <w:szCs w:val="22"/>
          <w:lang w:bidi="ar-SA"/>
        </w:rPr>
        <w:t xml:space="preserve"> (resp. v případě pneumatik hovoří o kolektivním plnění povinností povinných osob). Dále zákon stanoví, že k</w:t>
      </w:r>
      <w:r w:rsidRPr="0009235B">
        <w:rPr>
          <w:rFonts w:eastAsia="Calibri" w:cs="Arial"/>
          <w:noProof w:val="0"/>
          <w:szCs w:val="22"/>
          <w:lang w:bidi="ar-SA"/>
        </w:rPr>
        <w:t xml:space="preserve">romě činností spojených se zajišťováním </w:t>
      </w:r>
      <w:r>
        <w:rPr>
          <w:rFonts w:eastAsia="Calibri" w:cs="Arial"/>
          <w:noProof w:val="0"/>
          <w:szCs w:val="22"/>
          <w:lang w:bidi="ar-SA"/>
        </w:rPr>
        <w:t xml:space="preserve">společného, resp. kolektivního </w:t>
      </w:r>
      <w:r w:rsidRPr="0009235B">
        <w:rPr>
          <w:rFonts w:eastAsia="Calibri" w:cs="Arial"/>
          <w:noProof w:val="0"/>
          <w:szCs w:val="22"/>
          <w:lang w:bidi="ar-SA"/>
        </w:rPr>
        <w:t xml:space="preserve">plnění povinností výrobců </w:t>
      </w:r>
      <w:r>
        <w:rPr>
          <w:rFonts w:eastAsia="Calibri" w:cs="Arial"/>
          <w:noProof w:val="0"/>
          <w:szCs w:val="22"/>
          <w:lang w:bidi="ar-SA"/>
        </w:rPr>
        <w:t>(povinných osob)</w:t>
      </w:r>
      <w:r w:rsidRPr="0009235B">
        <w:rPr>
          <w:rFonts w:eastAsia="Calibri" w:cs="Arial"/>
          <w:noProof w:val="0"/>
          <w:szCs w:val="22"/>
          <w:lang w:bidi="ar-SA"/>
        </w:rPr>
        <w:t xml:space="preserve"> nesmí provozovatel systému vykonávat jinou činnost než poradenskou</w:t>
      </w:r>
      <w:r w:rsidR="005529EC">
        <w:rPr>
          <w:rFonts w:eastAsia="Calibri" w:cs="Arial"/>
          <w:noProof w:val="0"/>
          <w:szCs w:val="22"/>
          <w:lang w:bidi="ar-SA"/>
        </w:rPr>
        <w:t>,</w:t>
      </w:r>
      <w:r w:rsidRPr="0009235B">
        <w:rPr>
          <w:rFonts w:eastAsia="Calibri" w:cs="Arial"/>
          <w:noProof w:val="0"/>
          <w:szCs w:val="22"/>
          <w:lang w:bidi="ar-SA"/>
        </w:rPr>
        <w:t xml:space="preserve"> výzkumnou, přednáškovou, osvětovou nebo propagační činnost v oblasti zpětného odběru </w:t>
      </w:r>
      <w:r w:rsidR="005529EC">
        <w:rPr>
          <w:rFonts w:eastAsia="Calibri" w:cs="Arial"/>
          <w:noProof w:val="0"/>
          <w:szCs w:val="22"/>
          <w:lang w:bidi="ar-SA"/>
        </w:rPr>
        <w:t xml:space="preserve">daných výrobků a </w:t>
      </w:r>
      <w:r w:rsidRPr="0009235B">
        <w:rPr>
          <w:rFonts w:eastAsia="Calibri" w:cs="Arial"/>
          <w:noProof w:val="0"/>
          <w:szCs w:val="22"/>
          <w:lang w:bidi="ar-SA"/>
        </w:rPr>
        <w:t>nakládání s</w:t>
      </w:r>
      <w:r w:rsidR="005529EC">
        <w:rPr>
          <w:rFonts w:eastAsia="Calibri" w:cs="Arial"/>
          <w:noProof w:val="0"/>
          <w:szCs w:val="22"/>
          <w:lang w:bidi="ar-SA"/>
        </w:rPr>
        <w:t> </w:t>
      </w:r>
      <w:r w:rsidRPr="0009235B">
        <w:rPr>
          <w:rFonts w:eastAsia="Calibri" w:cs="Arial"/>
          <w:noProof w:val="0"/>
          <w:szCs w:val="22"/>
          <w:lang w:bidi="ar-SA"/>
        </w:rPr>
        <w:t>odpad</w:t>
      </w:r>
      <w:r w:rsidR="005529EC">
        <w:rPr>
          <w:rFonts w:eastAsia="Calibri" w:cs="Arial"/>
          <w:noProof w:val="0"/>
          <w:szCs w:val="22"/>
          <w:lang w:bidi="ar-SA"/>
        </w:rPr>
        <w:t>y z těchto výrobků.</w:t>
      </w:r>
    </w:p>
    <w:p w:rsidR="00725D27" w:rsidRDefault="00725D27" w:rsidP="0011664A">
      <w:pPr>
        <w:pStyle w:val="Nadpis2"/>
      </w:pPr>
      <w:bookmarkStart w:id="104" w:name="_Toc441759883"/>
      <w:r>
        <w:lastRenderedPageBreak/>
        <w:t>Popis cílového stavu</w:t>
      </w:r>
      <w:bookmarkEnd w:id="104"/>
    </w:p>
    <w:p w:rsidR="00DC1795" w:rsidRPr="00ED38E9" w:rsidRDefault="00DC1795" w:rsidP="007E6E96">
      <w:pPr>
        <w:spacing w:before="120" w:after="120"/>
        <w:rPr>
          <w:rFonts w:eastAsia="Calibri" w:cs="Arial"/>
          <w:noProof w:val="0"/>
          <w:szCs w:val="22"/>
          <w:lang w:bidi="ar-SA"/>
        </w:rPr>
      </w:pPr>
      <w:r w:rsidRPr="00ED38E9">
        <w:rPr>
          <w:rFonts w:eastAsia="Calibri" w:cs="Arial"/>
          <w:noProof w:val="0"/>
          <w:szCs w:val="22"/>
          <w:lang w:bidi="ar-SA"/>
        </w:rPr>
        <w:t xml:space="preserve">Hlavním cílem je dosažení minimálně požadované úrovně </w:t>
      </w:r>
      <w:r w:rsidR="0029194A">
        <w:rPr>
          <w:rFonts w:eastAsia="Calibri" w:cs="Arial"/>
          <w:noProof w:val="0"/>
          <w:szCs w:val="22"/>
          <w:lang w:bidi="ar-SA"/>
        </w:rPr>
        <w:t>zpětného odběru VUŽ</w:t>
      </w:r>
      <w:r w:rsidRPr="00ED38E9">
        <w:rPr>
          <w:rFonts w:eastAsia="Calibri" w:cs="Arial"/>
          <w:noProof w:val="0"/>
          <w:szCs w:val="22"/>
          <w:lang w:bidi="ar-SA"/>
        </w:rPr>
        <w:t>. Vedlejším cílem je zajištění transparentního způsobu výběru zpracovatele s minimalizací negativních efektů na hospodářskou soutěž.</w:t>
      </w:r>
    </w:p>
    <w:p w:rsidR="00DC1795" w:rsidRPr="00ED38E9" w:rsidRDefault="00DC1795" w:rsidP="0011664A">
      <w:pPr>
        <w:pStyle w:val="Nadpis2"/>
        <w:rPr>
          <w:rFonts w:eastAsia="Calibri"/>
          <w:lang w:bidi="ar-SA"/>
        </w:rPr>
      </w:pPr>
      <w:bookmarkStart w:id="105" w:name="_Toc441759884"/>
      <w:r w:rsidRPr="00ED38E9">
        <w:rPr>
          <w:rFonts w:eastAsia="Calibri"/>
          <w:lang w:bidi="ar-SA"/>
        </w:rPr>
        <w:t>Varianty řešení</w:t>
      </w:r>
      <w:bookmarkEnd w:id="105"/>
    </w:p>
    <w:p w:rsidR="00DC1795" w:rsidRPr="00ED38E9" w:rsidRDefault="00DC1795" w:rsidP="007E6E96">
      <w:pPr>
        <w:spacing w:before="120" w:after="120"/>
        <w:rPr>
          <w:rFonts w:eastAsia="Calibri" w:cs="Arial"/>
          <w:noProof w:val="0"/>
          <w:szCs w:val="22"/>
          <w:lang w:bidi="ar-SA"/>
        </w:rPr>
      </w:pPr>
      <w:r w:rsidRPr="00ED38E9">
        <w:rPr>
          <w:rFonts w:eastAsia="Calibri" w:cs="Arial"/>
          <w:b/>
          <w:noProof w:val="0"/>
          <w:szCs w:val="22"/>
          <w:lang w:bidi="ar-SA"/>
        </w:rPr>
        <w:t>Varianta 0</w:t>
      </w:r>
      <w:r w:rsidRPr="00ED38E9">
        <w:rPr>
          <w:rFonts w:eastAsia="Calibri" w:cs="Arial"/>
          <w:noProof w:val="0"/>
          <w:szCs w:val="22"/>
          <w:lang w:bidi="ar-SA"/>
        </w:rPr>
        <w:t xml:space="preserve"> – zachování současného stavu</w:t>
      </w:r>
    </w:p>
    <w:p w:rsidR="00DC1795" w:rsidRPr="00ED38E9" w:rsidRDefault="00DC1795" w:rsidP="007E6E96">
      <w:pPr>
        <w:spacing w:before="120" w:after="120"/>
        <w:rPr>
          <w:rFonts w:eastAsia="Calibri" w:cs="Arial"/>
          <w:noProof w:val="0"/>
          <w:szCs w:val="22"/>
          <w:lang w:bidi="ar-SA"/>
        </w:rPr>
      </w:pPr>
      <w:r w:rsidRPr="00ED38E9">
        <w:rPr>
          <w:rFonts w:eastAsia="Calibri" w:cs="Arial"/>
          <w:b/>
          <w:noProof w:val="0"/>
          <w:szCs w:val="22"/>
          <w:lang w:bidi="ar-SA"/>
        </w:rPr>
        <w:t>Varianta 1</w:t>
      </w:r>
      <w:r w:rsidRPr="00ED38E9">
        <w:rPr>
          <w:rFonts w:eastAsia="Calibri" w:cs="Arial"/>
          <w:noProof w:val="0"/>
          <w:szCs w:val="22"/>
          <w:lang w:bidi="ar-SA"/>
        </w:rPr>
        <w:t xml:space="preserve"> – Kolektivní systém je pouze operátor svěřených prostředků a nesmí podnikat ani mít majetkovou účast v subjektech podnikajících v oblasti nakládání s odpady včetně navazujících činností</w:t>
      </w:r>
    </w:p>
    <w:p w:rsidR="00DC1795" w:rsidRPr="00ED38E9" w:rsidRDefault="00DC1795" w:rsidP="007E6E96">
      <w:pPr>
        <w:spacing w:before="120" w:after="120"/>
        <w:ind w:left="709"/>
        <w:rPr>
          <w:rFonts w:eastAsia="Calibri" w:cs="Arial"/>
          <w:noProof w:val="0"/>
          <w:szCs w:val="22"/>
          <w:lang w:bidi="ar-SA"/>
        </w:rPr>
      </w:pPr>
      <w:r w:rsidRPr="00ED38E9">
        <w:rPr>
          <w:rFonts w:eastAsia="Calibri" w:cs="Arial"/>
          <w:noProof w:val="0"/>
          <w:szCs w:val="22"/>
          <w:lang w:bidi="ar-SA"/>
        </w:rPr>
        <w:t>Varianta 1a – Akcionáři/společníci a členové statutárních orgánů KS nemohou mít majetkovou účast nebo být majetkově propojeni se subjektem podnikajícím v oblasti nakládání s odpady včetně navazujících činností</w:t>
      </w:r>
    </w:p>
    <w:p w:rsidR="00DC1795" w:rsidRPr="00ED38E9" w:rsidRDefault="00DC1795" w:rsidP="007E6E96">
      <w:pPr>
        <w:spacing w:before="120" w:after="120"/>
        <w:ind w:left="709"/>
        <w:rPr>
          <w:rFonts w:eastAsia="Calibri" w:cs="Arial"/>
          <w:noProof w:val="0"/>
          <w:szCs w:val="22"/>
          <w:lang w:bidi="ar-SA"/>
        </w:rPr>
      </w:pPr>
      <w:r w:rsidRPr="00ED38E9">
        <w:rPr>
          <w:rFonts w:eastAsia="Calibri" w:cs="Arial"/>
          <w:noProof w:val="0"/>
          <w:szCs w:val="22"/>
          <w:lang w:bidi="ar-SA"/>
        </w:rPr>
        <w:t>Varianta 1b – Členové statutárních orgánů KS nemohou mít majetkovou účast nebo být majetkově propojeni se subjektem podnikajícím v oblasti nakládání s odpady včetně navazujících činností.</w:t>
      </w:r>
    </w:p>
    <w:p w:rsidR="00DC1795" w:rsidRPr="00ED38E9" w:rsidRDefault="00DC1795" w:rsidP="007E6E96">
      <w:pPr>
        <w:spacing w:before="120" w:after="120"/>
        <w:rPr>
          <w:rFonts w:eastAsia="Calibri" w:cs="Arial"/>
          <w:noProof w:val="0"/>
          <w:szCs w:val="22"/>
          <w:lang w:bidi="ar-SA"/>
        </w:rPr>
      </w:pPr>
      <w:r w:rsidRPr="00ED38E9">
        <w:rPr>
          <w:rFonts w:eastAsia="Calibri" w:cs="Arial"/>
          <w:b/>
          <w:noProof w:val="0"/>
          <w:szCs w:val="22"/>
          <w:lang w:bidi="ar-SA"/>
        </w:rPr>
        <w:t>Varianta 2</w:t>
      </w:r>
      <w:r w:rsidRPr="00ED38E9">
        <w:rPr>
          <w:rFonts w:eastAsia="Calibri" w:cs="Arial"/>
          <w:noProof w:val="0"/>
          <w:szCs w:val="22"/>
          <w:lang w:bidi="ar-SA"/>
        </w:rPr>
        <w:t xml:space="preserve"> – Kolektivní systém může libovolně podnikat včetně majetkových účastí v subjektech podnikajících v oblasti s nakládání odpady včetně navazujících činností. </w:t>
      </w:r>
    </w:p>
    <w:p w:rsidR="00DC1795" w:rsidRPr="00ED38E9" w:rsidRDefault="00DC1795" w:rsidP="0011664A">
      <w:pPr>
        <w:pStyle w:val="Nadpis2"/>
        <w:rPr>
          <w:rFonts w:eastAsia="Calibri"/>
          <w:lang w:bidi="ar-SA"/>
        </w:rPr>
      </w:pPr>
      <w:bookmarkStart w:id="106" w:name="_Toc441759885"/>
      <w:r w:rsidRPr="00ED38E9">
        <w:rPr>
          <w:rFonts w:eastAsia="Calibri"/>
          <w:lang w:bidi="ar-SA"/>
        </w:rPr>
        <w:t>Identifikace nákladů a přínosů</w:t>
      </w:r>
      <w:bookmarkEnd w:id="106"/>
    </w:p>
    <w:p w:rsidR="00DC1795" w:rsidRPr="00ED38E9" w:rsidRDefault="00DC1795" w:rsidP="007E6E96">
      <w:pPr>
        <w:widowControl w:val="0"/>
        <w:spacing w:before="120" w:after="120"/>
        <w:rPr>
          <w:rFonts w:eastAsia="Calibri" w:cs="Arial"/>
          <w:noProof w:val="0"/>
          <w:szCs w:val="22"/>
          <w:lang w:bidi="ar-SA"/>
        </w:rPr>
      </w:pPr>
      <w:r w:rsidRPr="00ED38E9">
        <w:rPr>
          <w:rFonts w:eastAsia="Calibri" w:cs="Arial"/>
          <w:noProof w:val="0"/>
          <w:szCs w:val="22"/>
          <w:lang w:bidi="ar-SA"/>
        </w:rPr>
        <w:t xml:space="preserve">V případě varianty 1 představující zákaz pro KS podnikat nebo mít majetkovou účast v subjektech podnikajících v oblasti nakládání s odpady včetně navazující činnosti se náklady pro dotčené subjekty odvíjí od jednotlivých </w:t>
      </w:r>
      <w:proofErr w:type="spellStart"/>
      <w:r w:rsidRPr="00ED38E9">
        <w:rPr>
          <w:rFonts w:eastAsia="Calibri" w:cs="Arial"/>
          <w:noProof w:val="0"/>
          <w:szCs w:val="22"/>
          <w:lang w:bidi="ar-SA"/>
        </w:rPr>
        <w:t>subvariant</w:t>
      </w:r>
      <w:proofErr w:type="spellEnd"/>
      <w:r w:rsidRPr="00ED38E9">
        <w:rPr>
          <w:rFonts w:eastAsia="Calibri" w:cs="Arial"/>
          <w:noProof w:val="0"/>
          <w:szCs w:val="22"/>
          <w:lang w:bidi="ar-SA"/>
        </w:rPr>
        <w:t xml:space="preserve"> varianty 1. Základním přínosem varianty 1 je zejména pozitivní dopad na hospodářskou soutěž, resp. trh zpracovatelů. Přehled nákladů a přínosů varianty 1 v jednotlivých </w:t>
      </w:r>
      <w:proofErr w:type="spellStart"/>
      <w:r w:rsidRPr="00ED38E9">
        <w:rPr>
          <w:rFonts w:eastAsia="Calibri" w:cs="Arial"/>
          <w:noProof w:val="0"/>
          <w:szCs w:val="22"/>
          <w:lang w:bidi="ar-SA"/>
        </w:rPr>
        <w:t>podvarian</w:t>
      </w:r>
      <w:r w:rsidR="0029194A">
        <w:rPr>
          <w:rFonts w:eastAsia="Calibri" w:cs="Arial"/>
          <w:noProof w:val="0"/>
          <w:szCs w:val="22"/>
          <w:lang w:bidi="ar-SA"/>
        </w:rPr>
        <w:t>t</w:t>
      </w:r>
      <w:r w:rsidRPr="00ED38E9">
        <w:rPr>
          <w:rFonts w:eastAsia="Calibri" w:cs="Arial"/>
          <w:noProof w:val="0"/>
          <w:szCs w:val="22"/>
          <w:lang w:bidi="ar-SA"/>
        </w:rPr>
        <w:t>ách</w:t>
      </w:r>
      <w:proofErr w:type="spellEnd"/>
      <w:r w:rsidRPr="00ED38E9">
        <w:rPr>
          <w:rFonts w:eastAsia="Calibri" w:cs="Arial"/>
          <w:noProof w:val="0"/>
          <w:szCs w:val="22"/>
          <w:lang w:bidi="ar-SA"/>
        </w:rPr>
        <w:t xml:space="preserve"> je shrnut v tabulce níže. Jednotlivé dopady na dotčené subjekty jsou s ohledem na obtížnou kvantifikaci uvedeny pouze kvalitativní formou.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Zpracovatelé</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Rovné podmínky pro jednotlivé účastníky trhu. KS nezneužívá svého postavení a výhod z něj plynoucích (finanční prostředky, koncentrovanost informací) </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rsidR="007A0D35" w:rsidRPr="000B7CBF" w:rsidTr="007A0D35">
        <w:trPr>
          <w:trHeight w:val="397"/>
        </w:trPr>
        <w:tc>
          <w:tcPr>
            <w:tcW w:w="9180" w:type="dxa"/>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V rámci varianty 1b mohou výrobci sdružení v KS v případě potřeby nedostatečných kapacit či socioekonomické výhodnosti mít majetkovou účast nebo být majetkově propojeni se subjektem podnikajícím v oblasti nakládání s odpady včetně navazujících činností. Výrobcům, kteří mají zodpovědnost za plnění rozšířené odpovědnosti je tak umožněno plnění této povinnosti za přijatelných nákladů i v případě, kdy stávající trh nenabízí dostatečné alternativy (např. nedostatečné kapacity zpracování, nedostatečná kvalita zpracování). </w:t>
            </w:r>
          </w:p>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varianty 1a může její zavedení představovat pro KS/výrobce dodatečné náklady formě možného minimálně krátkodobého navýšení nákladů na zpracování, neboť například v případě nedostatečné kapacity nemají možnost využít tohoto nedostatku na trhu sami.</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lastRenderedPageBreak/>
              <w:t>Veřejnost</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Varianta 1b může mít v důsledku možnosti optimalizace nákladů na zpracování pozitivní dopad na výši recyklačního poplatku. </w:t>
            </w:r>
          </w:p>
          <w:p w:rsidR="00DC1795" w:rsidRPr="00ED38E9" w:rsidRDefault="00DC1795" w:rsidP="00D12F23">
            <w:pPr>
              <w:spacing w:before="20" w:after="20"/>
              <w:jc w:val="left"/>
              <w:rPr>
                <w:rFonts w:eastAsia="MS Mincho" w:cs="Arial"/>
                <w:i/>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 </w:t>
            </w:r>
            <w:r w:rsidRPr="00ED38E9">
              <w:rPr>
                <w:rFonts w:eastAsia="MS Mincho" w:cs="Arial"/>
                <w:noProof w:val="0"/>
                <w:sz w:val="20"/>
                <w:szCs w:val="20"/>
                <w:lang w:bidi="ar-SA"/>
              </w:rPr>
              <w:t xml:space="preserve">Naopak Varianta 1a může vést krátkodobě v důsledku zhoršené možnosti reakce na změnu tržních podmínek k zvýšení recyklačních poplatků (přenesení zvýšení nákladů na zpracování). </w:t>
            </w:r>
          </w:p>
        </w:tc>
      </w:tr>
    </w:tbl>
    <w:p w:rsidR="00DC1795" w:rsidRPr="00ED38E9" w:rsidRDefault="00DC1795" w:rsidP="00D12F23">
      <w:pPr>
        <w:widowControl w:val="0"/>
        <w:spacing w:before="120" w:after="120" w:line="240" w:lineRule="auto"/>
        <w:rPr>
          <w:rFonts w:eastAsia="Calibri" w:cs="Arial"/>
          <w:noProof w:val="0"/>
          <w:szCs w:val="22"/>
          <w:lang w:bidi="ar-SA"/>
        </w:rPr>
      </w:pPr>
      <w:r w:rsidRPr="00ED38E9">
        <w:rPr>
          <w:rFonts w:eastAsia="Calibri" w:cs="Arial"/>
          <w:noProof w:val="0"/>
          <w:szCs w:val="22"/>
          <w:lang w:bidi="ar-SA"/>
        </w:rPr>
        <w:t>Přínosy a náklady dotečených subjektů spojené s Variantou 2 představuje tabulka níže.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Zpracovatelé</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KS mohou zneužívat svého postavení a výhod z něj plynoucích (finanční prostředky apod.), čímž mohou negativně ovlivnit trh zpracovatelů, pro které může dojít k ztížení přístupu k OEEZ.  </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V rámci varianty 2 mohou výrobci sdružení v KS v případě potřeby či socioekonomické výhodnosti zajistit kompletní činnosti spojené s rozšířenou odpovědností výrobce. Možnost kompletního zajištění prostřednictvím KS může mít pozitivní efekt na výši recyklačního poplatku a tedy celkově snížit náklady na systém rozšířené odpovědnosti výrobce. </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rsidR="007A0D35" w:rsidRPr="000B7CBF" w:rsidTr="007A0D35">
        <w:trPr>
          <w:trHeight w:val="397"/>
        </w:trPr>
        <w:tc>
          <w:tcPr>
            <w:tcW w:w="9180" w:type="dxa"/>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Varianta 2 může mít v důsledku možnosti optimalizace nákladů zajištění povinností výrobce pozitivní dopad na výši recyklačního poplatku. </w:t>
            </w:r>
          </w:p>
          <w:p w:rsidR="00DC1795" w:rsidRPr="00ED38E9" w:rsidRDefault="00DC1795" w:rsidP="00D12F23">
            <w:pPr>
              <w:spacing w:before="20" w:after="20"/>
              <w:jc w:val="left"/>
              <w:rPr>
                <w:rFonts w:eastAsia="MS Mincho" w:cs="Arial"/>
                <w:i/>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 </w:t>
            </w:r>
            <w:r w:rsidRPr="00ED38E9">
              <w:rPr>
                <w:rFonts w:eastAsia="MS Mincho" w:cs="Arial"/>
                <w:noProof w:val="0"/>
                <w:sz w:val="20"/>
                <w:szCs w:val="20"/>
                <w:lang w:bidi="ar-SA"/>
              </w:rPr>
              <w:t xml:space="preserve">Varianta 2 naopak může představovat i náklady pro veřejnost v důsledku možných negativních dopadů na hospodářskou soutěž. </w:t>
            </w:r>
          </w:p>
        </w:tc>
      </w:tr>
    </w:tbl>
    <w:p w:rsidR="00DC1795" w:rsidRDefault="00DC1795" w:rsidP="008F4565">
      <w:pPr>
        <w:widowControl w:val="0"/>
        <w:spacing w:before="120" w:after="120"/>
        <w:rPr>
          <w:rFonts w:eastAsia="Calibri" w:cs="Arial"/>
          <w:noProof w:val="0"/>
          <w:szCs w:val="22"/>
          <w:lang w:bidi="ar-SA"/>
        </w:rPr>
      </w:pPr>
      <w:r w:rsidRPr="00ED38E9">
        <w:rPr>
          <w:rFonts w:eastAsia="Calibri" w:cs="Arial"/>
          <w:noProof w:val="0"/>
          <w:szCs w:val="22"/>
          <w:lang w:bidi="ar-SA"/>
        </w:rPr>
        <w:t xml:space="preserve">Riziko negativního dopadu na hospodářskou soutěž v rámci varianty 2 může nastat i u varianty 1 a to v případě, že dojde k exkluzivní dohodě mezi KS a zpracovatelem. Toto riziko lze </w:t>
      </w:r>
      <w:r w:rsidR="008F4565" w:rsidRPr="00ED38E9">
        <w:rPr>
          <w:rFonts w:eastAsia="Calibri" w:cs="Arial"/>
          <w:noProof w:val="0"/>
          <w:szCs w:val="22"/>
          <w:lang w:bidi="ar-SA"/>
        </w:rPr>
        <w:t xml:space="preserve">eliminovat </w:t>
      </w:r>
      <w:r w:rsidRPr="00ED38E9">
        <w:rPr>
          <w:rFonts w:eastAsia="Calibri" w:cs="Arial"/>
          <w:noProof w:val="0"/>
          <w:szCs w:val="22"/>
          <w:lang w:bidi="ar-SA"/>
        </w:rPr>
        <w:t xml:space="preserve">správně formulovaným požadavkem na </w:t>
      </w:r>
      <w:r w:rsidR="00D12F23" w:rsidRPr="00ED38E9">
        <w:rPr>
          <w:rFonts w:eastAsia="Calibri" w:cs="Arial"/>
          <w:noProof w:val="0"/>
          <w:szCs w:val="22"/>
          <w:lang w:bidi="ar-SA"/>
        </w:rPr>
        <w:t>způsob výběru zpracovatele</w:t>
      </w:r>
      <w:r w:rsidRPr="00ED38E9">
        <w:rPr>
          <w:rFonts w:eastAsia="Calibri" w:cs="Arial"/>
          <w:noProof w:val="0"/>
          <w:szCs w:val="22"/>
          <w:lang w:bidi="ar-SA"/>
        </w:rPr>
        <w:t>.</w:t>
      </w:r>
    </w:p>
    <w:p w:rsidR="00D2350A" w:rsidRDefault="00D2350A" w:rsidP="006F5445">
      <w:pPr>
        <w:pStyle w:val="Titulek"/>
      </w:pPr>
      <w:r>
        <w:t xml:space="preserve">Tabulka </w:t>
      </w:r>
      <w:r w:rsidR="00381FB7">
        <w:fldChar w:fldCharType="begin"/>
      </w:r>
      <w:r>
        <w:instrText xml:space="preserve"> SEQ Tabulka \* ARABIC </w:instrText>
      </w:r>
      <w:r w:rsidR="00381FB7">
        <w:fldChar w:fldCharType="separate"/>
      </w:r>
      <w:r w:rsidR="00FD5E92">
        <w:t>43</w:t>
      </w:r>
      <w:r w:rsidR="00381FB7">
        <w:fldChar w:fldCharType="end"/>
      </w:r>
      <w:r>
        <w:t>: Souhrn nákladů a přínosů</w:t>
      </w:r>
    </w:p>
    <w:tbl>
      <w:tblPr>
        <w:tblStyle w:val="Mkatabulky1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D2350A" w:rsidRPr="00ED38E9" w:rsidTr="00AA3350">
        <w:trPr>
          <w:trHeight w:val="64"/>
          <w:jc w:val="center"/>
        </w:trPr>
        <w:tc>
          <w:tcPr>
            <w:tcW w:w="2419" w:type="dxa"/>
            <w:shd w:val="clear" w:color="auto" w:fill="B6B002"/>
            <w:vAlign w:val="center"/>
          </w:tcPr>
          <w:p w:rsidR="00D2350A" w:rsidRPr="00ED38E9" w:rsidRDefault="00D2350A" w:rsidP="00AA3350">
            <w:pPr>
              <w:spacing w:line="264" w:lineRule="auto"/>
              <w:jc w:val="center"/>
              <w:rPr>
                <w:rFonts w:cs="Arial"/>
                <w:b/>
                <w:noProof w:val="0"/>
                <w:sz w:val="20"/>
                <w:szCs w:val="20"/>
                <w:lang w:bidi="ar-SA"/>
              </w:rPr>
            </w:pPr>
          </w:p>
        </w:tc>
        <w:tc>
          <w:tcPr>
            <w:tcW w:w="3326" w:type="dxa"/>
            <w:shd w:val="clear" w:color="auto" w:fill="B6B002"/>
            <w:vAlign w:val="center"/>
          </w:tcPr>
          <w:p w:rsidR="00D2350A" w:rsidRPr="00ED38E9" w:rsidRDefault="00D2350A" w:rsidP="00AA3350">
            <w:pPr>
              <w:spacing w:line="264" w:lineRule="auto"/>
              <w:rPr>
                <w:rFonts w:cs="Arial"/>
                <w:b/>
                <w:noProof w:val="0"/>
                <w:sz w:val="20"/>
                <w:szCs w:val="20"/>
                <w:lang w:bidi="ar-SA"/>
              </w:rPr>
            </w:pPr>
            <w:r w:rsidRPr="00ED38E9">
              <w:rPr>
                <w:rFonts w:cs="Arial"/>
                <w:b/>
                <w:noProof w:val="0"/>
                <w:sz w:val="20"/>
                <w:szCs w:val="20"/>
                <w:lang w:bidi="ar-SA"/>
              </w:rPr>
              <w:t>Náklady</w:t>
            </w:r>
          </w:p>
        </w:tc>
        <w:tc>
          <w:tcPr>
            <w:tcW w:w="3327" w:type="dxa"/>
            <w:shd w:val="clear" w:color="auto" w:fill="B6B002"/>
            <w:vAlign w:val="center"/>
          </w:tcPr>
          <w:p w:rsidR="00D2350A" w:rsidRPr="00ED38E9" w:rsidRDefault="00D2350A" w:rsidP="00AA3350">
            <w:pPr>
              <w:spacing w:line="264" w:lineRule="auto"/>
              <w:rPr>
                <w:rFonts w:cs="Arial"/>
                <w:b/>
                <w:noProof w:val="0"/>
                <w:sz w:val="20"/>
                <w:szCs w:val="20"/>
                <w:lang w:bidi="ar-SA"/>
              </w:rPr>
            </w:pPr>
            <w:r w:rsidRPr="00ED38E9">
              <w:rPr>
                <w:rFonts w:cs="Arial"/>
                <w:b/>
                <w:noProof w:val="0"/>
                <w:sz w:val="20"/>
                <w:szCs w:val="20"/>
                <w:lang w:bidi="ar-SA"/>
              </w:rPr>
              <w:t>Přínosy</w:t>
            </w:r>
          </w:p>
        </w:tc>
      </w:tr>
    </w:tbl>
    <w:tbl>
      <w:tblPr>
        <w:tblStyle w:val="Mkatabulky1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D2350A" w:rsidRPr="00D2350A" w:rsidTr="00AA3350">
        <w:trPr>
          <w:trHeight w:val="64"/>
          <w:jc w:val="center"/>
        </w:trPr>
        <w:tc>
          <w:tcPr>
            <w:tcW w:w="9072" w:type="dxa"/>
            <w:gridSpan w:val="3"/>
            <w:shd w:val="clear" w:color="auto" w:fill="D9D9D9"/>
            <w:vAlign w:val="center"/>
          </w:tcPr>
          <w:p w:rsidR="00D2350A" w:rsidRPr="00D2350A" w:rsidRDefault="00D2350A" w:rsidP="00D2350A">
            <w:pPr>
              <w:spacing w:before="120" w:after="120"/>
              <w:rPr>
                <w:rFonts w:cs="Arial"/>
                <w:b/>
                <w:noProof w:val="0"/>
                <w:szCs w:val="22"/>
                <w:lang w:bidi="ar-SA"/>
              </w:rPr>
            </w:pPr>
            <w:r w:rsidRPr="00D2350A">
              <w:rPr>
                <w:rFonts w:cs="Arial"/>
                <w:b/>
                <w:szCs w:val="22"/>
                <w:lang w:bidi="ar-SA"/>
              </w:rPr>
              <w:t>Předmět činnosti KS</w:t>
            </w:r>
          </w:p>
        </w:tc>
      </w:tr>
      <w:tr w:rsidR="00D2350A" w:rsidRPr="00D2350A" w:rsidTr="00AA3350">
        <w:trPr>
          <w:trHeight w:val="64"/>
          <w:jc w:val="center"/>
        </w:trPr>
        <w:tc>
          <w:tcPr>
            <w:tcW w:w="2419" w:type="dxa"/>
            <w:shd w:val="clear" w:color="auto" w:fill="F2F2F2"/>
            <w:vAlign w:val="center"/>
          </w:tcPr>
          <w:p w:rsidR="00D2350A" w:rsidRPr="00D2350A" w:rsidRDefault="00D2350A" w:rsidP="00D2350A">
            <w:pPr>
              <w:spacing w:before="60" w:after="60" w:line="240" w:lineRule="auto"/>
              <w:jc w:val="left"/>
              <w:rPr>
                <w:rFonts w:cs="Arial"/>
                <w:sz w:val="20"/>
                <w:szCs w:val="20"/>
                <w:lang w:bidi="ar-SA"/>
              </w:rPr>
            </w:pPr>
            <w:r w:rsidRPr="00D2350A">
              <w:rPr>
                <w:rFonts w:cs="Arial"/>
                <w:sz w:val="20"/>
                <w:szCs w:val="20"/>
                <w:lang w:bidi="ar-SA"/>
              </w:rPr>
              <w:t>Varianta 0</w:t>
            </w:r>
          </w:p>
        </w:tc>
        <w:tc>
          <w:tcPr>
            <w:tcW w:w="3326" w:type="dxa"/>
            <w:shd w:val="clear" w:color="auto" w:fill="F2F2F2"/>
            <w:vAlign w:val="center"/>
          </w:tcPr>
          <w:p w:rsidR="00D2350A" w:rsidRPr="00D2350A" w:rsidRDefault="00D2350A" w:rsidP="00D2350A">
            <w:pPr>
              <w:spacing w:before="60" w:after="60" w:line="240" w:lineRule="auto"/>
              <w:jc w:val="left"/>
              <w:rPr>
                <w:rFonts w:cs="Arial"/>
                <w:noProof w:val="0"/>
                <w:sz w:val="20"/>
                <w:szCs w:val="20"/>
                <w:lang w:bidi="ar-SA"/>
              </w:rPr>
            </w:pPr>
            <w:r w:rsidRPr="00D2350A">
              <w:rPr>
                <w:rFonts w:cs="Arial"/>
                <w:noProof w:val="0"/>
                <w:sz w:val="20"/>
                <w:szCs w:val="20"/>
                <w:lang w:bidi="ar-SA"/>
              </w:rPr>
              <w:t>nulová varianta</w:t>
            </w:r>
          </w:p>
        </w:tc>
        <w:tc>
          <w:tcPr>
            <w:tcW w:w="3327" w:type="dxa"/>
            <w:shd w:val="clear" w:color="auto" w:fill="F2F2F2"/>
            <w:vAlign w:val="center"/>
          </w:tcPr>
          <w:p w:rsidR="00D2350A" w:rsidRPr="00D2350A" w:rsidRDefault="00D2350A" w:rsidP="00D2350A">
            <w:pPr>
              <w:spacing w:before="60" w:after="60" w:line="240" w:lineRule="auto"/>
              <w:jc w:val="left"/>
              <w:rPr>
                <w:rFonts w:cs="Arial"/>
                <w:noProof w:val="0"/>
                <w:sz w:val="20"/>
                <w:szCs w:val="20"/>
                <w:lang w:bidi="ar-SA"/>
              </w:rPr>
            </w:pPr>
            <w:r w:rsidRPr="00D2350A">
              <w:rPr>
                <w:rFonts w:cs="Arial"/>
                <w:noProof w:val="0"/>
                <w:sz w:val="20"/>
                <w:szCs w:val="20"/>
                <w:lang w:bidi="ar-SA"/>
              </w:rPr>
              <w:t>nulová varianta</w:t>
            </w:r>
          </w:p>
        </w:tc>
      </w:tr>
      <w:tr w:rsidR="00D2350A" w:rsidRPr="00D2350A" w:rsidTr="00AA3350">
        <w:trPr>
          <w:trHeight w:val="436"/>
          <w:jc w:val="center"/>
        </w:trPr>
        <w:tc>
          <w:tcPr>
            <w:tcW w:w="2419" w:type="dxa"/>
            <w:shd w:val="clear" w:color="auto" w:fill="D9D9D9"/>
            <w:vAlign w:val="center"/>
          </w:tcPr>
          <w:p w:rsidR="00D2350A" w:rsidRPr="00D2350A" w:rsidRDefault="00D2350A" w:rsidP="00D2350A">
            <w:pPr>
              <w:spacing w:before="60" w:after="60" w:line="240" w:lineRule="auto"/>
              <w:jc w:val="left"/>
              <w:rPr>
                <w:rFonts w:cs="Arial"/>
                <w:sz w:val="20"/>
                <w:szCs w:val="20"/>
                <w:lang w:bidi="ar-SA"/>
              </w:rPr>
            </w:pPr>
            <w:r w:rsidRPr="00D2350A">
              <w:rPr>
                <w:rFonts w:cs="Arial"/>
                <w:sz w:val="20"/>
                <w:szCs w:val="20"/>
                <w:lang w:bidi="ar-SA"/>
              </w:rPr>
              <w:t>Varianta 1a</w:t>
            </w:r>
          </w:p>
        </w:tc>
        <w:tc>
          <w:tcPr>
            <w:tcW w:w="3326" w:type="dxa"/>
            <w:shd w:val="clear" w:color="auto" w:fill="D9D9D9"/>
            <w:vAlign w:val="center"/>
          </w:tcPr>
          <w:p w:rsidR="00D2350A" w:rsidRPr="00D2350A" w:rsidRDefault="00D2350A" w:rsidP="00D2350A">
            <w:pPr>
              <w:spacing w:before="60" w:after="60" w:line="240" w:lineRule="auto"/>
              <w:jc w:val="left"/>
              <w:rPr>
                <w:rFonts w:cs="Arial"/>
                <w:noProof w:val="0"/>
                <w:sz w:val="20"/>
                <w:szCs w:val="20"/>
                <w:lang w:bidi="ar-SA"/>
              </w:rPr>
            </w:pPr>
            <w:r w:rsidRPr="00D2350A">
              <w:rPr>
                <w:rFonts w:cs="Arial"/>
                <w:noProof w:val="0"/>
                <w:sz w:val="20"/>
                <w:szCs w:val="20"/>
                <w:lang w:bidi="ar-SA"/>
              </w:rPr>
              <w:t>Rovné podmínky pro jednotlivé účastníky trhu. KS nezneužívá svého postavení a výhod z něj plynoucích (finanční prostředky, koncentrovanost informací)</w:t>
            </w:r>
          </w:p>
        </w:tc>
        <w:tc>
          <w:tcPr>
            <w:tcW w:w="3327" w:type="dxa"/>
            <w:shd w:val="clear" w:color="auto" w:fill="D9D9D9"/>
            <w:vAlign w:val="center"/>
          </w:tcPr>
          <w:p w:rsidR="00D2350A" w:rsidRPr="00D2350A" w:rsidRDefault="00D2350A" w:rsidP="00D2350A">
            <w:pPr>
              <w:spacing w:before="60" w:after="60" w:line="240" w:lineRule="auto"/>
              <w:jc w:val="left"/>
              <w:rPr>
                <w:rFonts w:cs="Arial"/>
                <w:noProof w:val="0"/>
                <w:sz w:val="20"/>
                <w:szCs w:val="20"/>
                <w:lang w:bidi="ar-SA"/>
              </w:rPr>
            </w:pPr>
            <w:r w:rsidRPr="00D2350A">
              <w:rPr>
                <w:rFonts w:cs="Arial"/>
                <w:noProof w:val="0"/>
                <w:sz w:val="20"/>
                <w:szCs w:val="20"/>
                <w:lang w:bidi="ar-SA"/>
              </w:rPr>
              <w:t>Potenciálně zvýšené náklady na recyklaci v případě nedostatečných kapacit a nutnosti vyvážet nebo jinak vykrývat nedostatečné kapacity recyklace</w:t>
            </w:r>
          </w:p>
        </w:tc>
      </w:tr>
      <w:tr w:rsidR="00D2350A" w:rsidRPr="00D2350A" w:rsidTr="00AA3350">
        <w:trPr>
          <w:trHeight w:val="1133"/>
          <w:jc w:val="center"/>
        </w:trPr>
        <w:tc>
          <w:tcPr>
            <w:tcW w:w="2419" w:type="dxa"/>
            <w:shd w:val="clear" w:color="auto" w:fill="F2F2F2"/>
            <w:vAlign w:val="center"/>
          </w:tcPr>
          <w:p w:rsidR="00D2350A" w:rsidRPr="00D2350A" w:rsidRDefault="00D2350A" w:rsidP="00D2350A">
            <w:pPr>
              <w:spacing w:before="60" w:after="60" w:line="240" w:lineRule="auto"/>
              <w:jc w:val="left"/>
              <w:rPr>
                <w:rFonts w:cs="Arial"/>
                <w:b/>
                <w:sz w:val="20"/>
                <w:szCs w:val="20"/>
                <w:u w:val="single"/>
                <w:lang w:bidi="ar-SA"/>
              </w:rPr>
            </w:pPr>
            <w:r w:rsidRPr="00D2350A">
              <w:rPr>
                <w:rFonts w:cs="Arial"/>
                <w:b/>
                <w:sz w:val="20"/>
                <w:szCs w:val="20"/>
                <w:u w:val="single"/>
                <w:lang w:bidi="ar-SA"/>
              </w:rPr>
              <w:t>Varianta 1b</w:t>
            </w:r>
          </w:p>
        </w:tc>
        <w:tc>
          <w:tcPr>
            <w:tcW w:w="3326" w:type="dxa"/>
            <w:shd w:val="clear" w:color="auto" w:fill="F2F2F2"/>
            <w:vAlign w:val="center"/>
          </w:tcPr>
          <w:p w:rsidR="00D2350A" w:rsidRPr="00D2350A" w:rsidRDefault="00D2350A" w:rsidP="00D2350A">
            <w:pPr>
              <w:spacing w:before="60" w:after="60" w:line="240" w:lineRule="auto"/>
              <w:jc w:val="left"/>
              <w:rPr>
                <w:rFonts w:cs="Arial"/>
                <w:noProof w:val="0"/>
                <w:sz w:val="20"/>
                <w:szCs w:val="20"/>
                <w:lang w:bidi="ar-SA"/>
              </w:rPr>
            </w:pPr>
            <w:r w:rsidRPr="00D2350A">
              <w:rPr>
                <w:rFonts w:cs="Arial"/>
                <w:noProof w:val="0"/>
                <w:sz w:val="20"/>
                <w:szCs w:val="20"/>
                <w:lang w:bidi="ar-SA"/>
              </w:rPr>
              <w:t xml:space="preserve">Oproti Variantě 2 nelze očekávat tak silný potenciální negativní dopad na hospodářskou soutěž. Dochází k zachování velké části rovných podmínek z varianty 1   </w:t>
            </w:r>
          </w:p>
        </w:tc>
        <w:tc>
          <w:tcPr>
            <w:tcW w:w="3327" w:type="dxa"/>
            <w:shd w:val="clear" w:color="auto" w:fill="F2F2F2"/>
            <w:vAlign w:val="center"/>
          </w:tcPr>
          <w:p w:rsidR="00D2350A" w:rsidRPr="00D2350A" w:rsidRDefault="00D2350A" w:rsidP="00D2350A">
            <w:pPr>
              <w:spacing w:before="60" w:after="60" w:line="240" w:lineRule="auto"/>
              <w:jc w:val="left"/>
              <w:rPr>
                <w:rFonts w:cs="Arial"/>
                <w:noProof w:val="0"/>
                <w:sz w:val="20"/>
                <w:szCs w:val="20"/>
                <w:lang w:bidi="ar-SA"/>
              </w:rPr>
            </w:pPr>
            <w:r w:rsidRPr="00D2350A">
              <w:rPr>
                <w:rFonts w:cs="Arial"/>
                <w:noProof w:val="0"/>
                <w:sz w:val="20"/>
                <w:szCs w:val="20"/>
                <w:lang w:bidi="ar-SA"/>
              </w:rPr>
              <w:t>V případě potřeby či socioekonomické výhodnosti si výrobci zajistí kompletní činnosti spojené s rozšířenou odpovědností výrobce. Možnost kompletního zajištění může mít pozitivní efekt na výši recyklačního poplatku a tedy celkově snížit náklady na systém rozšířené odpovědnosti výrobce</w:t>
            </w:r>
          </w:p>
        </w:tc>
      </w:tr>
      <w:tr w:rsidR="00D2350A" w:rsidRPr="00D2350A" w:rsidTr="00AA3350">
        <w:trPr>
          <w:trHeight w:val="1233"/>
          <w:jc w:val="center"/>
        </w:trPr>
        <w:tc>
          <w:tcPr>
            <w:tcW w:w="2419" w:type="dxa"/>
            <w:shd w:val="clear" w:color="auto" w:fill="D9D9D9"/>
            <w:vAlign w:val="center"/>
          </w:tcPr>
          <w:p w:rsidR="00D2350A" w:rsidRPr="00D2350A" w:rsidRDefault="00D2350A" w:rsidP="00D2350A">
            <w:pPr>
              <w:spacing w:before="60" w:after="60" w:line="240" w:lineRule="auto"/>
              <w:jc w:val="left"/>
              <w:rPr>
                <w:rFonts w:cs="Arial"/>
                <w:sz w:val="20"/>
                <w:szCs w:val="20"/>
                <w:lang w:bidi="ar-SA"/>
              </w:rPr>
            </w:pPr>
            <w:r w:rsidRPr="00D2350A">
              <w:rPr>
                <w:rFonts w:cs="Arial"/>
                <w:sz w:val="20"/>
                <w:szCs w:val="20"/>
                <w:lang w:bidi="ar-SA"/>
              </w:rPr>
              <w:t>Varianta 2</w:t>
            </w:r>
          </w:p>
        </w:tc>
        <w:tc>
          <w:tcPr>
            <w:tcW w:w="3326" w:type="dxa"/>
            <w:shd w:val="clear" w:color="auto" w:fill="D9D9D9"/>
            <w:vAlign w:val="center"/>
          </w:tcPr>
          <w:p w:rsidR="00D2350A" w:rsidRPr="00D2350A" w:rsidRDefault="00D2350A" w:rsidP="00D2350A">
            <w:pPr>
              <w:spacing w:before="60" w:after="60" w:line="240" w:lineRule="auto"/>
              <w:jc w:val="left"/>
              <w:rPr>
                <w:rFonts w:cs="Arial"/>
                <w:noProof w:val="0"/>
                <w:sz w:val="20"/>
                <w:szCs w:val="20"/>
                <w:lang w:bidi="ar-SA"/>
              </w:rPr>
            </w:pPr>
            <w:r w:rsidRPr="00D2350A">
              <w:rPr>
                <w:rFonts w:cs="Arial"/>
                <w:noProof w:val="0"/>
                <w:sz w:val="20"/>
                <w:szCs w:val="20"/>
                <w:lang w:bidi="ar-SA"/>
              </w:rPr>
              <w:t>Náklady spojené s možným negativním dopadem na hospodářskou soutěž zpracovatelů</w:t>
            </w:r>
          </w:p>
        </w:tc>
        <w:tc>
          <w:tcPr>
            <w:tcW w:w="3327" w:type="dxa"/>
            <w:shd w:val="clear" w:color="auto" w:fill="D9D9D9"/>
            <w:vAlign w:val="center"/>
          </w:tcPr>
          <w:p w:rsidR="00D2350A" w:rsidRPr="00D2350A" w:rsidRDefault="00D2350A" w:rsidP="00D2350A">
            <w:pPr>
              <w:spacing w:before="60" w:after="60" w:line="240" w:lineRule="auto"/>
              <w:jc w:val="left"/>
              <w:rPr>
                <w:rFonts w:cs="Arial"/>
                <w:noProof w:val="0"/>
                <w:sz w:val="20"/>
                <w:szCs w:val="20"/>
                <w:lang w:bidi="ar-SA"/>
              </w:rPr>
            </w:pPr>
            <w:r w:rsidRPr="00D2350A">
              <w:rPr>
                <w:rFonts w:cs="Arial"/>
                <w:noProof w:val="0"/>
                <w:sz w:val="20"/>
                <w:szCs w:val="20"/>
                <w:lang w:bidi="ar-SA"/>
              </w:rPr>
              <w:t xml:space="preserve">V případě potřeby či socioekonomické výhodnosti KS mohou zajistit kompletní činnosti spojené s rozšířenou odpovědností výrobce. Možnost kompletního zajištění může mít pozitivní efekt na výši </w:t>
            </w:r>
            <w:r w:rsidRPr="00D2350A">
              <w:rPr>
                <w:rFonts w:cs="Arial"/>
                <w:noProof w:val="0"/>
                <w:sz w:val="20"/>
                <w:szCs w:val="20"/>
                <w:lang w:bidi="ar-SA"/>
              </w:rPr>
              <w:lastRenderedPageBreak/>
              <w:t>recyklačního poplatku a tedy celkově snížit náklady na systém rozšířené odpovědnosti výrobce</w:t>
            </w:r>
          </w:p>
        </w:tc>
      </w:tr>
    </w:tbl>
    <w:p w:rsidR="00D2350A" w:rsidRPr="00ED38E9" w:rsidRDefault="00D2350A" w:rsidP="008F4565">
      <w:pPr>
        <w:widowControl w:val="0"/>
        <w:spacing w:before="120" w:after="120"/>
        <w:rPr>
          <w:rFonts w:eastAsia="Calibri" w:cs="Arial"/>
          <w:noProof w:val="0"/>
          <w:szCs w:val="22"/>
          <w:lang w:bidi="ar-SA"/>
        </w:rPr>
      </w:pPr>
    </w:p>
    <w:p w:rsidR="00DC1795" w:rsidRPr="00ED38E9" w:rsidRDefault="00DC1795" w:rsidP="0011664A">
      <w:pPr>
        <w:pStyle w:val="Nadpis2"/>
        <w:rPr>
          <w:rFonts w:eastAsia="Calibri"/>
          <w:lang w:bidi="ar-SA"/>
        </w:rPr>
      </w:pPr>
      <w:bookmarkStart w:id="107" w:name="_Toc441759886"/>
      <w:r w:rsidRPr="00ED38E9">
        <w:rPr>
          <w:rFonts w:eastAsia="Calibri"/>
          <w:lang w:bidi="ar-SA"/>
        </w:rPr>
        <w:t>Vyhodnocení variant a návrh řešení</w:t>
      </w:r>
      <w:bookmarkEnd w:id="107"/>
    </w:p>
    <w:p w:rsidR="00DC1795" w:rsidRPr="00ED38E9" w:rsidRDefault="00DC1795" w:rsidP="008F4565">
      <w:pPr>
        <w:widowControl w:val="0"/>
        <w:spacing w:before="120" w:after="120"/>
        <w:rPr>
          <w:rFonts w:eastAsia="Calibri" w:cs="Arial"/>
          <w:noProof w:val="0"/>
          <w:szCs w:val="22"/>
          <w:lang w:bidi="ar-SA"/>
        </w:rPr>
      </w:pPr>
      <w:r w:rsidRPr="00ED38E9">
        <w:rPr>
          <w:rFonts w:eastAsia="Calibri" w:cs="Arial"/>
          <w:noProof w:val="0"/>
          <w:szCs w:val="22"/>
          <w:lang w:bidi="ar-SA"/>
        </w:rPr>
        <w:t xml:space="preserve">Na základě výše uvedené analýzy nákladů a přínosů jednotlivých variant </w:t>
      </w:r>
      <w:r w:rsidRPr="00ED38E9">
        <w:rPr>
          <w:rFonts w:eastAsia="Calibri" w:cs="Arial"/>
          <w:b/>
          <w:noProof w:val="0"/>
          <w:szCs w:val="22"/>
          <w:lang w:bidi="ar-SA"/>
        </w:rPr>
        <w:t>doporučujeme realizaci Varianty 1b</w:t>
      </w:r>
      <w:r w:rsidRPr="00ED38E9">
        <w:rPr>
          <w:rFonts w:eastAsia="Calibri" w:cs="Arial"/>
          <w:noProof w:val="0"/>
          <w:szCs w:val="22"/>
          <w:lang w:bidi="ar-SA"/>
        </w:rPr>
        <w:t>, kter</w:t>
      </w:r>
      <w:r w:rsidR="008F4565" w:rsidRPr="00ED38E9">
        <w:rPr>
          <w:rFonts w:eastAsia="Calibri" w:cs="Arial"/>
          <w:noProof w:val="0"/>
          <w:szCs w:val="22"/>
          <w:lang w:bidi="ar-SA"/>
        </w:rPr>
        <w:t>á</w:t>
      </w:r>
      <w:r w:rsidRPr="00ED38E9">
        <w:rPr>
          <w:rFonts w:eastAsia="Calibri" w:cs="Arial"/>
          <w:noProof w:val="0"/>
          <w:szCs w:val="22"/>
          <w:lang w:bidi="ar-SA"/>
        </w:rPr>
        <w:t xml:space="preserve"> KS zakáže podnikat nebo mít majetkovou účast v subjektech podnikajících v oblasti nakládání s odpady včetně navazujících činností. Obdobné omezení je uvaleno i na členy statutárních orgánů KS. Varianta 1b je preferovaná před Variantou 1a zejména z důvodu zachování možnosti výrobců sdružených v KS plnit povinnosti vyplývající z rozšířené odpovědnosti výrobce za přijatelných nákladů i v případě, kdy stávající trh nenabízí dostatečné alternativy (např. nedostatečné kapacity zpracování, nedostatečná kvalita zpracování) a výrobce si tak část povinností může plnit prostřednictvím vlastní režie či svých majetkových účastí. Zároveň nevytváří diskriminační rozdíl mezi výrobc</w:t>
      </w:r>
      <w:r w:rsidR="008F4565" w:rsidRPr="00ED38E9">
        <w:rPr>
          <w:rFonts w:eastAsia="Calibri" w:cs="Arial"/>
          <w:noProof w:val="0"/>
          <w:szCs w:val="22"/>
          <w:lang w:bidi="ar-SA"/>
        </w:rPr>
        <w:t>i</w:t>
      </w:r>
      <w:r w:rsidRPr="00ED38E9">
        <w:rPr>
          <w:rFonts w:eastAsia="Calibri" w:cs="Arial"/>
          <w:noProof w:val="0"/>
          <w:szCs w:val="22"/>
          <w:lang w:bidi="ar-SA"/>
        </w:rPr>
        <w:t>, kte</w:t>
      </w:r>
      <w:r w:rsidR="008F4565" w:rsidRPr="00ED38E9">
        <w:rPr>
          <w:rFonts w:eastAsia="Calibri" w:cs="Arial"/>
          <w:noProof w:val="0"/>
          <w:szCs w:val="22"/>
          <w:lang w:bidi="ar-SA"/>
        </w:rPr>
        <w:t>ří</w:t>
      </w:r>
      <w:r w:rsidRPr="00ED38E9">
        <w:rPr>
          <w:rFonts w:eastAsia="Calibri" w:cs="Arial"/>
          <w:noProof w:val="0"/>
          <w:szCs w:val="22"/>
          <w:lang w:bidi="ar-SA"/>
        </w:rPr>
        <w:t xml:space="preserve"> plní povinnosti individuálně a kolektivně. Varianta 2 představuje řešení, které může dle stanoviska Úřadu pro </w:t>
      </w:r>
      <w:r w:rsidR="004D0A91" w:rsidRPr="00ED38E9">
        <w:rPr>
          <w:rFonts w:eastAsia="Calibri" w:cs="Arial"/>
          <w:noProof w:val="0"/>
          <w:szCs w:val="22"/>
          <w:lang w:bidi="ar-SA"/>
        </w:rPr>
        <w:t xml:space="preserve">ochranu </w:t>
      </w:r>
      <w:r w:rsidRPr="00ED38E9">
        <w:rPr>
          <w:rFonts w:eastAsia="Calibri" w:cs="Arial"/>
          <w:noProof w:val="0"/>
          <w:szCs w:val="22"/>
          <w:lang w:bidi="ar-SA"/>
        </w:rPr>
        <w:t>hospodářsk</w:t>
      </w:r>
      <w:r w:rsidR="004D0A91" w:rsidRPr="00ED38E9">
        <w:rPr>
          <w:rFonts w:eastAsia="Calibri" w:cs="Arial"/>
          <w:noProof w:val="0"/>
          <w:szCs w:val="22"/>
          <w:lang w:bidi="ar-SA"/>
        </w:rPr>
        <w:t>é</w:t>
      </w:r>
      <w:r w:rsidRPr="00ED38E9">
        <w:rPr>
          <w:rFonts w:eastAsia="Calibri" w:cs="Arial"/>
          <w:noProof w:val="0"/>
          <w:szCs w:val="22"/>
          <w:lang w:bidi="ar-SA"/>
        </w:rPr>
        <w:t xml:space="preserve"> soutěž</w:t>
      </w:r>
      <w:r w:rsidR="004D0A91" w:rsidRPr="00ED38E9">
        <w:rPr>
          <w:rFonts w:eastAsia="Calibri" w:cs="Arial"/>
          <w:noProof w:val="0"/>
          <w:szCs w:val="22"/>
          <w:lang w:bidi="ar-SA"/>
        </w:rPr>
        <w:t>e</w:t>
      </w:r>
      <w:r w:rsidRPr="00ED38E9">
        <w:rPr>
          <w:rFonts w:eastAsia="Calibri" w:cs="Arial"/>
          <w:noProof w:val="0"/>
          <w:szCs w:val="22"/>
          <w:lang w:bidi="ar-SA"/>
        </w:rPr>
        <w:t xml:space="preserve"> potenciálně negativně ovlivnit trh s nakládání</w:t>
      </w:r>
      <w:r w:rsidR="004D0A91" w:rsidRPr="00ED38E9">
        <w:rPr>
          <w:rFonts w:eastAsia="Calibri" w:cs="Arial"/>
          <w:noProof w:val="0"/>
          <w:szCs w:val="22"/>
          <w:lang w:bidi="ar-SA"/>
        </w:rPr>
        <w:t>m</w:t>
      </w:r>
      <w:r w:rsidRPr="00ED38E9">
        <w:rPr>
          <w:rFonts w:eastAsia="Calibri" w:cs="Arial"/>
          <w:noProof w:val="0"/>
          <w:szCs w:val="22"/>
          <w:lang w:bidi="ar-SA"/>
        </w:rPr>
        <w:t xml:space="preserve"> s odpady, což je jeden z důvodů proč preferujeme Variantu 1b před Variantou 2.</w:t>
      </w:r>
    </w:p>
    <w:p w:rsidR="00DC1795" w:rsidRPr="00ED38E9" w:rsidRDefault="00DC1795" w:rsidP="0011664A">
      <w:pPr>
        <w:pStyle w:val="Nadpis1"/>
      </w:pPr>
      <w:bookmarkStart w:id="108" w:name="_Toc406598340"/>
      <w:bookmarkStart w:id="109" w:name="_Toc441759887"/>
      <w:bookmarkStart w:id="110" w:name="_Toc441760189"/>
      <w:r w:rsidRPr="00ED38E9">
        <w:t>Prokázání dostatečných záruk o schopnosti dlouhodobého financování projektu při žádosti o udělení oprávnění</w:t>
      </w:r>
      <w:bookmarkEnd w:id="108"/>
      <w:r w:rsidR="00262B39">
        <w:t xml:space="preserve"> k provozování KS</w:t>
      </w:r>
      <w:bookmarkEnd w:id="109"/>
      <w:bookmarkEnd w:id="110"/>
    </w:p>
    <w:p w:rsidR="00725D27" w:rsidRDefault="00725D27" w:rsidP="0011664A">
      <w:pPr>
        <w:pStyle w:val="Nadpis2"/>
      </w:pPr>
      <w:bookmarkStart w:id="111" w:name="_Toc441759888"/>
      <w:r>
        <w:t>Definice problému a popis současného stavu</w:t>
      </w:r>
      <w:bookmarkEnd w:id="111"/>
    </w:p>
    <w:p w:rsidR="00DC1795" w:rsidRPr="00ED38E9" w:rsidRDefault="00DC1795" w:rsidP="008F4565">
      <w:pPr>
        <w:spacing w:before="120" w:after="120"/>
        <w:rPr>
          <w:rFonts w:eastAsia="Calibri" w:cs="Arial"/>
          <w:b/>
          <w:noProof w:val="0"/>
          <w:szCs w:val="22"/>
          <w:lang w:bidi="ar-SA"/>
        </w:rPr>
      </w:pPr>
      <w:r w:rsidRPr="00ED38E9">
        <w:rPr>
          <w:rFonts w:eastAsia="Calibri" w:cs="Arial"/>
          <w:b/>
          <w:noProof w:val="0"/>
          <w:szCs w:val="22"/>
          <w:lang w:bidi="ar-SA"/>
        </w:rPr>
        <w:t xml:space="preserve">Popis současného stavu: </w:t>
      </w:r>
      <w:r w:rsidRPr="00ED38E9">
        <w:rPr>
          <w:rFonts w:eastAsia="Calibri" w:cs="Arial"/>
          <w:noProof w:val="0"/>
          <w:szCs w:val="22"/>
          <w:lang w:bidi="ar-SA"/>
        </w:rPr>
        <w:t xml:space="preserve">Protože současná právní úprava </w:t>
      </w:r>
      <w:r w:rsidR="00262B39">
        <w:rPr>
          <w:rFonts w:eastAsia="Calibri" w:cs="Arial"/>
          <w:noProof w:val="0"/>
          <w:szCs w:val="22"/>
          <w:lang w:bidi="ar-SA"/>
        </w:rPr>
        <w:t xml:space="preserve">v oblasti EEZ </w:t>
      </w:r>
      <w:r w:rsidRPr="00ED38E9">
        <w:rPr>
          <w:rFonts w:eastAsia="Calibri" w:cs="Arial"/>
          <w:noProof w:val="0"/>
          <w:szCs w:val="22"/>
          <w:lang w:bidi="ar-SA"/>
        </w:rPr>
        <w:t>neupravuje podávání projektu při žádosti o udělení oprávnění</w:t>
      </w:r>
      <w:r w:rsidR="00262B39">
        <w:rPr>
          <w:rFonts w:eastAsia="Calibri" w:cs="Arial"/>
          <w:noProof w:val="0"/>
          <w:szCs w:val="22"/>
          <w:lang w:bidi="ar-SA"/>
        </w:rPr>
        <w:t xml:space="preserve"> k provozování KS</w:t>
      </w:r>
      <w:r w:rsidRPr="00ED38E9">
        <w:rPr>
          <w:rFonts w:eastAsia="Calibri" w:cs="Arial"/>
          <w:noProof w:val="0"/>
          <w:szCs w:val="22"/>
          <w:lang w:bidi="ar-SA"/>
        </w:rPr>
        <w:t>, není prokazování dostatečných záruk při tomto procesu rovněž upravováno.</w:t>
      </w:r>
    </w:p>
    <w:p w:rsidR="00725D27" w:rsidRDefault="00725D27" w:rsidP="0011664A">
      <w:pPr>
        <w:pStyle w:val="Nadpis2"/>
      </w:pPr>
      <w:bookmarkStart w:id="112" w:name="_Toc441759889"/>
      <w:r>
        <w:t>Popis cílového stavu</w:t>
      </w:r>
      <w:bookmarkEnd w:id="112"/>
    </w:p>
    <w:p w:rsidR="00DC1795" w:rsidRPr="00ED38E9" w:rsidRDefault="00DC1795" w:rsidP="008F4565">
      <w:pPr>
        <w:spacing w:before="120" w:after="120"/>
        <w:rPr>
          <w:rFonts w:eastAsia="Calibri" w:cs="Arial"/>
          <w:noProof w:val="0"/>
          <w:szCs w:val="22"/>
          <w:lang w:bidi="ar-SA"/>
        </w:rPr>
      </w:pPr>
      <w:r w:rsidRPr="00ED38E9">
        <w:rPr>
          <w:rFonts w:eastAsia="Calibri" w:cs="Arial"/>
          <w:b/>
          <w:noProof w:val="0"/>
          <w:szCs w:val="22"/>
          <w:lang w:bidi="ar-SA"/>
        </w:rPr>
        <w:t xml:space="preserve">Cíl: </w:t>
      </w:r>
      <w:r w:rsidRPr="00ED38E9">
        <w:rPr>
          <w:rFonts w:eastAsia="Calibri" w:cs="Arial"/>
          <w:noProof w:val="0"/>
          <w:szCs w:val="22"/>
          <w:lang w:bidi="ar-SA"/>
        </w:rPr>
        <w:t xml:space="preserve">Cílovým stavem je, aby kolektivní systém v rámci žádosti o udělení oprávnění k provozování kolektivního systému prokázal </w:t>
      </w:r>
      <w:r w:rsidR="00A56310" w:rsidRPr="00ED38E9">
        <w:rPr>
          <w:rFonts w:eastAsia="Calibri" w:cs="Arial"/>
          <w:noProof w:val="0"/>
          <w:szCs w:val="22"/>
          <w:lang w:bidi="ar-SA"/>
        </w:rPr>
        <w:t>MŽP</w:t>
      </w:r>
      <w:r w:rsidRPr="00ED38E9">
        <w:rPr>
          <w:rFonts w:eastAsia="Calibri" w:cs="Arial"/>
          <w:noProof w:val="0"/>
          <w:szCs w:val="22"/>
          <w:lang w:bidi="ar-SA"/>
        </w:rPr>
        <w:t xml:space="preserve"> dostatečné finanční záruky na zajištění řádného a dlouhodobého financování projektu zajišťování kolektivního plnění povinností. </w:t>
      </w:r>
    </w:p>
    <w:p w:rsidR="00DC1795" w:rsidRPr="00ED38E9" w:rsidRDefault="00DC1795" w:rsidP="0011664A">
      <w:pPr>
        <w:pStyle w:val="Nadpis2"/>
        <w:rPr>
          <w:rFonts w:eastAsia="Calibri"/>
          <w:lang w:bidi="ar-SA"/>
        </w:rPr>
      </w:pPr>
      <w:bookmarkStart w:id="113" w:name="_Toc441759890"/>
      <w:r w:rsidRPr="00ED38E9">
        <w:rPr>
          <w:rFonts w:eastAsia="Calibri"/>
          <w:lang w:bidi="ar-SA"/>
        </w:rPr>
        <w:t>Varianty řešení</w:t>
      </w:r>
      <w:bookmarkEnd w:id="113"/>
    </w:p>
    <w:p w:rsidR="00DC1795" w:rsidRPr="00ED38E9" w:rsidRDefault="00DC1795" w:rsidP="008F4565">
      <w:pPr>
        <w:spacing w:before="120" w:after="120"/>
        <w:rPr>
          <w:rFonts w:eastAsia="Calibri" w:cs="Arial"/>
          <w:noProof w:val="0"/>
          <w:szCs w:val="22"/>
          <w:lang w:bidi="ar-SA"/>
        </w:rPr>
      </w:pPr>
      <w:r w:rsidRPr="00ED38E9">
        <w:rPr>
          <w:rFonts w:eastAsia="Calibri" w:cs="Arial"/>
          <w:b/>
          <w:noProof w:val="0"/>
          <w:szCs w:val="22"/>
          <w:lang w:bidi="ar-SA"/>
        </w:rPr>
        <w:t xml:space="preserve">Varianta 0 - </w:t>
      </w:r>
      <w:r w:rsidRPr="00ED38E9">
        <w:rPr>
          <w:rFonts w:eastAsia="Calibri" w:cs="Arial"/>
          <w:noProof w:val="0"/>
          <w:szCs w:val="22"/>
          <w:lang w:bidi="ar-SA"/>
        </w:rPr>
        <w:t>Zachování současného stavu.</w:t>
      </w:r>
    </w:p>
    <w:p w:rsidR="00DC1795" w:rsidRPr="00ED38E9" w:rsidRDefault="00DC1795" w:rsidP="008F4565">
      <w:pPr>
        <w:spacing w:before="120" w:after="120"/>
        <w:rPr>
          <w:rFonts w:eastAsia="Calibri" w:cs="Arial"/>
          <w:noProof w:val="0"/>
          <w:szCs w:val="22"/>
          <w:lang w:bidi="ar-SA"/>
        </w:rPr>
      </w:pPr>
      <w:r w:rsidRPr="00ED38E9">
        <w:rPr>
          <w:rFonts w:eastAsia="Calibri" w:cs="Arial"/>
          <w:b/>
          <w:noProof w:val="0"/>
          <w:szCs w:val="22"/>
          <w:lang w:bidi="ar-SA"/>
        </w:rPr>
        <w:t>Varianta 1 -</w:t>
      </w:r>
      <w:r w:rsidRPr="00ED38E9">
        <w:rPr>
          <w:rFonts w:eastAsia="Calibri" w:cs="Arial"/>
          <w:noProof w:val="0"/>
          <w:szCs w:val="22"/>
          <w:lang w:bidi="ar-SA"/>
        </w:rPr>
        <w:t xml:space="preserve"> </w:t>
      </w:r>
      <w:r w:rsidRPr="00ED38E9">
        <w:rPr>
          <w:rFonts w:eastAsia="Calibri" w:cs="Arial"/>
          <w:b/>
          <w:noProof w:val="0"/>
          <w:szCs w:val="22"/>
          <w:lang w:bidi="ar-SA"/>
        </w:rPr>
        <w:t xml:space="preserve"> </w:t>
      </w:r>
      <w:r w:rsidRPr="00ED38E9">
        <w:rPr>
          <w:rFonts w:eastAsia="Calibri" w:cs="Arial"/>
          <w:noProof w:val="0"/>
          <w:szCs w:val="22"/>
          <w:lang w:bidi="ar-SA"/>
        </w:rPr>
        <w:t xml:space="preserve">Zavedení povinnosti prokazování záruk o schopnosti dlouhodobého financování bez striktní definice těchto záruk. Rozhodnutí o schopnosti financování bude v kompetenci </w:t>
      </w:r>
      <w:r w:rsidR="00A56310" w:rsidRPr="00ED38E9">
        <w:rPr>
          <w:rFonts w:eastAsia="Calibri" w:cs="Arial"/>
          <w:noProof w:val="0"/>
          <w:szCs w:val="22"/>
          <w:lang w:bidi="ar-SA"/>
        </w:rPr>
        <w:t>MŽP</w:t>
      </w:r>
      <w:r w:rsidRPr="00ED38E9">
        <w:rPr>
          <w:rFonts w:eastAsia="Calibri" w:cs="Arial"/>
          <w:noProof w:val="0"/>
          <w:szCs w:val="22"/>
          <w:lang w:bidi="ar-SA"/>
        </w:rPr>
        <w:t xml:space="preserve">. </w:t>
      </w:r>
    </w:p>
    <w:p w:rsidR="00DC1795" w:rsidRPr="00ED38E9" w:rsidRDefault="00DC1795" w:rsidP="008F4565">
      <w:pPr>
        <w:spacing w:before="120" w:after="120"/>
        <w:rPr>
          <w:rFonts w:eastAsia="Calibri" w:cs="Arial"/>
          <w:noProof w:val="0"/>
          <w:szCs w:val="22"/>
          <w:lang w:bidi="ar-SA"/>
        </w:rPr>
      </w:pPr>
      <w:r w:rsidRPr="00ED38E9">
        <w:rPr>
          <w:rFonts w:eastAsia="Calibri" w:cs="Arial"/>
          <w:b/>
          <w:noProof w:val="0"/>
          <w:szCs w:val="22"/>
          <w:lang w:bidi="ar-SA"/>
        </w:rPr>
        <w:t xml:space="preserve">Varianta 2 - </w:t>
      </w:r>
      <w:r w:rsidRPr="00ED38E9">
        <w:rPr>
          <w:rFonts w:eastAsia="Calibri" w:cs="Arial"/>
          <w:noProof w:val="0"/>
          <w:szCs w:val="22"/>
          <w:lang w:bidi="ar-SA"/>
        </w:rPr>
        <w:t xml:space="preserve"> Zavedení povinnosti prokazování záruk o schopnosti dlouhodobého financování se striktní definicí požadavků v rámci udělení oprávnění k provozování kolektivního systému.</w:t>
      </w:r>
    </w:p>
    <w:p w:rsidR="00DC1795" w:rsidRPr="00ED38E9" w:rsidRDefault="00DC1795" w:rsidP="0011664A">
      <w:pPr>
        <w:pStyle w:val="Nadpis2"/>
        <w:rPr>
          <w:rFonts w:eastAsia="Calibri"/>
          <w:lang w:bidi="ar-SA"/>
        </w:rPr>
      </w:pPr>
      <w:bookmarkStart w:id="114" w:name="_Toc441759891"/>
      <w:r w:rsidRPr="00ED38E9">
        <w:rPr>
          <w:rFonts w:eastAsia="Calibri"/>
          <w:lang w:bidi="ar-SA"/>
        </w:rPr>
        <w:lastRenderedPageBreak/>
        <w:t>Identifikace nákladů a přínosů</w:t>
      </w:r>
      <w:bookmarkEnd w:id="114"/>
    </w:p>
    <w:p w:rsidR="00DC1795" w:rsidRPr="00ED38E9" w:rsidRDefault="00DC1795" w:rsidP="008F4565">
      <w:pPr>
        <w:spacing w:before="120" w:after="120"/>
        <w:rPr>
          <w:rFonts w:eastAsia="Calibri" w:cs="Arial"/>
          <w:noProof w:val="0"/>
          <w:szCs w:val="22"/>
          <w:lang w:bidi="ar-SA"/>
        </w:rPr>
      </w:pPr>
      <w:r w:rsidRPr="00ED38E9">
        <w:rPr>
          <w:rFonts w:eastAsia="Calibri" w:cs="Arial"/>
          <w:noProof w:val="0"/>
          <w:szCs w:val="22"/>
          <w:lang w:bidi="ar-SA"/>
        </w:rPr>
        <w:t>V případě Varianty 1 a 2, které zavádí požadavek prokázání dostatečných finančních záruk v rámci žádosti o udělení oprávnění k provozování KS, je zapotřebí stanovit záruky ve formě nevytvářející neodůvodnitelné bariéry vstupu na trh KS (např. požadavek neúměrně vysoké záruky). V opačném případě může být ohro</w:t>
      </w:r>
      <w:r w:rsidR="00C27BED" w:rsidRPr="00ED38E9">
        <w:rPr>
          <w:rFonts w:eastAsia="Calibri" w:cs="Arial"/>
          <w:noProof w:val="0"/>
          <w:szCs w:val="22"/>
          <w:lang w:bidi="ar-SA"/>
        </w:rPr>
        <w:t>ž</w:t>
      </w:r>
      <w:r w:rsidRPr="00ED38E9">
        <w:rPr>
          <w:rFonts w:eastAsia="Calibri" w:cs="Arial"/>
          <w:noProof w:val="0"/>
          <w:szCs w:val="22"/>
          <w:lang w:bidi="ar-SA"/>
        </w:rPr>
        <w:t>en hlavní cíl</w:t>
      </w:r>
      <w:r w:rsidR="00C27BED" w:rsidRPr="00ED38E9">
        <w:rPr>
          <w:rFonts w:eastAsia="Calibri" w:cs="Arial"/>
          <w:noProof w:val="0"/>
          <w:szCs w:val="22"/>
          <w:lang w:bidi="ar-SA"/>
        </w:rPr>
        <w:t>,</w:t>
      </w:r>
      <w:r w:rsidRPr="00ED38E9">
        <w:rPr>
          <w:rFonts w:eastAsia="Calibri" w:cs="Arial"/>
          <w:noProof w:val="0"/>
          <w:szCs w:val="22"/>
          <w:lang w:bidi="ar-SA"/>
        </w:rPr>
        <w:t xml:space="preserve"> tj. navyšování míry sběru u zpětného odběru i odděleného sběru. Finanční záruka nemusí být tvořena pouze vlastním kapitálem, ale musí být zajištěna její dlouhodobost (pod dobu trvání oprávnění k provozu KS).</w:t>
      </w:r>
    </w:p>
    <w:p w:rsidR="00DC1795" w:rsidRPr="00ED38E9" w:rsidRDefault="00DC1795" w:rsidP="008F4565">
      <w:pPr>
        <w:keepNext/>
        <w:spacing w:before="120" w:after="120"/>
        <w:rPr>
          <w:rFonts w:eastAsia="Calibri" w:cs="Arial"/>
          <w:noProof w:val="0"/>
          <w:szCs w:val="22"/>
          <w:lang w:bidi="ar-SA"/>
        </w:rPr>
      </w:pPr>
      <w:r w:rsidRPr="00ED38E9">
        <w:rPr>
          <w:rFonts w:eastAsia="Calibri" w:cs="Arial"/>
          <w:noProof w:val="0"/>
          <w:szCs w:val="22"/>
          <w:lang w:bidi="ar-SA"/>
        </w:rPr>
        <w:t>Varianta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kontrola, vyšší pravomoci, možnost optimalizace sběru</w:t>
            </w:r>
          </w:p>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Stávající 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jistota, snížení podnikatelských rizik</w:t>
            </w:r>
          </w:p>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a náklady na zajištění financování</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Nové 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Odstranění diskriminačních bariér vstupu na trh, vyšší jistota, snížení podnikatelských rizik</w:t>
            </w:r>
          </w:p>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a náklady na zajištění financování, nemožnost vstoupit na trh</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Možná optimalizace sběru, vyšší právní jistota</w:t>
            </w:r>
          </w:p>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Nejednoznačnost záruky může představovat možné korupční riziko</w:t>
            </w:r>
          </w:p>
        </w:tc>
      </w:tr>
    </w:tbl>
    <w:p w:rsidR="00DC1795" w:rsidRPr="00ED38E9" w:rsidRDefault="00DC1795" w:rsidP="00D12F23">
      <w:pPr>
        <w:keepNext/>
        <w:spacing w:before="120" w:after="120" w:line="240" w:lineRule="auto"/>
        <w:rPr>
          <w:rFonts w:eastAsia="Calibri" w:cs="Arial"/>
          <w:noProof w:val="0"/>
          <w:szCs w:val="22"/>
          <w:lang w:bidi="ar-SA"/>
        </w:rPr>
      </w:pPr>
      <w:r w:rsidRPr="00ED38E9">
        <w:rPr>
          <w:rFonts w:eastAsia="Calibri" w:cs="Arial"/>
          <w:noProof w:val="0"/>
          <w:szCs w:val="22"/>
          <w:lang w:bidi="ar-SA"/>
        </w:rPr>
        <w:t>Varianta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kontrola, možnost optimalizace sběru</w:t>
            </w:r>
          </w:p>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Stávající 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právní jistota, snížení podnikatelských rizik</w:t>
            </w:r>
          </w:p>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a náklady na zajištění financování</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Nové 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Odstranění diskriminačních bariér vstupu na trh, vyšší právní jistota, snížení podnikatelských rizik</w:t>
            </w:r>
          </w:p>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a náklady na zajištění financování, nemožnost vstoupit na trh</w:t>
            </w:r>
          </w:p>
        </w:tc>
      </w:tr>
      <w:tr w:rsidR="007A0D35" w:rsidRPr="000B7CBF" w:rsidTr="00ED38E9">
        <w:trPr>
          <w:trHeight w:val="397"/>
        </w:trPr>
        <w:tc>
          <w:tcPr>
            <w:tcW w:w="9180" w:type="dxa"/>
            <w:shd w:val="clear" w:color="auto" w:fill="auto"/>
            <w:vAlign w:val="center"/>
          </w:tcPr>
          <w:p w:rsidR="00DC1795" w:rsidRPr="00ED38E9" w:rsidRDefault="00DC1795" w:rsidP="00D12F23">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rsidR="007A0D35" w:rsidRPr="000B7CBF" w:rsidTr="00ED38E9">
        <w:trPr>
          <w:trHeight w:val="397"/>
        </w:trPr>
        <w:tc>
          <w:tcPr>
            <w:tcW w:w="9180" w:type="dxa"/>
            <w:shd w:val="clear" w:color="auto" w:fill="auto"/>
            <w:vAlign w:val="center"/>
          </w:tcPr>
          <w:p w:rsidR="00DC1795" w:rsidRPr="00ED38E9" w:rsidRDefault="00DC1795" w:rsidP="00D12F23">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právní jistota, transparentnost, možná optimalizace sběru</w:t>
            </w:r>
          </w:p>
        </w:tc>
      </w:tr>
    </w:tbl>
    <w:p w:rsidR="00CB13D7" w:rsidRDefault="00CB13D7" w:rsidP="006F5445">
      <w:pPr>
        <w:pStyle w:val="Titulek"/>
      </w:pPr>
      <w:r>
        <w:t xml:space="preserve">Tabulka </w:t>
      </w:r>
      <w:r w:rsidR="00381FB7">
        <w:fldChar w:fldCharType="begin"/>
      </w:r>
      <w:r>
        <w:instrText xml:space="preserve"> SEQ Tabulka \* ARABIC </w:instrText>
      </w:r>
      <w:r w:rsidR="00381FB7">
        <w:fldChar w:fldCharType="separate"/>
      </w:r>
      <w:r w:rsidR="00FD5E92">
        <w:t>44</w:t>
      </w:r>
      <w:r w:rsidR="00381FB7">
        <w:fldChar w:fldCharType="end"/>
      </w:r>
      <w:r>
        <w:t>: Souhrn nákladů a přínosů</w:t>
      </w:r>
    </w:p>
    <w:tbl>
      <w:tblPr>
        <w:tblStyle w:val="Mkatabulky"/>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CB13D7" w:rsidRPr="00ED38E9" w:rsidTr="00AA3350">
        <w:trPr>
          <w:trHeight w:val="64"/>
          <w:jc w:val="center"/>
        </w:trPr>
        <w:tc>
          <w:tcPr>
            <w:tcW w:w="2419" w:type="dxa"/>
            <w:shd w:val="clear" w:color="auto" w:fill="B6B002"/>
            <w:vAlign w:val="center"/>
          </w:tcPr>
          <w:p w:rsidR="00CB13D7" w:rsidRPr="00ED38E9" w:rsidRDefault="00CB13D7" w:rsidP="00AA3350">
            <w:pPr>
              <w:spacing w:line="264" w:lineRule="auto"/>
              <w:jc w:val="center"/>
              <w:rPr>
                <w:rFonts w:cs="Arial"/>
                <w:b/>
                <w:noProof w:val="0"/>
                <w:sz w:val="20"/>
                <w:szCs w:val="20"/>
                <w:lang w:bidi="ar-SA"/>
              </w:rPr>
            </w:pPr>
          </w:p>
        </w:tc>
        <w:tc>
          <w:tcPr>
            <w:tcW w:w="3326" w:type="dxa"/>
            <w:shd w:val="clear" w:color="auto" w:fill="B6B002"/>
            <w:vAlign w:val="center"/>
          </w:tcPr>
          <w:p w:rsidR="00CB13D7" w:rsidRPr="00ED38E9" w:rsidRDefault="00CB13D7" w:rsidP="00AA3350">
            <w:pPr>
              <w:spacing w:line="264" w:lineRule="auto"/>
              <w:rPr>
                <w:rFonts w:cs="Arial"/>
                <w:b/>
                <w:noProof w:val="0"/>
                <w:sz w:val="20"/>
                <w:szCs w:val="20"/>
                <w:lang w:bidi="ar-SA"/>
              </w:rPr>
            </w:pPr>
            <w:r w:rsidRPr="00ED38E9">
              <w:rPr>
                <w:rFonts w:cs="Arial"/>
                <w:b/>
                <w:noProof w:val="0"/>
                <w:sz w:val="20"/>
                <w:szCs w:val="20"/>
                <w:lang w:bidi="ar-SA"/>
              </w:rPr>
              <w:t>Náklady</w:t>
            </w:r>
          </w:p>
        </w:tc>
        <w:tc>
          <w:tcPr>
            <w:tcW w:w="3327" w:type="dxa"/>
            <w:shd w:val="clear" w:color="auto" w:fill="B6B002"/>
            <w:vAlign w:val="center"/>
          </w:tcPr>
          <w:p w:rsidR="00CB13D7" w:rsidRPr="00ED38E9" w:rsidRDefault="00CB13D7" w:rsidP="00AA3350">
            <w:pPr>
              <w:spacing w:line="264" w:lineRule="auto"/>
              <w:rPr>
                <w:rFonts w:cs="Arial"/>
                <w:b/>
                <w:noProof w:val="0"/>
                <w:sz w:val="20"/>
                <w:szCs w:val="20"/>
                <w:lang w:bidi="ar-SA"/>
              </w:rPr>
            </w:pPr>
            <w:r w:rsidRPr="00ED38E9">
              <w:rPr>
                <w:rFonts w:cs="Arial"/>
                <w:b/>
                <w:noProof w:val="0"/>
                <w:sz w:val="20"/>
                <w:szCs w:val="20"/>
                <w:lang w:bidi="ar-SA"/>
              </w:rPr>
              <w:t>Přínosy</w:t>
            </w:r>
          </w:p>
        </w:tc>
      </w:tr>
    </w:tbl>
    <w:tbl>
      <w:tblPr>
        <w:tblStyle w:val="Mkatabulky14"/>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CB13D7" w:rsidRPr="00ED38E9" w:rsidTr="00AA3350">
        <w:trPr>
          <w:trHeight w:val="64"/>
          <w:jc w:val="center"/>
        </w:trPr>
        <w:tc>
          <w:tcPr>
            <w:tcW w:w="9072" w:type="dxa"/>
            <w:gridSpan w:val="3"/>
            <w:shd w:val="clear" w:color="auto" w:fill="F2F2F2"/>
            <w:vAlign w:val="center"/>
          </w:tcPr>
          <w:p w:rsidR="00CB13D7" w:rsidRPr="00ED38E9" w:rsidRDefault="00CB13D7" w:rsidP="00AA3350">
            <w:pPr>
              <w:spacing w:before="120" w:after="120"/>
              <w:rPr>
                <w:rFonts w:cs="Arial"/>
                <w:b/>
                <w:noProof w:val="0"/>
                <w:szCs w:val="22"/>
                <w:lang w:bidi="ar-SA"/>
              </w:rPr>
            </w:pPr>
            <w:r w:rsidRPr="00ED38E9">
              <w:rPr>
                <w:rFonts w:cs="Arial"/>
                <w:b/>
                <w:szCs w:val="22"/>
                <w:lang w:bidi="ar-SA"/>
              </w:rPr>
              <w:t>Prokázání dostatečných záruk o schopnosti dlouhodobého financování projektu při žádosti</w:t>
            </w:r>
          </w:p>
        </w:tc>
      </w:tr>
      <w:tr w:rsidR="00CB13D7" w:rsidRPr="00ED38E9" w:rsidTr="00AA3350">
        <w:trPr>
          <w:trHeight w:val="64"/>
          <w:jc w:val="center"/>
        </w:trPr>
        <w:tc>
          <w:tcPr>
            <w:tcW w:w="2419" w:type="dxa"/>
            <w:shd w:val="clear" w:color="auto" w:fill="D9D9D9"/>
            <w:vAlign w:val="center"/>
          </w:tcPr>
          <w:p w:rsidR="00CB13D7" w:rsidRPr="00ED38E9" w:rsidRDefault="00CB13D7" w:rsidP="00AA3350">
            <w:pPr>
              <w:spacing w:before="60" w:after="60" w:line="240" w:lineRule="auto"/>
              <w:jc w:val="left"/>
              <w:rPr>
                <w:rFonts w:cs="Arial"/>
                <w:sz w:val="20"/>
                <w:szCs w:val="20"/>
                <w:lang w:bidi="ar-SA"/>
              </w:rPr>
            </w:pPr>
            <w:r w:rsidRPr="00ED38E9">
              <w:rPr>
                <w:rFonts w:cs="Arial"/>
                <w:noProof w:val="0"/>
                <w:sz w:val="20"/>
                <w:szCs w:val="20"/>
                <w:lang w:bidi="ar-SA"/>
              </w:rPr>
              <w:t>Varianta 0</w:t>
            </w:r>
          </w:p>
        </w:tc>
        <w:tc>
          <w:tcPr>
            <w:tcW w:w="3326" w:type="dxa"/>
            <w:shd w:val="clear" w:color="auto" w:fill="D9D9D9"/>
            <w:vAlign w:val="center"/>
          </w:tcPr>
          <w:p w:rsidR="00CB13D7" w:rsidRPr="00ED38E9" w:rsidRDefault="00CB13D7" w:rsidP="00AA3350">
            <w:pPr>
              <w:spacing w:before="60" w:after="60" w:line="240" w:lineRule="auto"/>
              <w:jc w:val="left"/>
              <w:rPr>
                <w:rFonts w:cs="Arial"/>
                <w:noProof w:val="0"/>
                <w:sz w:val="20"/>
                <w:szCs w:val="20"/>
                <w:lang w:bidi="ar-SA"/>
              </w:rPr>
            </w:pPr>
            <w:r w:rsidRPr="000B7CBF">
              <w:rPr>
                <w:rFonts w:cs="Arial"/>
                <w:noProof w:val="0"/>
                <w:sz w:val="20"/>
                <w:szCs w:val="20"/>
                <w:lang w:bidi="ar-SA"/>
              </w:rPr>
              <w:t>nulová varianta</w:t>
            </w:r>
          </w:p>
        </w:tc>
        <w:tc>
          <w:tcPr>
            <w:tcW w:w="3327" w:type="dxa"/>
            <w:shd w:val="clear" w:color="auto" w:fill="D9D9D9"/>
            <w:vAlign w:val="center"/>
          </w:tcPr>
          <w:p w:rsidR="00CB13D7" w:rsidRPr="00ED38E9" w:rsidRDefault="00CB13D7" w:rsidP="00AA3350">
            <w:pPr>
              <w:spacing w:before="60" w:after="60" w:line="240" w:lineRule="auto"/>
              <w:jc w:val="left"/>
              <w:rPr>
                <w:rFonts w:cs="Arial"/>
                <w:noProof w:val="0"/>
                <w:sz w:val="20"/>
                <w:szCs w:val="20"/>
                <w:lang w:bidi="ar-SA"/>
              </w:rPr>
            </w:pPr>
            <w:r w:rsidRPr="000B7CBF">
              <w:rPr>
                <w:rFonts w:cs="Arial"/>
                <w:noProof w:val="0"/>
                <w:sz w:val="20"/>
                <w:szCs w:val="20"/>
                <w:lang w:bidi="ar-SA"/>
              </w:rPr>
              <w:t>nulová varianta</w:t>
            </w:r>
          </w:p>
        </w:tc>
      </w:tr>
      <w:tr w:rsidR="00CB13D7" w:rsidRPr="00ED38E9" w:rsidTr="00AA3350">
        <w:trPr>
          <w:trHeight w:val="64"/>
          <w:jc w:val="center"/>
        </w:trPr>
        <w:tc>
          <w:tcPr>
            <w:tcW w:w="2419" w:type="dxa"/>
            <w:shd w:val="clear" w:color="auto" w:fill="F2F2F2"/>
            <w:vAlign w:val="center"/>
          </w:tcPr>
          <w:p w:rsidR="00CB13D7" w:rsidRPr="00ED38E9" w:rsidRDefault="00CB13D7" w:rsidP="00AA3350">
            <w:pPr>
              <w:spacing w:before="60" w:after="60" w:line="240" w:lineRule="auto"/>
              <w:jc w:val="left"/>
              <w:rPr>
                <w:rFonts w:cs="Arial"/>
                <w:sz w:val="20"/>
                <w:szCs w:val="20"/>
                <w:lang w:bidi="ar-SA"/>
              </w:rPr>
            </w:pPr>
            <w:r w:rsidRPr="00ED38E9">
              <w:rPr>
                <w:rFonts w:cs="Arial"/>
                <w:noProof w:val="0"/>
                <w:sz w:val="20"/>
                <w:szCs w:val="20"/>
                <w:lang w:bidi="ar-SA"/>
              </w:rPr>
              <w:t>Varianta 1</w:t>
            </w:r>
          </w:p>
        </w:tc>
        <w:tc>
          <w:tcPr>
            <w:tcW w:w="3326" w:type="dxa"/>
            <w:shd w:val="clear" w:color="auto" w:fill="F2F2F2"/>
            <w:vAlign w:val="center"/>
          </w:tcPr>
          <w:p w:rsidR="00CB13D7" w:rsidRPr="00ED38E9" w:rsidRDefault="00CB13D7" w:rsidP="00AA3350">
            <w:pPr>
              <w:spacing w:before="60" w:after="60" w:line="240" w:lineRule="auto"/>
              <w:jc w:val="left"/>
              <w:rPr>
                <w:rFonts w:cs="Arial"/>
                <w:noProof w:val="0"/>
                <w:sz w:val="20"/>
                <w:szCs w:val="20"/>
                <w:lang w:bidi="ar-SA"/>
              </w:rPr>
            </w:pPr>
            <w:r w:rsidRPr="00ED38E9">
              <w:rPr>
                <w:rFonts w:cs="Arial"/>
                <w:noProof w:val="0"/>
                <w:sz w:val="20"/>
                <w:szCs w:val="20"/>
                <w:lang w:bidi="ar-SA"/>
              </w:rPr>
              <w:t xml:space="preserve">Náklady KS spojené s plněním </w:t>
            </w:r>
            <w:r w:rsidRPr="00ED38E9">
              <w:rPr>
                <w:rFonts w:cs="Arial"/>
                <w:noProof w:val="0"/>
                <w:sz w:val="20"/>
                <w:szCs w:val="20"/>
                <w:lang w:bidi="ar-SA"/>
              </w:rPr>
              <w:lastRenderedPageBreak/>
              <w:t>prokázání dostatečných záruk</w:t>
            </w:r>
          </w:p>
          <w:p w:rsidR="00CB13D7" w:rsidRPr="00ED38E9" w:rsidRDefault="00CB13D7" w:rsidP="00AA3350">
            <w:pPr>
              <w:spacing w:before="60" w:after="60" w:line="240" w:lineRule="auto"/>
              <w:jc w:val="left"/>
              <w:rPr>
                <w:rFonts w:cs="Arial"/>
                <w:noProof w:val="0"/>
                <w:sz w:val="20"/>
                <w:szCs w:val="20"/>
                <w:lang w:bidi="ar-SA"/>
              </w:rPr>
            </w:pPr>
            <w:r w:rsidRPr="00ED38E9">
              <w:rPr>
                <w:rFonts w:cs="Arial"/>
                <w:noProof w:val="0"/>
                <w:sz w:val="20"/>
                <w:szCs w:val="20"/>
                <w:lang w:bidi="ar-SA"/>
              </w:rPr>
              <w:t>Dodatečné= administrativní náklady pro státní správu</w:t>
            </w:r>
          </w:p>
          <w:p w:rsidR="00CB13D7" w:rsidRPr="00ED38E9" w:rsidRDefault="00CB13D7" w:rsidP="00AA3350">
            <w:pPr>
              <w:spacing w:before="60" w:after="60" w:line="240" w:lineRule="auto"/>
              <w:jc w:val="left"/>
              <w:rPr>
                <w:rFonts w:cs="Arial"/>
                <w:noProof w:val="0"/>
                <w:sz w:val="20"/>
                <w:szCs w:val="20"/>
                <w:lang w:bidi="ar-SA"/>
              </w:rPr>
            </w:pPr>
            <w:r w:rsidRPr="00ED38E9">
              <w:rPr>
                <w:rFonts w:cs="Arial"/>
                <w:noProof w:val="0"/>
                <w:sz w:val="20"/>
                <w:szCs w:val="20"/>
                <w:lang w:bidi="ar-SA"/>
              </w:rPr>
              <w:t>Nejednoznačnost definice může představovat korupční riziko</w:t>
            </w:r>
          </w:p>
        </w:tc>
        <w:tc>
          <w:tcPr>
            <w:tcW w:w="3327" w:type="dxa"/>
            <w:shd w:val="clear" w:color="auto" w:fill="F2F2F2"/>
            <w:vAlign w:val="center"/>
          </w:tcPr>
          <w:p w:rsidR="00CB13D7" w:rsidRPr="00ED38E9" w:rsidRDefault="00CB13D7" w:rsidP="00AA3350">
            <w:pPr>
              <w:spacing w:before="60" w:after="60" w:line="240" w:lineRule="auto"/>
              <w:jc w:val="left"/>
              <w:rPr>
                <w:rFonts w:cs="Arial"/>
                <w:noProof w:val="0"/>
                <w:sz w:val="20"/>
                <w:szCs w:val="20"/>
                <w:lang w:bidi="ar-SA"/>
              </w:rPr>
            </w:pPr>
            <w:r w:rsidRPr="00ED38E9">
              <w:rPr>
                <w:rFonts w:cs="Arial"/>
                <w:noProof w:val="0"/>
                <w:sz w:val="20"/>
                <w:szCs w:val="20"/>
                <w:lang w:bidi="ar-SA"/>
              </w:rPr>
              <w:lastRenderedPageBreak/>
              <w:t xml:space="preserve">Vyšší právní jistota, snížení </w:t>
            </w:r>
            <w:r w:rsidRPr="00ED38E9">
              <w:rPr>
                <w:rFonts w:cs="Arial"/>
                <w:noProof w:val="0"/>
                <w:sz w:val="20"/>
                <w:szCs w:val="20"/>
                <w:lang w:bidi="ar-SA"/>
              </w:rPr>
              <w:lastRenderedPageBreak/>
              <w:t xml:space="preserve">podnikatelských rizik, transparentnější prostředí. </w:t>
            </w:r>
          </w:p>
        </w:tc>
      </w:tr>
      <w:tr w:rsidR="00CB13D7" w:rsidRPr="00ED38E9" w:rsidTr="00AA3350">
        <w:trPr>
          <w:trHeight w:val="314"/>
          <w:jc w:val="center"/>
        </w:trPr>
        <w:tc>
          <w:tcPr>
            <w:tcW w:w="2419" w:type="dxa"/>
            <w:shd w:val="clear" w:color="auto" w:fill="D9D9D9"/>
            <w:vAlign w:val="center"/>
          </w:tcPr>
          <w:p w:rsidR="00CB13D7" w:rsidRPr="00ED38E9" w:rsidRDefault="00CB13D7" w:rsidP="00AA3350">
            <w:pPr>
              <w:spacing w:before="60" w:after="60" w:line="240" w:lineRule="auto"/>
              <w:jc w:val="left"/>
              <w:rPr>
                <w:rFonts w:cs="Arial"/>
                <w:b/>
                <w:noProof w:val="0"/>
                <w:sz w:val="20"/>
                <w:szCs w:val="20"/>
                <w:u w:val="single"/>
                <w:lang w:bidi="ar-SA"/>
              </w:rPr>
            </w:pPr>
            <w:r w:rsidRPr="00ED38E9">
              <w:rPr>
                <w:rFonts w:cs="Arial"/>
                <w:b/>
                <w:noProof w:val="0"/>
                <w:sz w:val="20"/>
                <w:szCs w:val="20"/>
                <w:u w:val="single"/>
                <w:lang w:bidi="ar-SA"/>
              </w:rPr>
              <w:lastRenderedPageBreak/>
              <w:t>Varianta 2</w:t>
            </w:r>
          </w:p>
        </w:tc>
        <w:tc>
          <w:tcPr>
            <w:tcW w:w="3326" w:type="dxa"/>
            <w:shd w:val="clear" w:color="auto" w:fill="D9D9D9"/>
            <w:vAlign w:val="center"/>
          </w:tcPr>
          <w:p w:rsidR="00CB13D7" w:rsidRPr="00ED38E9" w:rsidRDefault="00CB13D7" w:rsidP="00AA3350">
            <w:pPr>
              <w:spacing w:before="60" w:after="60" w:line="240" w:lineRule="auto"/>
              <w:jc w:val="left"/>
              <w:rPr>
                <w:rFonts w:cs="Arial"/>
                <w:noProof w:val="0"/>
                <w:sz w:val="20"/>
                <w:szCs w:val="20"/>
                <w:lang w:bidi="ar-SA"/>
              </w:rPr>
            </w:pPr>
            <w:r w:rsidRPr="00ED38E9">
              <w:rPr>
                <w:rFonts w:cs="Arial"/>
                <w:noProof w:val="0"/>
                <w:sz w:val="20"/>
                <w:szCs w:val="20"/>
                <w:lang w:bidi="ar-SA"/>
              </w:rPr>
              <w:t>Náklady KS spojené s plněním prokázání dostatečných záruk</w:t>
            </w:r>
          </w:p>
          <w:p w:rsidR="00CB13D7" w:rsidRPr="00ED38E9" w:rsidRDefault="00CB13D7" w:rsidP="00AA3350">
            <w:pPr>
              <w:spacing w:before="60" w:after="60" w:line="240" w:lineRule="auto"/>
              <w:jc w:val="left"/>
              <w:rPr>
                <w:rFonts w:cs="Arial"/>
                <w:noProof w:val="0"/>
                <w:sz w:val="20"/>
                <w:szCs w:val="20"/>
                <w:lang w:bidi="ar-SA"/>
              </w:rPr>
            </w:pPr>
            <w:r w:rsidRPr="00ED38E9">
              <w:rPr>
                <w:rFonts w:cs="Arial"/>
                <w:noProof w:val="0"/>
                <w:sz w:val="20"/>
                <w:szCs w:val="20"/>
                <w:lang w:bidi="ar-SA"/>
              </w:rPr>
              <w:t>Dodatečné = administrativní náklady pro státní správu</w:t>
            </w:r>
          </w:p>
        </w:tc>
        <w:tc>
          <w:tcPr>
            <w:tcW w:w="3327" w:type="dxa"/>
            <w:shd w:val="clear" w:color="auto" w:fill="D9D9D9"/>
            <w:vAlign w:val="center"/>
          </w:tcPr>
          <w:p w:rsidR="00CB13D7" w:rsidRPr="00ED38E9" w:rsidRDefault="00CB13D7" w:rsidP="00AA3350">
            <w:pPr>
              <w:spacing w:before="60" w:after="60" w:line="240" w:lineRule="auto"/>
              <w:jc w:val="left"/>
              <w:rPr>
                <w:rFonts w:cs="Arial"/>
                <w:noProof w:val="0"/>
                <w:sz w:val="20"/>
                <w:szCs w:val="20"/>
                <w:lang w:bidi="ar-SA"/>
              </w:rPr>
            </w:pPr>
            <w:r w:rsidRPr="00ED38E9">
              <w:rPr>
                <w:rFonts w:cs="Arial"/>
                <w:noProof w:val="0"/>
                <w:sz w:val="20"/>
                <w:szCs w:val="20"/>
                <w:lang w:bidi="ar-SA"/>
              </w:rPr>
              <w:t>Vyšší právní jistota, snížení podnikatelských rizik, transparentnější prostředí, transparentnost.</w:t>
            </w:r>
          </w:p>
        </w:tc>
      </w:tr>
    </w:tbl>
    <w:p w:rsidR="00DC1795" w:rsidRPr="00ED38E9" w:rsidRDefault="00DC1795" w:rsidP="0011664A">
      <w:pPr>
        <w:pStyle w:val="Nadpis2"/>
        <w:rPr>
          <w:rFonts w:eastAsia="Calibri"/>
          <w:lang w:bidi="ar-SA"/>
        </w:rPr>
      </w:pPr>
      <w:bookmarkStart w:id="115" w:name="_Toc441759892"/>
      <w:r w:rsidRPr="00ED38E9">
        <w:rPr>
          <w:rFonts w:eastAsia="Calibri"/>
          <w:lang w:bidi="ar-SA"/>
        </w:rPr>
        <w:t>Vyhodnocení variant a návrh řešení</w:t>
      </w:r>
      <w:bookmarkEnd w:id="115"/>
    </w:p>
    <w:p w:rsidR="00DC1795" w:rsidRPr="00ED38E9" w:rsidRDefault="00DC1795" w:rsidP="00C27BED">
      <w:pPr>
        <w:spacing w:before="120" w:after="120"/>
        <w:rPr>
          <w:rFonts w:eastAsia="Calibri" w:cs="Arial"/>
          <w:noProof w:val="0"/>
          <w:szCs w:val="22"/>
          <w:lang w:bidi="ar-SA"/>
        </w:rPr>
      </w:pPr>
      <w:r w:rsidRPr="00ED38E9">
        <w:rPr>
          <w:rFonts w:eastAsia="Calibri" w:cs="Arial"/>
          <w:noProof w:val="0"/>
          <w:szCs w:val="22"/>
          <w:lang w:bidi="ar-SA"/>
        </w:rPr>
        <w:t>Ponechání současného stavu je při zavedení povinnosti autorizace pro KS neudržitelné, je totiž velmi obtížné nést zodpovědnost za insolvenci KS.</w:t>
      </w:r>
    </w:p>
    <w:p w:rsidR="00DC1795" w:rsidRPr="00ED38E9" w:rsidRDefault="00DC1795" w:rsidP="00C27BED">
      <w:pPr>
        <w:spacing w:before="120" w:after="120"/>
        <w:rPr>
          <w:rFonts w:eastAsia="Calibri" w:cs="Arial"/>
          <w:noProof w:val="0"/>
          <w:szCs w:val="22"/>
          <w:lang w:bidi="ar-SA"/>
        </w:rPr>
      </w:pPr>
      <w:r w:rsidRPr="00ED38E9">
        <w:rPr>
          <w:rFonts w:eastAsia="Calibri" w:cs="Arial"/>
          <w:noProof w:val="0"/>
          <w:szCs w:val="22"/>
          <w:lang w:bidi="ar-SA"/>
        </w:rPr>
        <w:t>Obě varianty (varianta 1 a varianta 2) zavádějí požadavek doložení existence finanční záruky, čímž se snižuj</w:t>
      </w:r>
      <w:r w:rsidR="00C27BED" w:rsidRPr="00ED38E9">
        <w:rPr>
          <w:rFonts w:eastAsia="Calibri" w:cs="Arial"/>
          <w:noProof w:val="0"/>
          <w:szCs w:val="22"/>
          <w:lang w:bidi="ar-SA"/>
        </w:rPr>
        <w:t>e</w:t>
      </w:r>
      <w:r w:rsidRPr="00ED38E9">
        <w:rPr>
          <w:rFonts w:eastAsia="Calibri" w:cs="Arial"/>
          <w:noProof w:val="0"/>
          <w:szCs w:val="22"/>
          <w:lang w:bidi="ar-SA"/>
        </w:rPr>
        <w:t xml:space="preserve"> riziko spojené s hrozbou nezajištění řádného a dlouhodobého financování projektu zajišťování kolektivního plnění povinností. Díky regulaci trhu pak obě varianty vedou ke snižování rizika insolvence KS. </w:t>
      </w:r>
    </w:p>
    <w:p w:rsidR="00D12F23" w:rsidRPr="00ED38E9" w:rsidRDefault="00DC1795" w:rsidP="00C27BED">
      <w:pPr>
        <w:spacing w:before="120" w:after="120"/>
        <w:rPr>
          <w:rFonts w:eastAsia="Calibri" w:cs="Arial"/>
          <w:noProof w:val="0"/>
          <w:szCs w:val="22"/>
          <w:lang w:bidi="ar-SA"/>
        </w:rPr>
      </w:pPr>
      <w:r w:rsidRPr="00ED38E9">
        <w:rPr>
          <w:rFonts w:eastAsia="Calibri" w:cs="Arial"/>
          <w:noProof w:val="0"/>
          <w:szCs w:val="22"/>
          <w:lang w:bidi="ar-SA"/>
        </w:rPr>
        <w:t>Z hlediska státní správy se mohou benefity z vyšší volnosti při rozhodování o tom, který KS skutečně splňuje podmínku záruky dlouhodobé udržitelnosti KS na trhu, jevit výrazně vyšší než při jasně daných kritériích, ovšem náklady budou u obou variant úměrně vysoké. Pokud přihlédneme k  vyšší</w:t>
      </w:r>
      <w:r w:rsidR="00913DB7">
        <w:rPr>
          <w:rFonts w:eastAsia="Calibri" w:cs="Arial"/>
          <w:noProof w:val="0"/>
          <w:szCs w:val="22"/>
          <w:lang w:bidi="ar-SA"/>
        </w:rPr>
        <w:t>mu</w:t>
      </w:r>
      <w:r w:rsidRPr="00ED38E9">
        <w:rPr>
          <w:rFonts w:eastAsia="Calibri" w:cs="Arial"/>
          <w:noProof w:val="0"/>
          <w:szCs w:val="22"/>
          <w:lang w:bidi="ar-SA"/>
        </w:rPr>
        <w:t xml:space="preserve"> korup</w:t>
      </w:r>
      <w:r w:rsidR="00913DB7">
        <w:rPr>
          <w:rFonts w:eastAsia="Calibri" w:cs="Arial"/>
          <w:noProof w:val="0"/>
          <w:szCs w:val="22"/>
          <w:lang w:bidi="ar-SA"/>
        </w:rPr>
        <w:t>čnímu</w:t>
      </w:r>
      <w:r w:rsidRPr="00ED38E9">
        <w:rPr>
          <w:rFonts w:eastAsia="Calibri" w:cs="Arial"/>
          <w:noProof w:val="0"/>
          <w:szCs w:val="22"/>
          <w:lang w:bidi="ar-SA"/>
        </w:rPr>
        <w:t xml:space="preserve"> </w:t>
      </w:r>
      <w:r w:rsidR="00913DB7" w:rsidRPr="00ED38E9">
        <w:rPr>
          <w:rFonts w:eastAsia="Calibri" w:cs="Arial"/>
          <w:noProof w:val="0"/>
          <w:szCs w:val="22"/>
          <w:lang w:bidi="ar-SA"/>
        </w:rPr>
        <w:t xml:space="preserve">riziku </w:t>
      </w:r>
      <w:r w:rsidRPr="00ED38E9">
        <w:rPr>
          <w:rFonts w:eastAsia="Calibri" w:cs="Arial"/>
          <w:noProof w:val="0"/>
          <w:szCs w:val="22"/>
          <w:lang w:bidi="ar-SA"/>
        </w:rPr>
        <w:t xml:space="preserve">v případě Varianty 1, pak je </w:t>
      </w:r>
      <w:r w:rsidRPr="00ED38E9">
        <w:rPr>
          <w:rFonts w:eastAsia="Calibri" w:cs="Arial"/>
          <w:b/>
          <w:noProof w:val="0"/>
          <w:szCs w:val="22"/>
          <w:lang w:bidi="ar-SA"/>
        </w:rPr>
        <w:t>Varianta 2 variantou preferovanou.</w:t>
      </w:r>
      <w:r w:rsidRPr="00ED38E9">
        <w:rPr>
          <w:rFonts w:eastAsia="Calibri" w:cs="Arial"/>
          <w:noProof w:val="0"/>
          <w:szCs w:val="22"/>
          <w:lang w:bidi="ar-SA"/>
        </w:rPr>
        <w:t xml:space="preserve"> Varianta 2 navíc přináší vyšší právní j</w:t>
      </w:r>
      <w:r w:rsidR="0017046F" w:rsidRPr="00ED38E9">
        <w:rPr>
          <w:rFonts w:eastAsia="Calibri" w:cs="Arial"/>
          <w:noProof w:val="0"/>
          <w:szCs w:val="22"/>
          <w:lang w:bidi="ar-SA"/>
        </w:rPr>
        <w:t>istoty a jednoznačnost výkladu.</w:t>
      </w:r>
    </w:p>
    <w:p w:rsidR="00DC1795" w:rsidRPr="00ED38E9" w:rsidRDefault="00DC1795" w:rsidP="0011664A">
      <w:pPr>
        <w:pStyle w:val="Nadpis1"/>
      </w:pPr>
      <w:bookmarkStart w:id="116" w:name="_Toc406598341"/>
      <w:bookmarkStart w:id="117" w:name="_Toc441759893"/>
      <w:bookmarkStart w:id="118" w:name="_Toc441760190"/>
      <w:r w:rsidRPr="00ED38E9">
        <w:t xml:space="preserve">Spolupráce </w:t>
      </w:r>
      <w:r w:rsidR="00710168">
        <w:t>mezi</w:t>
      </w:r>
      <w:r w:rsidR="00710168" w:rsidRPr="00ED38E9">
        <w:t xml:space="preserve"> </w:t>
      </w:r>
      <w:r w:rsidRPr="00ED38E9">
        <w:t>KS</w:t>
      </w:r>
      <w:bookmarkEnd w:id="116"/>
      <w:bookmarkEnd w:id="117"/>
      <w:bookmarkEnd w:id="118"/>
    </w:p>
    <w:p w:rsidR="008876E5" w:rsidRDefault="008876E5" w:rsidP="0011664A">
      <w:pPr>
        <w:pStyle w:val="Nadpis2"/>
      </w:pPr>
      <w:bookmarkStart w:id="119" w:name="_Toc441759894"/>
      <w:r>
        <w:t>Definice problému a popis současného stavu</w:t>
      </w:r>
      <w:bookmarkEnd w:id="119"/>
    </w:p>
    <w:p w:rsidR="00DC1795" w:rsidRPr="00ED38E9" w:rsidRDefault="00DC1795" w:rsidP="00C27BED">
      <w:pPr>
        <w:spacing w:before="120" w:after="120"/>
        <w:rPr>
          <w:rFonts w:eastAsia="Calibri" w:cs="Arial"/>
          <w:b/>
          <w:noProof w:val="0"/>
          <w:szCs w:val="22"/>
          <w:lang w:bidi="ar-SA"/>
        </w:rPr>
      </w:pPr>
      <w:r w:rsidRPr="00ED38E9">
        <w:rPr>
          <w:rFonts w:eastAsia="Calibri" w:cs="Arial"/>
          <w:noProof w:val="0"/>
          <w:szCs w:val="22"/>
          <w:lang w:bidi="ar-SA"/>
        </w:rPr>
        <w:t>Současná právní úprava zásadně neupravuje spolupráci mezi kolektivními systémy.</w:t>
      </w:r>
    </w:p>
    <w:p w:rsidR="00725D27" w:rsidRDefault="00725D27" w:rsidP="0011664A">
      <w:pPr>
        <w:pStyle w:val="Nadpis2"/>
      </w:pPr>
      <w:bookmarkStart w:id="120" w:name="_Toc441759895"/>
      <w:r>
        <w:t>Popis cílového stavu</w:t>
      </w:r>
      <w:bookmarkEnd w:id="120"/>
    </w:p>
    <w:p w:rsidR="00DC1795" w:rsidRPr="00ED38E9" w:rsidRDefault="00DC1795" w:rsidP="00C27BED">
      <w:pPr>
        <w:spacing w:before="120" w:after="120"/>
        <w:rPr>
          <w:rFonts w:eastAsia="Calibri" w:cs="Arial"/>
          <w:noProof w:val="0"/>
          <w:szCs w:val="22"/>
          <w:lang w:bidi="ar-SA"/>
        </w:rPr>
      </w:pPr>
      <w:r w:rsidRPr="00ED38E9">
        <w:rPr>
          <w:rFonts w:eastAsia="Calibri" w:cs="Arial"/>
          <w:noProof w:val="0"/>
          <w:szCs w:val="22"/>
          <w:lang w:bidi="ar-SA"/>
        </w:rPr>
        <w:t xml:space="preserve">Hlavním cílem je dosažení minimální požadované úrovně sběru </w:t>
      </w:r>
      <w:r w:rsidR="00710168">
        <w:rPr>
          <w:rFonts w:eastAsia="Calibri" w:cs="Arial"/>
          <w:noProof w:val="0"/>
          <w:szCs w:val="22"/>
          <w:lang w:bidi="ar-SA"/>
        </w:rPr>
        <w:t xml:space="preserve">VUŽ, především </w:t>
      </w:r>
      <w:r w:rsidRPr="00ED38E9">
        <w:rPr>
          <w:rFonts w:eastAsia="Calibri" w:cs="Arial"/>
          <w:noProof w:val="0"/>
          <w:szCs w:val="22"/>
          <w:lang w:bidi="ar-SA"/>
        </w:rPr>
        <w:t>OEEZ. Vedlejším cílem je zajištění transparentního prostřední na trhu kolektivních systémů.</w:t>
      </w:r>
    </w:p>
    <w:p w:rsidR="00DC1795" w:rsidRPr="00ED38E9" w:rsidRDefault="00DC1795" w:rsidP="0011664A">
      <w:pPr>
        <w:pStyle w:val="Nadpis2"/>
        <w:rPr>
          <w:rFonts w:eastAsia="Calibri"/>
          <w:lang w:bidi="ar-SA"/>
        </w:rPr>
      </w:pPr>
      <w:bookmarkStart w:id="121" w:name="_Toc441759896"/>
      <w:r w:rsidRPr="00ED38E9">
        <w:rPr>
          <w:rFonts w:eastAsia="Calibri"/>
          <w:lang w:bidi="ar-SA"/>
        </w:rPr>
        <w:t>Varianty řešení</w:t>
      </w:r>
      <w:bookmarkEnd w:id="121"/>
    </w:p>
    <w:p w:rsidR="00DC1795" w:rsidRPr="007F6B6C" w:rsidRDefault="00DC1795" w:rsidP="00C27BED">
      <w:pPr>
        <w:spacing w:before="120" w:after="120"/>
        <w:rPr>
          <w:rFonts w:eastAsia="Calibri" w:cs="Arial"/>
          <w:noProof w:val="0"/>
          <w:szCs w:val="22"/>
          <w:lang w:bidi="ar-SA"/>
        </w:rPr>
      </w:pPr>
      <w:r w:rsidRPr="0011664A">
        <w:rPr>
          <w:rFonts w:eastAsia="Calibri" w:cs="Arial"/>
          <w:noProof w:val="0"/>
          <w:szCs w:val="22"/>
          <w:lang w:bidi="ar-SA"/>
        </w:rPr>
        <w:t xml:space="preserve">Varianta 0 - </w:t>
      </w:r>
      <w:r w:rsidRPr="007F6B6C">
        <w:rPr>
          <w:rFonts w:eastAsia="Calibri" w:cs="Arial"/>
          <w:noProof w:val="0"/>
          <w:szCs w:val="22"/>
          <w:lang w:bidi="ar-SA"/>
        </w:rPr>
        <w:t>Zachování současného stavu.</w:t>
      </w:r>
    </w:p>
    <w:p w:rsidR="00DC1795" w:rsidRPr="007F6B6C" w:rsidRDefault="00DC1795" w:rsidP="00C27BED">
      <w:pPr>
        <w:spacing w:before="120" w:after="120"/>
        <w:rPr>
          <w:rFonts w:eastAsia="Calibri" w:cs="Arial"/>
          <w:noProof w:val="0"/>
          <w:szCs w:val="22"/>
          <w:lang w:bidi="ar-SA"/>
        </w:rPr>
      </w:pPr>
      <w:r w:rsidRPr="0011664A">
        <w:rPr>
          <w:rFonts w:eastAsia="Calibri" w:cs="Arial"/>
          <w:noProof w:val="0"/>
          <w:szCs w:val="22"/>
          <w:lang w:bidi="ar-SA"/>
        </w:rPr>
        <w:t xml:space="preserve">Varianta 1 - </w:t>
      </w:r>
      <w:r w:rsidRPr="007F6B6C">
        <w:rPr>
          <w:rFonts w:eastAsia="Calibri" w:cs="Arial"/>
          <w:noProof w:val="0"/>
          <w:szCs w:val="22"/>
          <w:lang w:bidi="ar-SA"/>
        </w:rPr>
        <w:t>Kolektivní systémy mohou vzájemně spolupracovat</w:t>
      </w:r>
    </w:p>
    <w:p w:rsidR="00DC1795" w:rsidRPr="007F6B6C" w:rsidRDefault="00DC1795" w:rsidP="00C27BED">
      <w:pPr>
        <w:spacing w:before="120" w:after="120"/>
        <w:ind w:left="432"/>
        <w:rPr>
          <w:rFonts w:eastAsia="Calibri" w:cs="Arial"/>
          <w:noProof w:val="0"/>
          <w:szCs w:val="22"/>
          <w:lang w:bidi="ar-SA"/>
        </w:rPr>
      </w:pPr>
      <w:r w:rsidRPr="007F6B6C">
        <w:rPr>
          <w:rFonts w:eastAsia="Calibri" w:cs="Arial"/>
          <w:noProof w:val="0"/>
          <w:szCs w:val="22"/>
          <w:lang w:bidi="ar-SA"/>
        </w:rPr>
        <w:t>Varianta 1a: Pouze v oblasti zajištění společné sběrné sítě nebo realizace osvětových aktivit či výzkumné činnosti.</w:t>
      </w:r>
    </w:p>
    <w:p w:rsidR="00DC1795" w:rsidRPr="007F6B6C" w:rsidRDefault="00DC1795" w:rsidP="00C27BED">
      <w:pPr>
        <w:spacing w:before="120" w:after="120"/>
        <w:ind w:left="432"/>
        <w:rPr>
          <w:rFonts w:eastAsia="Calibri" w:cs="Arial"/>
          <w:noProof w:val="0"/>
          <w:szCs w:val="22"/>
          <w:lang w:bidi="ar-SA"/>
        </w:rPr>
      </w:pPr>
      <w:r w:rsidRPr="007F6B6C">
        <w:rPr>
          <w:rFonts w:eastAsia="Calibri" w:cs="Arial"/>
          <w:noProof w:val="0"/>
          <w:szCs w:val="22"/>
          <w:lang w:bidi="ar-SA"/>
        </w:rPr>
        <w:t xml:space="preserve">Varianta 1b: V oblasti zajištění společné sběrné sítě nebo realizace osvětových aktivit či výzkumné činnosti. Spolupráce může probíhat též v oblasti sdílení nákladů na sběrnou síť a zpětný odběr vybraných výrobků (tzv. clearing). </w:t>
      </w:r>
    </w:p>
    <w:p w:rsidR="00DC1795" w:rsidRPr="00ED38E9" w:rsidRDefault="00DC1795" w:rsidP="00C27BED">
      <w:pPr>
        <w:spacing w:before="120" w:after="120"/>
        <w:rPr>
          <w:rFonts w:eastAsia="Calibri" w:cs="Arial"/>
          <w:noProof w:val="0"/>
          <w:szCs w:val="22"/>
          <w:lang w:bidi="ar-SA"/>
        </w:rPr>
      </w:pPr>
      <w:r w:rsidRPr="0011664A">
        <w:rPr>
          <w:rFonts w:eastAsia="Calibri" w:cs="Arial"/>
          <w:noProof w:val="0"/>
          <w:szCs w:val="22"/>
          <w:lang w:bidi="ar-SA"/>
        </w:rPr>
        <w:t>Varianta 2</w:t>
      </w:r>
      <w:r w:rsidRPr="00ED38E9">
        <w:rPr>
          <w:rFonts w:eastAsia="Calibri" w:cs="Arial"/>
          <w:b/>
          <w:noProof w:val="0"/>
          <w:szCs w:val="22"/>
          <w:lang w:bidi="ar-SA"/>
        </w:rPr>
        <w:t xml:space="preserve"> -</w:t>
      </w:r>
      <w:r w:rsidRPr="00ED38E9">
        <w:rPr>
          <w:rFonts w:eastAsia="Calibri" w:cs="Arial"/>
          <w:noProof w:val="0"/>
          <w:szCs w:val="22"/>
          <w:lang w:bidi="ar-SA"/>
        </w:rPr>
        <w:t xml:space="preserve"> Zákaz spolupráce mezi jednotlivými KS.</w:t>
      </w:r>
    </w:p>
    <w:p w:rsidR="00DC1795" w:rsidRPr="00ED38E9" w:rsidRDefault="00DC1795" w:rsidP="0011664A">
      <w:pPr>
        <w:pStyle w:val="Nadpis2"/>
        <w:rPr>
          <w:rFonts w:eastAsia="Calibri"/>
          <w:lang w:bidi="ar-SA"/>
        </w:rPr>
      </w:pPr>
      <w:bookmarkStart w:id="122" w:name="_Toc441759897"/>
      <w:r w:rsidRPr="00ED38E9">
        <w:rPr>
          <w:rFonts w:eastAsia="Calibri"/>
          <w:lang w:bidi="ar-SA"/>
        </w:rPr>
        <w:lastRenderedPageBreak/>
        <w:t>Identifikace nákladů a přínosů</w:t>
      </w:r>
      <w:bookmarkEnd w:id="122"/>
    </w:p>
    <w:p w:rsidR="00DC1795" w:rsidRPr="00ED38E9" w:rsidRDefault="00DC1795" w:rsidP="00C27BED">
      <w:pPr>
        <w:widowControl w:val="0"/>
        <w:spacing w:before="120" w:after="120"/>
        <w:rPr>
          <w:rFonts w:eastAsia="Calibri" w:cs="Arial"/>
          <w:noProof w:val="0"/>
          <w:szCs w:val="22"/>
          <w:lang w:bidi="ar-SA"/>
        </w:rPr>
      </w:pPr>
      <w:r w:rsidRPr="00ED38E9">
        <w:rPr>
          <w:rFonts w:eastAsia="Calibri" w:cs="Arial"/>
          <w:noProof w:val="0"/>
          <w:szCs w:val="22"/>
          <w:lang w:bidi="ar-SA"/>
        </w:rPr>
        <w:t xml:space="preserve">V případě variant 1a a 1b patří mezi hlavní obecné přínosy vyšší právní jistota v důsledku specifikace spolupráce KS. Dalším přínosem v závislosti na volbě </w:t>
      </w:r>
      <w:proofErr w:type="spellStart"/>
      <w:r w:rsidRPr="00ED38E9">
        <w:rPr>
          <w:rFonts w:eastAsia="Calibri" w:cs="Arial"/>
          <w:noProof w:val="0"/>
          <w:szCs w:val="22"/>
          <w:lang w:bidi="ar-SA"/>
        </w:rPr>
        <w:t>subvarianty</w:t>
      </w:r>
      <w:proofErr w:type="spellEnd"/>
      <w:r w:rsidRPr="00ED38E9">
        <w:rPr>
          <w:rFonts w:eastAsia="Calibri" w:cs="Arial"/>
          <w:noProof w:val="0"/>
          <w:szCs w:val="22"/>
          <w:lang w:bidi="ar-SA"/>
        </w:rPr>
        <w:t xml:space="preserve"> je v důsledku vzájemné spolupráce KS možnost snížit náklady na celý systém zajištění rozšířené odpovědnosti výrobce. Snížení nákladů by se mohlo pozitivně promítnout jak v potenciálním navýšení úrovně zpětného odběru a odděleného sběru, tak i ve formě nižších recyklačních </w:t>
      </w:r>
      <w:r w:rsidR="00710168">
        <w:rPr>
          <w:rFonts w:eastAsia="Calibri" w:cs="Arial"/>
          <w:noProof w:val="0"/>
          <w:szCs w:val="22"/>
          <w:lang w:bidi="ar-SA"/>
        </w:rPr>
        <w:t>příspěvků</w:t>
      </w:r>
      <w:r w:rsidRPr="00ED38E9">
        <w:rPr>
          <w:rFonts w:eastAsia="Calibri" w:cs="Arial"/>
          <w:noProof w:val="0"/>
          <w:szCs w:val="22"/>
          <w:lang w:bidi="ar-SA"/>
        </w:rPr>
        <w:t xml:space="preserve">. V případě varianty 1b </w:t>
      </w:r>
      <w:r w:rsidR="000F6175" w:rsidRPr="00ED38E9">
        <w:rPr>
          <w:rFonts w:eastAsia="Calibri" w:cs="Arial"/>
          <w:noProof w:val="0"/>
          <w:szCs w:val="22"/>
          <w:lang w:bidi="ar-SA"/>
        </w:rPr>
        <w:t>(</w:t>
      </w:r>
      <w:r w:rsidRPr="00ED38E9">
        <w:rPr>
          <w:rFonts w:eastAsia="Calibri" w:cs="Arial"/>
          <w:noProof w:val="0"/>
          <w:szCs w:val="22"/>
          <w:lang w:bidi="ar-SA"/>
        </w:rPr>
        <w:t>umožnění clearingových plateb mezi systémy</w:t>
      </w:r>
      <w:r w:rsidR="000F6175" w:rsidRPr="00ED38E9">
        <w:rPr>
          <w:rFonts w:eastAsia="Calibri" w:cs="Arial"/>
          <w:noProof w:val="0"/>
          <w:szCs w:val="22"/>
          <w:lang w:bidi="ar-SA"/>
        </w:rPr>
        <w:t>)</w:t>
      </w:r>
      <w:r w:rsidRPr="00ED38E9">
        <w:rPr>
          <w:rFonts w:eastAsia="Calibri" w:cs="Arial"/>
          <w:noProof w:val="0"/>
          <w:szCs w:val="22"/>
          <w:lang w:bidi="ar-SA"/>
        </w:rPr>
        <w:t xml:space="preserve"> může být potenciální efekt na navýšení úrovně sběru dokonce ještě vyšší. Existence možnosti clearingových plateb zvýší motivaci kolektivních systémů sbírat nad požadovaný limit, neboť „nadbytečné náklady“ spojené se sběrem nad limit mohou být v rámci clearingových plateb zaplaceny kolektivními systémy, které nedosahují požadovaného limitu. Bez existence clearingových plateb nikdo nemá motivaci sbírat nad limit, protože se tím znevýhodňuje oproti ostatním kolektivním systémům (vyšší náklady). To platí zejména u komodit se zápornou hodnotou, kde KS ještě musí významně platit i za zpracování (viz například skupina 5 - úsporné žárovky a zářivky). Obecně tak platí, že vzájemná spolupráce KS má významně pozitivní přínos na hlavní cíl, tj. splnění požadavků </w:t>
      </w:r>
      <w:r w:rsidR="000F3186">
        <w:rPr>
          <w:rFonts w:eastAsia="Calibri" w:cs="Arial"/>
          <w:noProof w:val="0"/>
          <w:szCs w:val="22"/>
          <w:lang w:bidi="ar-SA"/>
        </w:rPr>
        <w:t>S</w:t>
      </w:r>
      <w:r w:rsidRPr="00ED38E9">
        <w:rPr>
          <w:rFonts w:eastAsia="Calibri" w:cs="Arial"/>
          <w:noProof w:val="0"/>
          <w:szCs w:val="22"/>
          <w:lang w:bidi="ar-SA"/>
        </w:rPr>
        <w:t>měrnice</w:t>
      </w:r>
      <w:r w:rsidR="000F3186">
        <w:rPr>
          <w:rFonts w:eastAsia="Calibri" w:cs="Arial"/>
          <w:noProof w:val="0"/>
          <w:szCs w:val="22"/>
          <w:lang w:bidi="ar-SA"/>
        </w:rPr>
        <w:t xml:space="preserve"> OEEZ</w:t>
      </w:r>
      <w:r w:rsidRPr="00ED38E9">
        <w:rPr>
          <w:rFonts w:eastAsia="Calibri" w:cs="Arial"/>
          <w:noProof w:val="0"/>
          <w:szCs w:val="22"/>
          <w:lang w:bidi="ar-SA"/>
        </w:rPr>
        <w:t xml:space="preserve"> na úroveň zpětného odběru. </w:t>
      </w:r>
      <w:r w:rsidR="00417226" w:rsidRPr="00ED38E9">
        <w:rPr>
          <w:rFonts w:eastAsia="Calibri" w:cs="Arial"/>
          <w:noProof w:val="0"/>
          <w:szCs w:val="22"/>
          <w:lang w:bidi="ar-SA"/>
        </w:rPr>
        <w:t>Díky</w:t>
      </w:r>
      <w:r w:rsidRPr="00ED38E9">
        <w:rPr>
          <w:rFonts w:eastAsia="Calibri" w:cs="Arial"/>
          <w:noProof w:val="0"/>
          <w:szCs w:val="22"/>
          <w:lang w:bidi="ar-SA"/>
        </w:rPr>
        <w:t xml:space="preserve"> </w:t>
      </w:r>
      <w:r w:rsidR="00A42168">
        <w:rPr>
          <w:rFonts w:eastAsia="Calibri" w:cs="Arial"/>
          <w:noProof w:val="0"/>
          <w:szCs w:val="22"/>
          <w:lang w:bidi="ar-SA"/>
        </w:rPr>
        <w:t>podmínění uzavření</w:t>
      </w:r>
      <w:r w:rsidRPr="00ED38E9">
        <w:rPr>
          <w:rFonts w:eastAsia="Calibri" w:cs="Arial"/>
          <w:noProof w:val="0"/>
          <w:szCs w:val="22"/>
          <w:lang w:bidi="ar-SA"/>
        </w:rPr>
        <w:t xml:space="preserve"> takové dohody mezi KS </w:t>
      </w:r>
      <w:r w:rsidR="00A42168">
        <w:rPr>
          <w:rFonts w:eastAsia="Calibri" w:cs="Arial"/>
          <w:noProof w:val="0"/>
          <w:szCs w:val="22"/>
          <w:lang w:bidi="ar-SA"/>
        </w:rPr>
        <w:t>souhlasem MŽP</w:t>
      </w:r>
      <w:r w:rsidRPr="00ED38E9">
        <w:rPr>
          <w:rFonts w:eastAsia="Calibri" w:cs="Arial"/>
          <w:noProof w:val="0"/>
          <w:szCs w:val="22"/>
          <w:lang w:bidi="ar-SA"/>
        </w:rPr>
        <w:t>, není</w:t>
      </w:r>
      <w:r w:rsidR="00A42168">
        <w:rPr>
          <w:rFonts w:eastAsia="Calibri" w:cs="Arial"/>
          <w:noProof w:val="0"/>
          <w:szCs w:val="22"/>
          <w:lang w:bidi="ar-SA"/>
        </w:rPr>
        <w:t>-li</w:t>
      </w:r>
      <w:r w:rsidRPr="00ED38E9">
        <w:rPr>
          <w:rFonts w:eastAsia="Calibri" w:cs="Arial"/>
          <w:noProof w:val="0"/>
          <w:szCs w:val="22"/>
          <w:lang w:bidi="ar-SA"/>
        </w:rPr>
        <w:t xml:space="preserve"> přímo součástí žádosti o vydání oprávnění k provozování KS</w:t>
      </w:r>
      <w:r w:rsidR="00417226" w:rsidRPr="00ED38E9">
        <w:rPr>
          <w:rFonts w:eastAsia="Calibri" w:cs="Arial"/>
          <w:noProof w:val="0"/>
          <w:szCs w:val="22"/>
          <w:lang w:bidi="ar-SA"/>
        </w:rPr>
        <w:t>,</w:t>
      </w:r>
      <w:r w:rsidRPr="00ED38E9">
        <w:rPr>
          <w:rFonts w:eastAsia="Calibri" w:cs="Arial"/>
          <w:noProof w:val="0"/>
          <w:szCs w:val="22"/>
          <w:lang w:bidi="ar-SA"/>
        </w:rPr>
        <w:t xml:space="preserve"> dojde i k vytvoření transparentnějšího prostředí. Jediným nákladem spojeným s umožněním vzájemné spolupráce KS jsou náklady pro státní správu ve formě dodatečných nákladů pro MŽP na kontrolu a evidenci a náklady spojené s rozhodováním Úřadu pro ochranu hospodářské soutěže v případě podání podnětu. Povolení vzájemné spolupráce KS umožní zvýšit vyjednávací sílu KS ve vztahu k svozovým firmám, místům zpětného odběru, zpracovatelům a existuje tak riziko možných negativních dopadů na hospodářskou soutěž. Z tohoto důvodu jsou uvažovány náklady spojené s rozhodováním Úřadu pro ochranu hospodářské soutěže v případě podání podnětu.</w:t>
      </w:r>
    </w:p>
    <w:p w:rsidR="00DC1795" w:rsidRPr="00ED38E9" w:rsidRDefault="00DC1795" w:rsidP="00C27BED">
      <w:pPr>
        <w:keepNext/>
        <w:widowControl w:val="0"/>
        <w:spacing w:before="120" w:after="120"/>
        <w:rPr>
          <w:rFonts w:eastAsia="Calibri" w:cs="Arial"/>
          <w:noProof w:val="0"/>
          <w:szCs w:val="22"/>
          <w:lang w:bidi="ar-SA"/>
        </w:rPr>
      </w:pPr>
      <w:r w:rsidRPr="00ED38E9">
        <w:rPr>
          <w:rFonts w:eastAsia="Calibri" w:cs="Arial"/>
          <w:noProof w:val="0"/>
          <w:szCs w:val="22"/>
          <w:lang w:bidi="ar-SA"/>
        </w:rPr>
        <w:t>Varianta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optimalizace sběru, navíc varianta 1b může některé KS motivovat k plnění svých povinností nad stanovený limit.</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Dodatečné administrativní náklady MŽP spojené s kontrolou a evidencí v rámci vzájemné spolupráce. Nutnost zlepšené kontroly a evidence zejména v případě Varianty 1b povolení clearingu </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právní jistota, možnost sdílet náklady s ostatními KS, snížení podnikatelských rizik</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Dodatečné administrativní náklady na vzájemnou spolupráci</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Vyšší právní jistota, transparentnost, možnost snížení nákladů na systém zajišťující rozšířenou odpovědnost výrobce (nižší recyklační poplatky)</w:t>
            </w:r>
          </w:p>
        </w:tc>
      </w:tr>
    </w:tbl>
    <w:p w:rsidR="004802F9" w:rsidRDefault="00DC1795" w:rsidP="00F2125B">
      <w:pPr>
        <w:widowControl w:val="0"/>
        <w:spacing w:before="120" w:after="120"/>
        <w:rPr>
          <w:rFonts w:eastAsia="Calibri" w:cs="Arial"/>
          <w:noProof w:val="0"/>
          <w:szCs w:val="22"/>
          <w:lang w:bidi="ar-SA"/>
        </w:rPr>
      </w:pPr>
      <w:r w:rsidRPr="00ED38E9">
        <w:rPr>
          <w:rFonts w:eastAsia="Calibri" w:cs="Arial"/>
          <w:noProof w:val="0"/>
          <w:szCs w:val="22"/>
          <w:lang w:bidi="ar-SA"/>
        </w:rPr>
        <w:t>Na základě hodnocení Variant 1a a 1b je zřejmé, že Varianta 2 nepředstavuje žádné zásadní přínosy; naopak nemožnost spolupráce, resp. nemožnost sdílet některé náklady může v konečném důsledku vést ke zdr</w:t>
      </w:r>
      <w:r w:rsidR="002B5D04">
        <w:rPr>
          <w:rFonts w:eastAsia="Calibri" w:cs="Arial"/>
          <w:noProof w:val="0"/>
          <w:szCs w:val="22"/>
          <w:lang w:bidi="ar-SA"/>
        </w:rPr>
        <w:t>a</w:t>
      </w:r>
      <w:r w:rsidRPr="00ED38E9">
        <w:rPr>
          <w:rFonts w:eastAsia="Calibri" w:cs="Arial"/>
          <w:noProof w:val="0"/>
          <w:szCs w:val="22"/>
          <w:lang w:bidi="ar-SA"/>
        </w:rPr>
        <w:t xml:space="preserve">žení celého systému a ohrozit tak hlavní cíl. </w:t>
      </w:r>
    </w:p>
    <w:p w:rsidR="004802F9" w:rsidRDefault="004802F9">
      <w:pPr>
        <w:spacing w:line="240" w:lineRule="auto"/>
        <w:jc w:val="left"/>
        <w:rPr>
          <w:rFonts w:eastAsia="Calibri" w:cs="Arial"/>
          <w:noProof w:val="0"/>
          <w:szCs w:val="22"/>
          <w:lang w:bidi="ar-SA"/>
        </w:rPr>
      </w:pPr>
      <w:r>
        <w:rPr>
          <w:rFonts w:eastAsia="Calibri" w:cs="Arial"/>
          <w:noProof w:val="0"/>
          <w:szCs w:val="22"/>
          <w:lang w:bidi="ar-SA"/>
        </w:rPr>
        <w:br w:type="page"/>
      </w:r>
    </w:p>
    <w:p w:rsidR="00DC1795" w:rsidRDefault="00DC1795" w:rsidP="00F2125B">
      <w:pPr>
        <w:widowControl w:val="0"/>
        <w:spacing w:before="120" w:after="120"/>
        <w:rPr>
          <w:rFonts w:eastAsia="Calibri" w:cs="Arial"/>
          <w:noProof w:val="0"/>
          <w:szCs w:val="22"/>
          <w:lang w:bidi="ar-SA"/>
        </w:rPr>
      </w:pPr>
    </w:p>
    <w:p w:rsidR="000B721E" w:rsidRDefault="000B721E" w:rsidP="006F5445">
      <w:pPr>
        <w:pStyle w:val="Titulek"/>
      </w:pPr>
      <w:r>
        <w:t xml:space="preserve">Tabulka </w:t>
      </w:r>
      <w:r w:rsidR="00381FB7">
        <w:fldChar w:fldCharType="begin"/>
      </w:r>
      <w:r>
        <w:instrText xml:space="preserve"> SEQ Tabulka \* ARABIC </w:instrText>
      </w:r>
      <w:r w:rsidR="00381FB7">
        <w:fldChar w:fldCharType="separate"/>
      </w:r>
      <w:r w:rsidR="00FD5E92">
        <w:t>45</w:t>
      </w:r>
      <w:r w:rsidR="00381FB7">
        <w:fldChar w:fldCharType="end"/>
      </w:r>
      <w:r>
        <w:t>: Souhrn nákladů a přínosů</w:t>
      </w:r>
    </w:p>
    <w:tbl>
      <w:tblPr>
        <w:tblStyle w:val="Mkatabulky16"/>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0B721E" w:rsidRPr="00ED38E9" w:rsidTr="00AA3350">
        <w:trPr>
          <w:trHeight w:val="64"/>
          <w:jc w:val="center"/>
        </w:trPr>
        <w:tc>
          <w:tcPr>
            <w:tcW w:w="2419" w:type="dxa"/>
            <w:shd w:val="clear" w:color="auto" w:fill="B6B002"/>
            <w:vAlign w:val="center"/>
          </w:tcPr>
          <w:p w:rsidR="000B721E" w:rsidRPr="00ED38E9" w:rsidRDefault="000B721E" w:rsidP="00AA3350">
            <w:pPr>
              <w:spacing w:line="264" w:lineRule="auto"/>
              <w:jc w:val="center"/>
              <w:rPr>
                <w:rFonts w:cs="Arial"/>
                <w:b/>
                <w:noProof w:val="0"/>
                <w:sz w:val="20"/>
                <w:szCs w:val="20"/>
                <w:lang w:bidi="ar-SA"/>
              </w:rPr>
            </w:pPr>
          </w:p>
        </w:tc>
        <w:tc>
          <w:tcPr>
            <w:tcW w:w="3326" w:type="dxa"/>
            <w:shd w:val="clear" w:color="auto" w:fill="B6B002"/>
            <w:vAlign w:val="center"/>
          </w:tcPr>
          <w:p w:rsidR="000B721E" w:rsidRPr="00ED38E9" w:rsidRDefault="000B721E" w:rsidP="00AA3350">
            <w:pPr>
              <w:spacing w:line="264" w:lineRule="auto"/>
              <w:rPr>
                <w:rFonts w:cs="Arial"/>
                <w:b/>
                <w:noProof w:val="0"/>
                <w:sz w:val="20"/>
                <w:szCs w:val="20"/>
                <w:lang w:bidi="ar-SA"/>
              </w:rPr>
            </w:pPr>
            <w:r w:rsidRPr="00ED38E9">
              <w:rPr>
                <w:rFonts w:cs="Arial"/>
                <w:b/>
                <w:noProof w:val="0"/>
                <w:sz w:val="20"/>
                <w:szCs w:val="20"/>
                <w:lang w:bidi="ar-SA"/>
              </w:rPr>
              <w:t>Náklady</w:t>
            </w:r>
          </w:p>
        </w:tc>
        <w:tc>
          <w:tcPr>
            <w:tcW w:w="3327" w:type="dxa"/>
            <w:shd w:val="clear" w:color="auto" w:fill="B6B002"/>
            <w:vAlign w:val="center"/>
          </w:tcPr>
          <w:p w:rsidR="000B721E" w:rsidRPr="00ED38E9" w:rsidRDefault="000B721E" w:rsidP="00AA3350">
            <w:pPr>
              <w:spacing w:line="264" w:lineRule="auto"/>
              <w:rPr>
                <w:rFonts w:cs="Arial"/>
                <w:b/>
                <w:noProof w:val="0"/>
                <w:sz w:val="20"/>
                <w:szCs w:val="20"/>
                <w:lang w:bidi="ar-SA"/>
              </w:rPr>
            </w:pPr>
            <w:r w:rsidRPr="00ED38E9">
              <w:rPr>
                <w:rFonts w:cs="Arial"/>
                <w:b/>
                <w:noProof w:val="0"/>
                <w:sz w:val="20"/>
                <w:szCs w:val="20"/>
                <w:lang w:bidi="ar-SA"/>
              </w:rPr>
              <w:t>Přínosy</w:t>
            </w:r>
          </w:p>
        </w:tc>
      </w:tr>
    </w:tbl>
    <w:tbl>
      <w:tblPr>
        <w:tblStyle w:val="Mkatabulky1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0B721E" w:rsidRPr="000B721E" w:rsidTr="00AA3350">
        <w:trPr>
          <w:trHeight w:val="64"/>
          <w:jc w:val="center"/>
        </w:trPr>
        <w:tc>
          <w:tcPr>
            <w:tcW w:w="9072" w:type="dxa"/>
            <w:gridSpan w:val="3"/>
            <w:shd w:val="clear" w:color="auto" w:fill="F2F2F2"/>
            <w:vAlign w:val="center"/>
          </w:tcPr>
          <w:p w:rsidR="000B721E" w:rsidRPr="000B721E" w:rsidRDefault="000B721E" w:rsidP="000B721E">
            <w:pPr>
              <w:spacing w:before="120" w:after="120"/>
              <w:rPr>
                <w:rFonts w:cs="Arial"/>
                <w:b/>
                <w:noProof w:val="0"/>
                <w:szCs w:val="22"/>
                <w:lang w:bidi="ar-SA"/>
              </w:rPr>
            </w:pPr>
            <w:r w:rsidRPr="000B721E">
              <w:rPr>
                <w:rFonts w:cs="Arial"/>
                <w:b/>
                <w:szCs w:val="22"/>
                <w:lang w:bidi="ar-SA"/>
              </w:rPr>
              <w:t>Spolupráce více KS</w:t>
            </w:r>
          </w:p>
        </w:tc>
      </w:tr>
      <w:tr w:rsidR="000B721E" w:rsidRPr="000B721E" w:rsidTr="00AA3350">
        <w:trPr>
          <w:trHeight w:val="64"/>
          <w:jc w:val="center"/>
        </w:trPr>
        <w:tc>
          <w:tcPr>
            <w:tcW w:w="2419" w:type="dxa"/>
            <w:shd w:val="clear" w:color="auto" w:fill="D9D9D9"/>
            <w:vAlign w:val="center"/>
          </w:tcPr>
          <w:p w:rsidR="000B721E" w:rsidRPr="000B721E" w:rsidRDefault="000B721E" w:rsidP="000B721E">
            <w:pPr>
              <w:spacing w:before="60" w:after="60" w:line="240" w:lineRule="auto"/>
              <w:jc w:val="left"/>
              <w:rPr>
                <w:rFonts w:cs="Arial"/>
                <w:sz w:val="20"/>
                <w:szCs w:val="20"/>
                <w:lang w:bidi="ar-SA"/>
              </w:rPr>
            </w:pPr>
            <w:r w:rsidRPr="000B721E">
              <w:rPr>
                <w:rFonts w:cs="Arial"/>
                <w:noProof w:val="0"/>
                <w:sz w:val="20"/>
                <w:szCs w:val="20"/>
                <w:lang w:bidi="ar-SA"/>
              </w:rPr>
              <w:t>Varianta 0</w:t>
            </w:r>
          </w:p>
        </w:tc>
        <w:tc>
          <w:tcPr>
            <w:tcW w:w="3326" w:type="dxa"/>
            <w:shd w:val="clear" w:color="auto" w:fill="D9D9D9"/>
            <w:vAlign w:val="center"/>
          </w:tcPr>
          <w:p w:rsidR="000B721E" w:rsidRPr="000B721E" w:rsidRDefault="000B721E" w:rsidP="000B721E">
            <w:pPr>
              <w:spacing w:before="60" w:after="60" w:line="240" w:lineRule="auto"/>
              <w:jc w:val="left"/>
              <w:rPr>
                <w:rFonts w:cs="Arial"/>
                <w:noProof w:val="0"/>
                <w:sz w:val="20"/>
                <w:szCs w:val="20"/>
                <w:lang w:bidi="ar-SA"/>
              </w:rPr>
            </w:pPr>
            <w:r w:rsidRPr="000B721E">
              <w:rPr>
                <w:rFonts w:cs="Arial"/>
                <w:noProof w:val="0"/>
                <w:sz w:val="20"/>
                <w:szCs w:val="20"/>
                <w:lang w:bidi="ar-SA"/>
              </w:rPr>
              <w:t>nulová varianta</w:t>
            </w:r>
          </w:p>
        </w:tc>
        <w:tc>
          <w:tcPr>
            <w:tcW w:w="3327" w:type="dxa"/>
            <w:shd w:val="clear" w:color="auto" w:fill="D9D9D9"/>
            <w:vAlign w:val="center"/>
          </w:tcPr>
          <w:p w:rsidR="000B721E" w:rsidRPr="000B721E" w:rsidRDefault="000B721E" w:rsidP="000B721E">
            <w:pPr>
              <w:spacing w:before="60" w:after="60" w:line="240" w:lineRule="auto"/>
              <w:jc w:val="left"/>
              <w:rPr>
                <w:rFonts w:cs="Arial"/>
                <w:noProof w:val="0"/>
                <w:sz w:val="20"/>
                <w:szCs w:val="20"/>
                <w:lang w:bidi="ar-SA"/>
              </w:rPr>
            </w:pPr>
            <w:r w:rsidRPr="000B721E">
              <w:rPr>
                <w:rFonts w:cs="Arial"/>
                <w:noProof w:val="0"/>
                <w:sz w:val="20"/>
                <w:szCs w:val="20"/>
                <w:lang w:bidi="ar-SA"/>
              </w:rPr>
              <w:t>nulová varianta</w:t>
            </w:r>
          </w:p>
        </w:tc>
      </w:tr>
      <w:tr w:rsidR="000B721E" w:rsidRPr="000B721E" w:rsidTr="00AA3350">
        <w:trPr>
          <w:trHeight w:val="164"/>
          <w:jc w:val="center"/>
        </w:trPr>
        <w:tc>
          <w:tcPr>
            <w:tcW w:w="2419" w:type="dxa"/>
            <w:shd w:val="clear" w:color="auto" w:fill="F2F2F2"/>
            <w:vAlign w:val="center"/>
          </w:tcPr>
          <w:p w:rsidR="000B721E" w:rsidRPr="000B721E" w:rsidRDefault="000B721E" w:rsidP="000B721E">
            <w:pPr>
              <w:spacing w:before="60" w:after="60" w:line="240" w:lineRule="auto"/>
              <w:jc w:val="left"/>
              <w:rPr>
                <w:rFonts w:cs="Arial"/>
                <w:b/>
                <w:noProof w:val="0"/>
                <w:sz w:val="20"/>
                <w:szCs w:val="20"/>
                <w:u w:val="single"/>
                <w:lang w:bidi="ar-SA"/>
              </w:rPr>
            </w:pPr>
            <w:r w:rsidRPr="000B721E">
              <w:rPr>
                <w:rFonts w:cs="Arial"/>
                <w:b/>
                <w:noProof w:val="0"/>
                <w:sz w:val="20"/>
                <w:szCs w:val="20"/>
                <w:u w:val="single"/>
                <w:lang w:bidi="ar-SA"/>
              </w:rPr>
              <w:t>Varianta 1a</w:t>
            </w:r>
          </w:p>
        </w:tc>
        <w:tc>
          <w:tcPr>
            <w:tcW w:w="3326" w:type="dxa"/>
            <w:shd w:val="clear" w:color="auto" w:fill="F2F2F2"/>
            <w:vAlign w:val="center"/>
          </w:tcPr>
          <w:p w:rsidR="000B721E" w:rsidRPr="000B721E" w:rsidRDefault="000B721E" w:rsidP="000B721E">
            <w:pPr>
              <w:spacing w:before="60" w:after="60" w:line="240" w:lineRule="auto"/>
              <w:jc w:val="left"/>
              <w:rPr>
                <w:rFonts w:cs="Arial"/>
                <w:noProof w:val="0"/>
                <w:sz w:val="20"/>
                <w:szCs w:val="20"/>
                <w:lang w:bidi="ar-SA"/>
              </w:rPr>
            </w:pPr>
            <w:r w:rsidRPr="000B721E">
              <w:rPr>
                <w:rFonts w:cs="Arial"/>
                <w:noProof w:val="0"/>
                <w:sz w:val="20"/>
                <w:szCs w:val="20"/>
                <w:lang w:bidi="ar-SA"/>
              </w:rPr>
              <w:t xml:space="preserve">Náklady pro státní správu spojené s dodatečnou kontrolou. Náklady pro KS v souvislosti s navýšením administrativních nákladů. </w:t>
            </w:r>
          </w:p>
        </w:tc>
        <w:tc>
          <w:tcPr>
            <w:tcW w:w="3327" w:type="dxa"/>
            <w:shd w:val="clear" w:color="auto" w:fill="F2F2F2"/>
            <w:vAlign w:val="center"/>
          </w:tcPr>
          <w:p w:rsidR="000B721E" w:rsidRPr="000B721E" w:rsidRDefault="000B721E" w:rsidP="000B721E">
            <w:pPr>
              <w:spacing w:before="60" w:after="60" w:line="240" w:lineRule="auto"/>
              <w:jc w:val="left"/>
              <w:rPr>
                <w:rFonts w:cs="Arial"/>
                <w:noProof w:val="0"/>
                <w:sz w:val="20"/>
                <w:szCs w:val="20"/>
                <w:lang w:bidi="ar-SA"/>
              </w:rPr>
            </w:pPr>
            <w:r w:rsidRPr="000B721E">
              <w:rPr>
                <w:rFonts w:cs="Arial"/>
                <w:noProof w:val="0"/>
                <w:sz w:val="20"/>
                <w:szCs w:val="20"/>
                <w:lang w:bidi="ar-SA"/>
              </w:rPr>
              <w:t>Vyšší právní jistota, možnost sdílet náklady s ostatními KS, snížení podnikatelských rizik</w:t>
            </w:r>
          </w:p>
        </w:tc>
      </w:tr>
      <w:tr w:rsidR="000B721E" w:rsidRPr="000B721E" w:rsidTr="00AA3350">
        <w:trPr>
          <w:trHeight w:val="262"/>
          <w:jc w:val="center"/>
        </w:trPr>
        <w:tc>
          <w:tcPr>
            <w:tcW w:w="2419" w:type="dxa"/>
            <w:shd w:val="clear" w:color="auto" w:fill="D9D9D9"/>
            <w:vAlign w:val="center"/>
          </w:tcPr>
          <w:p w:rsidR="000B721E" w:rsidRPr="000B721E" w:rsidRDefault="000B721E" w:rsidP="000B721E">
            <w:pPr>
              <w:spacing w:before="60" w:after="60" w:line="240" w:lineRule="auto"/>
              <w:jc w:val="left"/>
              <w:rPr>
                <w:rFonts w:cs="Arial"/>
                <w:b/>
                <w:sz w:val="20"/>
                <w:szCs w:val="20"/>
                <w:lang w:bidi="ar-SA"/>
              </w:rPr>
            </w:pPr>
            <w:r w:rsidRPr="000B721E">
              <w:rPr>
                <w:rFonts w:cs="Arial"/>
                <w:b/>
                <w:noProof w:val="0"/>
                <w:sz w:val="20"/>
                <w:szCs w:val="20"/>
                <w:u w:val="single"/>
                <w:lang w:bidi="ar-SA"/>
              </w:rPr>
              <w:t>Varianta 1b</w:t>
            </w:r>
          </w:p>
        </w:tc>
        <w:tc>
          <w:tcPr>
            <w:tcW w:w="3326" w:type="dxa"/>
            <w:shd w:val="clear" w:color="auto" w:fill="D9D9D9"/>
            <w:vAlign w:val="center"/>
          </w:tcPr>
          <w:p w:rsidR="000B721E" w:rsidRPr="000B721E" w:rsidRDefault="000B721E" w:rsidP="000B721E">
            <w:pPr>
              <w:spacing w:before="60" w:after="60" w:line="240" w:lineRule="auto"/>
              <w:jc w:val="left"/>
              <w:rPr>
                <w:rFonts w:cs="Arial"/>
                <w:noProof w:val="0"/>
                <w:sz w:val="20"/>
                <w:szCs w:val="20"/>
                <w:lang w:bidi="ar-SA"/>
              </w:rPr>
            </w:pPr>
            <w:r w:rsidRPr="000B721E">
              <w:rPr>
                <w:rFonts w:cs="Arial"/>
                <w:noProof w:val="0"/>
                <w:sz w:val="20"/>
                <w:szCs w:val="20"/>
                <w:lang w:bidi="ar-SA"/>
              </w:rPr>
              <w:t xml:space="preserve">Náklady pro státní správu spojené s dodatečnou kontrolou zejména v případě povolení clearingu. Náklady pro KS v souvislosti s navýšením administrativních nákladů. </w:t>
            </w:r>
          </w:p>
        </w:tc>
        <w:tc>
          <w:tcPr>
            <w:tcW w:w="3327" w:type="dxa"/>
            <w:shd w:val="clear" w:color="auto" w:fill="D9D9D9"/>
            <w:vAlign w:val="center"/>
          </w:tcPr>
          <w:p w:rsidR="000B721E" w:rsidRPr="000B721E" w:rsidRDefault="000B721E" w:rsidP="000B721E">
            <w:pPr>
              <w:spacing w:before="60" w:after="60" w:line="240" w:lineRule="auto"/>
              <w:jc w:val="left"/>
              <w:rPr>
                <w:rFonts w:cs="Arial"/>
                <w:noProof w:val="0"/>
                <w:sz w:val="20"/>
                <w:szCs w:val="20"/>
                <w:lang w:bidi="ar-SA"/>
              </w:rPr>
            </w:pPr>
            <w:r w:rsidRPr="000B721E">
              <w:rPr>
                <w:rFonts w:cs="Arial"/>
                <w:noProof w:val="0"/>
                <w:sz w:val="20"/>
                <w:szCs w:val="20"/>
                <w:lang w:bidi="ar-SA"/>
              </w:rPr>
              <w:t>Vyšší právní jistota, možnost sdílet náklady s ostatními KS, snížení podnikatelských rizik. Motivace KS plnit nad stanovený limit.</w:t>
            </w:r>
          </w:p>
        </w:tc>
      </w:tr>
      <w:tr w:rsidR="000B721E" w:rsidRPr="000B721E" w:rsidTr="00AA3350">
        <w:trPr>
          <w:trHeight w:val="251"/>
          <w:jc w:val="center"/>
        </w:trPr>
        <w:tc>
          <w:tcPr>
            <w:tcW w:w="2419" w:type="dxa"/>
            <w:shd w:val="clear" w:color="auto" w:fill="F2F2F2"/>
            <w:vAlign w:val="center"/>
          </w:tcPr>
          <w:p w:rsidR="000B721E" w:rsidRPr="000B721E" w:rsidRDefault="000B721E" w:rsidP="000B721E">
            <w:pPr>
              <w:spacing w:before="60" w:after="60" w:line="240" w:lineRule="auto"/>
              <w:jc w:val="left"/>
              <w:rPr>
                <w:rFonts w:cs="Arial"/>
                <w:sz w:val="20"/>
                <w:szCs w:val="20"/>
                <w:lang w:bidi="ar-SA"/>
              </w:rPr>
            </w:pPr>
            <w:r w:rsidRPr="000B721E">
              <w:rPr>
                <w:rFonts w:cs="Arial"/>
                <w:noProof w:val="0"/>
                <w:sz w:val="20"/>
                <w:szCs w:val="20"/>
                <w:lang w:bidi="ar-SA"/>
              </w:rPr>
              <w:t>Varianta 2</w:t>
            </w:r>
          </w:p>
        </w:tc>
        <w:tc>
          <w:tcPr>
            <w:tcW w:w="3326" w:type="dxa"/>
            <w:shd w:val="clear" w:color="auto" w:fill="F2F2F2"/>
            <w:vAlign w:val="center"/>
          </w:tcPr>
          <w:p w:rsidR="000B721E" w:rsidRPr="000B721E" w:rsidRDefault="000B721E" w:rsidP="000B721E">
            <w:pPr>
              <w:spacing w:before="60" w:after="60" w:line="240" w:lineRule="auto"/>
              <w:jc w:val="left"/>
              <w:rPr>
                <w:rFonts w:cs="Arial"/>
                <w:noProof w:val="0"/>
                <w:sz w:val="20"/>
                <w:szCs w:val="20"/>
                <w:lang w:bidi="ar-SA"/>
              </w:rPr>
            </w:pPr>
            <w:r w:rsidRPr="000B721E">
              <w:rPr>
                <w:rFonts w:cs="Arial"/>
                <w:noProof w:val="0"/>
                <w:sz w:val="20"/>
                <w:szCs w:val="20"/>
                <w:lang w:bidi="ar-SA"/>
              </w:rPr>
              <w:t xml:space="preserve">Náklady spojené s dohledem nad KS ze strany státních institucí. Možný významný negativní dopad na sběr bez odůvodnitelných přínosů. </w:t>
            </w:r>
          </w:p>
        </w:tc>
        <w:tc>
          <w:tcPr>
            <w:tcW w:w="3327" w:type="dxa"/>
            <w:shd w:val="clear" w:color="auto" w:fill="F2F2F2"/>
            <w:vAlign w:val="center"/>
          </w:tcPr>
          <w:p w:rsidR="000B721E" w:rsidRPr="000B721E" w:rsidRDefault="000B721E" w:rsidP="000B721E">
            <w:pPr>
              <w:spacing w:before="60" w:after="60" w:line="240" w:lineRule="auto"/>
              <w:jc w:val="left"/>
              <w:rPr>
                <w:rFonts w:cs="Arial"/>
                <w:noProof w:val="0"/>
                <w:sz w:val="20"/>
                <w:szCs w:val="20"/>
                <w:lang w:bidi="ar-SA"/>
              </w:rPr>
            </w:pPr>
            <w:r w:rsidRPr="000B721E">
              <w:rPr>
                <w:rFonts w:cs="Arial"/>
                <w:noProof w:val="0"/>
                <w:sz w:val="20"/>
                <w:szCs w:val="20"/>
                <w:lang w:bidi="ar-SA"/>
              </w:rPr>
              <w:t>Zanedbatelné</w:t>
            </w:r>
          </w:p>
        </w:tc>
      </w:tr>
    </w:tbl>
    <w:p w:rsidR="000B721E" w:rsidRPr="00ED38E9" w:rsidRDefault="000B721E" w:rsidP="00F2125B">
      <w:pPr>
        <w:widowControl w:val="0"/>
        <w:spacing w:before="120" w:after="120"/>
        <w:rPr>
          <w:rFonts w:eastAsia="Calibri" w:cs="Arial"/>
          <w:noProof w:val="0"/>
          <w:szCs w:val="22"/>
          <w:lang w:bidi="ar-SA"/>
        </w:rPr>
      </w:pPr>
    </w:p>
    <w:p w:rsidR="00DC1795" w:rsidRPr="00ED38E9" w:rsidRDefault="00DC1795" w:rsidP="0011664A">
      <w:pPr>
        <w:pStyle w:val="Nadpis2"/>
        <w:rPr>
          <w:rFonts w:eastAsia="Calibri"/>
          <w:lang w:bidi="ar-SA"/>
        </w:rPr>
      </w:pPr>
      <w:bookmarkStart w:id="123" w:name="_Toc441759898"/>
      <w:r w:rsidRPr="00ED38E9">
        <w:rPr>
          <w:rFonts w:eastAsia="Calibri"/>
          <w:lang w:bidi="ar-SA"/>
        </w:rPr>
        <w:t>Vyhodnocení variant a návrh řešení</w:t>
      </w:r>
      <w:bookmarkEnd w:id="123"/>
    </w:p>
    <w:p w:rsidR="002E2185" w:rsidRPr="00ED38E9" w:rsidRDefault="00DC1795" w:rsidP="00F2125B">
      <w:pPr>
        <w:spacing w:before="120" w:after="120"/>
        <w:rPr>
          <w:rFonts w:eastAsia="Calibri" w:cs="Arial"/>
          <w:noProof w:val="0"/>
          <w:szCs w:val="22"/>
          <w:lang w:bidi="ar-SA"/>
        </w:rPr>
      </w:pPr>
      <w:r w:rsidRPr="00ED38E9">
        <w:rPr>
          <w:rFonts w:eastAsia="Calibri" w:cs="Arial"/>
          <w:noProof w:val="0"/>
          <w:szCs w:val="22"/>
          <w:lang w:bidi="ar-SA"/>
        </w:rPr>
        <w:t xml:space="preserve">Z analýzy přínosů a nákladů vyplývá, že Varianta 2 nepředstavuje žádné zásadní přínosy, ale naopak může vést k ohrožení dosažení požadované úrovně sběru. S ohledem na zavedení transparentnějšího prostředí se doporučuje v rámci zvýšení právní jistoty specifikovat možnost vzájemné spolupráce. Proto </w:t>
      </w:r>
      <w:r w:rsidRPr="00ED38E9">
        <w:rPr>
          <w:rFonts w:eastAsia="Calibri" w:cs="Arial"/>
          <w:b/>
          <w:noProof w:val="0"/>
          <w:szCs w:val="22"/>
          <w:lang w:bidi="ar-SA"/>
        </w:rPr>
        <w:t>doporučujeme realizovat Variantu 1a nebo 1b v závislosti na politickém rozhodnutí</w:t>
      </w:r>
      <w:r w:rsidRPr="00ED38E9">
        <w:rPr>
          <w:rFonts w:eastAsia="Calibri" w:cs="Arial"/>
          <w:noProof w:val="0"/>
          <w:szCs w:val="22"/>
          <w:lang w:bidi="ar-SA"/>
        </w:rPr>
        <w:t>, neboť existence clearingu představuje určité přínosy ve formě zvýšené motivace, ovšem nese sebou také náklady. V současnosti není zřejmé, v jaké podobě by clearing mezi KS fungoval, zda na individuální bázi či prostřednictvím operátora trhu, jako je tomu v zahraničí.</w:t>
      </w:r>
    </w:p>
    <w:p w:rsidR="00DC1795" w:rsidRPr="00F97AF3" w:rsidRDefault="00DC1795" w:rsidP="0011664A">
      <w:pPr>
        <w:pStyle w:val="Nadpis1"/>
      </w:pPr>
      <w:bookmarkStart w:id="124" w:name="_Toc406598342"/>
      <w:bookmarkStart w:id="125" w:name="_Toc441759899"/>
      <w:bookmarkStart w:id="126" w:name="_Toc441760191"/>
      <w:r w:rsidRPr="00F97AF3">
        <w:t>Propagační a osvětová činnost</w:t>
      </w:r>
      <w:bookmarkEnd w:id="124"/>
      <w:bookmarkEnd w:id="125"/>
      <w:bookmarkEnd w:id="126"/>
    </w:p>
    <w:p w:rsidR="008876E5" w:rsidRDefault="008876E5" w:rsidP="0011664A">
      <w:pPr>
        <w:pStyle w:val="Nadpis2"/>
      </w:pPr>
      <w:bookmarkStart w:id="127" w:name="_Toc441759900"/>
      <w:r>
        <w:t>Definice problému a popis současného stavu</w:t>
      </w:r>
      <w:bookmarkEnd w:id="127"/>
    </w:p>
    <w:p w:rsidR="00DC1795" w:rsidRPr="00ED38E9" w:rsidRDefault="00DC1795" w:rsidP="00F2125B">
      <w:pPr>
        <w:spacing w:before="120" w:after="120"/>
        <w:rPr>
          <w:rFonts w:eastAsia="Calibri" w:cs="Arial"/>
          <w:noProof w:val="0"/>
          <w:szCs w:val="22"/>
          <w:lang w:bidi="ar-SA"/>
        </w:rPr>
      </w:pPr>
      <w:r w:rsidRPr="00ED38E9">
        <w:rPr>
          <w:rFonts w:eastAsia="Calibri" w:cs="Arial"/>
          <w:noProof w:val="0"/>
          <w:szCs w:val="22"/>
          <w:lang w:bidi="ar-SA"/>
        </w:rPr>
        <w:t>Současná právní úprava se nezabývá problémem financování propagační a osvětové činnosti. Propagační a osvětovou činnost jsou ze zákona o odpadech KS povinny provozovat, ovšem způsob a výše prostředků na ně vynaložen</w:t>
      </w:r>
      <w:r w:rsidR="008F41B6">
        <w:rPr>
          <w:rFonts w:eastAsia="Calibri" w:cs="Arial"/>
          <w:noProof w:val="0"/>
          <w:szCs w:val="22"/>
          <w:lang w:bidi="ar-SA"/>
        </w:rPr>
        <w:t>ých</w:t>
      </w:r>
      <w:r w:rsidRPr="00ED38E9">
        <w:rPr>
          <w:rFonts w:eastAsia="Calibri" w:cs="Arial"/>
          <w:noProof w:val="0"/>
          <w:szCs w:val="22"/>
          <w:lang w:bidi="ar-SA"/>
        </w:rPr>
        <w:t xml:space="preserve"> je zcela ponechán v jejich kompetenci.</w:t>
      </w:r>
    </w:p>
    <w:p w:rsidR="00DC1795" w:rsidRPr="00ED38E9" w:rsidRDefault="00DC1795" w:rsidP="00F2125B">
      <w:pPr>
        <w:spacing w:before="120" w:after="120"/>
        <w:rPr>
          <w:rFonts w:eastAsia="Calibri" w:cs="Arial"/>
          <w:noProof w:val="0"/>
          <w:szCs w:val="22"/>
          <w:lang w:bidi="ar-SA"/>
        </w:rPr>
      </w:pPr>
      <w:r w:rsidRPr="00ED38E9">
        <w:rPr>
          <w:rFonts w:eastAsia="Calibri" w:cs="Arial"/>
          <w:noProof w:val="0"/>
          <w:szCs w:val="22"/>
          <w:lang w:bidi="ar-SA"/>
        </w:rPr>
        <w:t xml:space="preserve">Rozdílná úroveň propagační a osvětové činnosti. Zároveň problém neprůhlednosti systému, kdy část prostředků z KS může být vyváděna prostřednictvím předražených PR služeb apod. </w:t>
      </w:r>
    </w:p>
    <w:p w:rsidR="008876E5" w:rsidRDefault="008876E5" w:rsidP="0011664A">
      <w:pPr>
        <w:pStyle w:val="Nadpis2"/>
      </w:pPr>
      <w:bookmarkStart w:id="128" w:name="_Toc441759901"/>
      <w:r>
        <w:t>Popis cílového stavu</w:t>
      </w:r>
      <w:bookmarkEnd w:id="128"/>
    </w:p>
    <w:p w:rsidR="00DC1795" w:rsidRPr="00ED38E9" w:rsidRDefault="00DC1795" w:rsidP="00F2125B">
      <w:pPr>
        <w:spacing w:before="120" w:after="120"/>
        <w:rPr>
          <w:rFonts w:eastAsia="Calibri" w:cs="Arial"/>
          <w:noProof w:val="0"/>
          <w:szCs w:val="22"/>
          <w:lang w:bidi="ar-SA"/>
        </w:rPr>
      </w:pPr>
      <w:r w:rsidRPr="00ED38E9">
        <w:rPr>
          <w:rFonts w:eastAsia="Calibri" w:cs="Arial"/>
          <w:b/>
          <w:noProof w:val="0"/>
          <w:szCs w:val="22"/>
          <w:lang w:bidi="ar-SA"/>
        </w:rPr>
        <w:t>Cíl:</w:t>
      </w:r>
      <w:r w:rsidRPr="00ED38E9">
        <w:rPr>
          <w:rFonts w:eastAsia="Calibri" w:cs="Arial"/>
          <w:noProof w:val="0"/>
          <w:szCs w:val="22"/>
          <w:lang w:bidi="ar-SA"/>
        </w:rPr>
        <w:t xml:space="preserve"> Hlavním cílem zůstává dosažení minimálně požadované úrovně sběru </w:t>
      </w:r>
      <w:r w:rsidR="008F41B6">
        <w:rPr>
          <w:rFonts w:eastAsia="Calibri" w:cs="Arial"/>
          <w:noProof w:val="0"/>
          <w:szCs w:val="22"/>
          <w:lang w:bidi="ar-SA"/>
        </w:rPr>
        <w:t>VUŽ</w:t>
      </w:r>
      <w:r w:rsidR="008F41B6" w:rsidRPr="00ED38E9">
        <w:rPr>
          <w:rFonts w:eastAsia="Calibri" w:cs="Arial"/>
          <w:noProof w:val="0"/>
          <w:szCs w:val="22"/>
          <w:lang w:bidi="ar-SA"/>
        </w:rPr>
        <w:t xml:space="preserve"> </w:t>
      </w:r>
      <w:r w:rsidRPr="00ED38E9">
        <w:rPr>
          <w:rFonts w:eastAsia="Calibri" w:cs="Arial"/>
          <w:noProof w:val="0"/>
          <w:szCs w:val="22"/>
          <w:lang w:bidi="ar-SA"/>
        </w:rPr>
        <w:t>bez zbytečného zvyšování nákladů pro spotřebitele a výrobce.</w:t>
      </w:r>
    </w:p>
    <w:p w:rsidR="00DC1795" w:rsidRPr="00ED38E9" w:rsidRDefault="00DC1795" w:rsidP="0011664A">
      <w:pPr>
        <w:pStyle w:val="Nadpis2"/>
        <w:rPr>
          <w:rFonts w:eastAsia="Calibri"/>
          <w:lang w:bidi="ar-SA"/>
        </w:rPr>
      </w:pPr>
      <w:bookmarkStart w:id="129" w:name="_Toc441759902"/>
      <w:r w:rsidRPr="00ED38E9">
        <w:rPr>
          <w:rFonts w:eastAsia="Calibri"/>
          <w:lang w:bidi="ar-SA"/>
        </w:rPr>
        <w:lastRenderedPageBreak/>
        <w:t>Varianty řešení</w:t>
      </w:r>
      <w:bookmarkEnd w:id="129"/>
    </w:p>
    <w:p w:rsidR="00DC1795" w:rsidRPr="00ED38E9" w:rsidRDefault="00DC1795" w:rsidP="00F2125B">
      <w:pPr>
        <w:spacing w:before="120" w:after="120"/>
        <w:rPr>
          <w:rFonts w:eastAsia="Calibri" w:cs="Arial"/>
          <w:noProof w:val="0"/>
          <w:szCs w:val="22"/>
          <w:lang w:bidi="ar-SA"/>
        </w:rPr>
      </w:pPr>
      <w:r w:rsidRPr="00ED38E9">
        <w:rPr>
          <w:rFonts w:eastAsia="Calibri" w:cs="Arial"/>
          <w:b/>
          <w:noProof w:val="0"/>
          <w:szCs w:val="22"/>
          <w:lang w:bidi="ar-SA"/>
        </w:rPr>
        <w:t>Varianta 0</w:t>
      </w:r>
      <w:r w:rsidRPr="00ED38E9">
        <w:rPr>
          <w:rFonts w:eastAsia="Calibri" w:cs="Arial"/>
          <w:noProof w:val="0"/>
          <w:szCs w:val="22"/>
          <w:lang w:bidi="ar-SA"/>
        </w:rPr>
        <w:t xml:space="preserve"> – Ponechání současného stavu.</w:t>
      </w:r>
    </w:p>
    <w:p w:rsidR="00DC1795" w:rsidRPr="00ED38E9" w:rsidRDefault="00DC1795" w:rsidP="00F2125B">
      <w:pPr>
        <w:spacing w:before="120" w:after="120"/>
        <w:rPr>
          <w:rFonts w:eastAsia="Calibri" w:cs="Arial"/>
          <w:noProof w:val="0"/>
          <w:szCs w:val="22"/>
          <w:lang w:bidi="ar-SA"/>
        </w:rPr>
      </w:pPr>
      <w:r w:rsidRPr="00ED38E9">
        <w:rPr>
          <w:rFonts w:eastAsia="Calibri" w:cs="Arial"/>
          <w:b/>
          <w:noProof w:val="0"/>
          <w:szCs w:val="22"/>
          <w:lang w:bidi="ar-SA"/>
        </w:rPr>
        <w:t>Varianta 1</w:t>
      </w:r>
      <w:r w:rsidRPr="00ED38E9">
        <w:rPr>
          <w:rFonts w:eastAsia="Calibri" w:cs="Arial"/>
          <w:noProof w:val="0"/>
          <w:szCs w:val="22"/>
          <w:lang w:bidi="ar-SA"/>
        </w:rPr>
        <w:t xml:space="preserve"> – Propagační a osvětová činnost ponechaná v kompetenci KS</w:t>
      </w:r>
    </w:p>
    <w:p w:rsidR="00DC1795" w:rsidRPr="00ED38E9" w:rsidRDefault="00DC1795" w:rsidP="00F2125B">
      <w:pPr>
        <w:spacing w:before="120" w:after="120"/>
        <w:ind w:left="567"/>
        <w:rPr>
          <w:rFonts w:eastAsia="Calibri" w:cs="Arial"/>
          <w:noProof w:val="0"/>
          <w:szCs w:val="22"/>
          <w:lang w:bidi="ar-SA"/>
        </w:rPr>
      </w:pPr>
      <w:r w:rsidRPr="00ED38E9">
        <w:rPr>
          <w:rFonts w:eastAsia="Calibri" w:cs="Arial"/>
          <w:noProof w:val="0"/>
          <w:szCs w:val="22"/>
          <w:lang w:bidi="ar-SA"/>
        </w:rPr>
        <w:t>Varianta 1a - V rámci stanovení pravidel pro získání oprávnění k provozování KS jsou stanoveny minimální požadavky na formu osvětové a propagační činnosti.</w:t>
      </w:r>
    </w:p>
    <w:p w:rsidR="00DC1795" w:rsidRPr="00ED38E9" w:rsidRDefault="00DC1795" w:rsidP="00F2125B">
      <w:pPr>
        <w:spacing w:before="120" w:after="120"/>
        <w:ind w:left="567"/>
        <w:rPr>
          <w:rFonts w:eastAsia="Calibri" w:cs="Arial"/>
          <w:noProof w:val="0"/>
          <w:szCs w:val="22"/>
          <w:lang w:bidi="ar-SA"/>
        </w:rPr>
      </w:pPr>
      <w:r w:rsidRPr="00ED38E9">
        <w:rPr>
          <w:rFonts w:eastAsia="Calibri" w:cs="Arial"/>
          <w:noProof w:val="0"/>
          <w:szCs w:val="22"/>
          <w:lang w:bidi="ar-SA"/>
        </w:rPr>
        <w:t>Varianta 1b - Zákonem je zavedena minimální výše prostředků určených na osvětu a propagaci.</w:t>
      </w:r>
    </w:p>
    <w:p w:rsidR="00DC1795" w:rsidRPr="00ED38E9" w:rsidRDefault="00DC1795" w:rsidP="00F2125B">
      <w:pPr>
        <w:spacing w:before="120" w:after="120"/>
        <w:ind w:left="567"/>
        <w:rPr>
          <w:rFonts w:eastAsia="Calibri" w:cs="Arial"/>
          <w:noProof w:val="0"/>
          <w:szCs w:val="22"/>
          <w:lang w:bidi="ar-SA"/>
        </w:rPr>
      </w:pPr>
      <w:r w:rsidRPr="00ED38E9">
        <w:rPr>
          <w:rFonts w:eastAsia="Calibri" w:cs="Arial"/>
          <w:noProof w:val="0"/>
          <w:szCs w:val="22"/>
          <w:lang w:bidi="ar-SA"/>
        </w:rPr>
        <w:t>Varianta 1c – Zákonem je zavedena minimální a zároveň i maximální výše prostředků určených na osvětu a propagaci.</w:t>
      </w:r>
    </w:p>
    <w:p w:rsidR="00DC1795" w:rsidRPr="00ED38E9" w:rsidRDefault="00DC1795" w:rsidP="00F2125B">
      <w:pPr>
        <w:spacing w:before="120" w:after="120"/>
        <w:rPr>
          <w:rFonts w:eastAsia="Calibri" w:cs="Arial"/>
          <w:noProof w:val="0"/>
          <w:szCs w:val="22"/>
          <w:lang w:bidi="ar-SA"/>
        </w:rPr>
      </w:pPr>
      <w:r w:rsidRPr="00ED38E9">
        <w:rPr>
          <w:rFonts w:eastAsia="Calibri" w:cs="Arial"/>
          <w:b/>
          <w:noProof w:val="0"/>
          <w:szCs w:val="22"/>
          <w:lang w:bidi="ar-SA"/>
        </w:rPr>
        <w:t>Varianta 2</w:t>
      </w:r>
      <w:r w:rsidRPr="00ED38E9">
        <w:rPr>
          <w:rFonts w:eastAsia="Calibri" w:cs="Arial"/>
          <w:noProof w:val="0"/>
          <w:szCs w:val="22"/>
          <w:lang w:bidi="ar-SA"/>
        </w:rPr>
        <w:t xml:space="preserve"> – Osvěta a propagace je řízena centrálně a všechny KS přispívají podle předem určeného klíče</w:t>
      </w:r>
    </w:p>
    <w:p w:rsidR="00DC1795" w:rsidRPr="00ED38E9" w:rsidRDefault="00DC1795" w:rsidP="0011664A">
      <w:pPr>
        <w:pStyle w:val="Nadpis2"/>
        <w:rPr>
          <w:rFonts w:eastAsia="Calibri"/>
          <w:lang w:bidi="ar-SA"/>
        </w:rPr>
      </w:pPr>
      <w:bookmarkStart w:id="130" w:name="_Toc441759903"/>
      <w:r w:rsidRPr="00ED38E9">
        <w:rPr>
          <w:rFonts w:eastAsia="Calibri"/>
          <w:lang w:bidi="ar-SA"/>
        </w:rPr>
        <w:t>Identifikace nákladů a přínosů</w:t>
      </w:r>
      <w:bookmarkEnd w:id="130"/>
    </w:p>
    <w:p w:rsidR="00DC1795" w:rsidRPr="00ED38E9" w:rsidRDefault="00DC1795" w:rsidP="00F2125B">
      <w:pPr>
        <w:spacing w:before="120" w:after="120"/>
        <w:rPr>
          <w:rFonts w:eastAsia="Calibri" w:cs="Arial"/>
          <w:noProof w:val="0"/>
          <w:szCs w:val="22"/>
          <w:lang w:bidi="ar-SA"/>
        </w:rPr>
      </w:pPr>
      <w:r w:rsidRPr="00ED38E9">
        <w:rPr>
          <w:rFonts w:eastAsia="Calibri" w:cs="Arial"/>
          <w:noProof w:val="0"/>
          <w:szCs w:val="22"/>
          <w:lang w:bidi="ar-SA"/>
        </w:rPr>
        <w:t>Varianta 0 – Nepředstavuje náklady pro dotčené subjekty</w:t>
      </w:r>
    </w:p>
    <w:p w:rsidR="00DC1795" w:rsidRPr="00ED38E9" w:rsidRDefault="00DC1795" w:rsidP="00F2125B">
      <w:pPr>
        <w:spacing w:before="120" w:after="120"/>
        <w:rPr>
          <w:rFonts w:eastAsia="Calibri" w:cs="Arial"/>
          <w:noProof w:val="0"/>
          <w:szCs w:val="22"/>
          <w:lang w:bidi="ar-SA"/>
        </w:rPr>
      </w:pPr>
      <w:r w:rsidRPr="00ED38E9">
        <w:rPr>
          <w:rFonts w:eastAsia="Calibri" w:cs="Arial"/>
          <w:noProof w:val="0"/>
          <w:szCs w:val="22"/>
          <w:lang w:bidi="ar-SA"/>
        </w:rPr>
        <w:t>Varianta 1a - V rámci stanovení pravidel pro získání oprávnění k provozování KS jsou stanoveny minimální požadavky na formu osvětové a propagační činnosti</w:t>
      </w:r>
      <w:r w:rsidR="00FA23E6">
        <w:rPr>
          <w:rFonts w:eastAsia="Calibri" w:cs="Arial"/>
          <w:noProof w:val="0"/>
          <w:szCs w:val="22"/>
          <w:lang w:bidi="ar-SA"/>
        </w:rPr>
        <w:t xml:space="preserve"> formou prováděcího právního předpisu (vyhlášky).</w:t>
      </w:r>
    </w:p>
    <w:p w:rsidR="00DC1795" w:rsidRPr="00ED38E9" w:rsidRDefault="00DC1795" w:rsidP="00F2125B">
      <w:pPr>
        <w:spacing w:before="120" w:after="120"/>
        <w:rPr>
          <w:rFonts w:eastAsia="Calibri" w:cs="Arial"/>
          <w:noProof w:val="0"/>
          <w:szCs w:val="22"/>
          <w:lang w:bidi="ar-SA"/>
        </w:rPr>
      </w:pPr>
      <w:r w:rsidRPr="00ED38E9">
        <w:rPr>
          <w:rFonts w:eastAsia="Calibri" w:cs="Arial"/>
          <w:noProof w:val="0"/>
          <w:szCs w:val="22"/>
          <w:lang w:bidi="ar-SA"/>
        </w:rPr>
        <w:t xml:space="preserve">Nejjednodušší možnou úpravou stávajícího stavu je </w:t>
      </w:r>
      <w:r w:rsidR="00FA23E6">
        <w:rPr>
          <w:rFonts w:eastAsia="Calibri" w:cs="Arial"/>
          <w:noProof w:val="0"/>
          <w:szCs w:val="22"/>
          <w:lang w:bidi="ar-SA"/>
        </w:rPr>
        <w:t>prostřednictvím prováděcí právní vyhlášky</w:t>
      </w:r>
      <w:r w:rsidRPr="00ED38E9">
        <w:rPr>
          <w:rFonts w:eastAsia="Calibri" w:cs="Arial"/>
          <w:noProof w:val="0"/>
          <w:szCs w:val="22"/>
          <w:lang w:bidi="ar-SA"/>
        </w:rPr>
        <w:t xml:space="preserve"> stanovit minimální požadavky na propagaci a osvětu. Tato varianta </w:t>
      </w:r>
      <w:r w:rsidR="00AA303F">
        <w:rPr>
          <w:rFonts w:eastAsia="Calibri" w:cs="Arial"/>
          <w:noProof w:val="0"/>
          <w:szCs w:val="22"/>
          <w:lang w:bidi="ar-SA"/>
        </w:rPr>
        <w:t>je optimální způsob, jak stanovit jednotné požadavky na osvětové a propagační činnosti pro všechny kolektivní systémy</w:t>
      </w:r>
      <w:r w:rsidRPr="00ED38E9">
        <w:rPr>
          <w:rFonts w:eastAsia="Calibri" w:cs="Arial"/>
          <w:noProof w:val="0"/>
          <w:szCs w:val="22"/>
          <w:lang w:bidi="ar-SA"/>
        </w:rPr>
        <w:t xml:space="preserve">. Její zavedení nepředstavuje v případě správného stanovení minimálních požadavků na osvětu a propagaci zásadní náklady. Jedinou otázkou je definice těchto požadavků. </w:t>
      </w:r>
      <w:r w:rsidR="00AA303F">
        <w:rPr>
          <w:rFonts w:eastAsia="Calibri" w:cs="Arial"/>
          <w:noProof w:val="0"/>
          <w:szCs w:val="22"/>
          <w:lang w:bidi="ar-SA"/>
        </w:rPr>
        <w:t>Je zde předpoklad, že tyto požadavky se budou v čase měnit, a je tedy vhodné, aby MŽP mělo možnost revidovat příslušný podzákonný předpis.</w:t>
      </w:r>
    </w:p>
    <w:p w:rsidR="00DC1795" w:rsidRPr="00ED38E9" w:rsidRDefault="00DC1795" w:rsidP="00F2125B">
      <w:pPr>
        <w:keepNext/>
        <w:spacing w:before="120" w:after="120"/>
        <w:rPr>
          <w:rFonts w:eastAsia="Calibri" w:cs="Arial"/>
          <w:noProof w:val="0"/>
          <w:szCs w:val="22"/>
          <w:lang w:bidi="ar-SA"/>
        </w:rPr>
      </w:pPr>
      <w:r w:rsidRPr="00ED38E9">
        <w:rPr>
          <w:rFonts w:eastAsia="Calibri" w:cs="Arial"/>
          <w:noProof w:val="0"/>
          <w:szCs w:val="22"/>
          <w:lang w:bidi="ar-SA"/>
        </w:rPr>
        <w:t>Varianta 1a: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Při správném nastavení minimální</w:t>
            </w:r>
            <w:r w:rsidR="00AA303F">
              <w:rPr>
                <w:rFonts w:eastAsia="MS Mincho" w:cs="Arial"/>
                <w:noProof w:val="0"/>
                <w:sz w:val="20"/>
                <w:szCs w:val="20"/>
                <w:lang w:bidi="ar-SA"/>
              </w:rPr>
              <w:t>ch</w:t>
            </w:r>
            <w:r w:rsidRPr="00ED38E9">
              <w:rPr>
                <w:rFonts w:eastAsia="MS Mincho" w:cs="Arial"/>
                <w:noProof w:val="0"/>
                <w:sz w:val="20"/>
                <w:szCs w:val="20"/>
                <w:lang w:bidi="ar-SA"/>
              </w:rPr>
              <w:t xml:space="preserve"> požadavků na propagaci a osvětu možnost dosažení vyšší úrovně sběru</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Potřeba kontroly KS ohledně dodržování minimálních požadavků na osvětu a propagaci</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současných investic do osvěty a propagace nesplňující minimální požadavky dodatečné náklady ve výši zajištění plnění minimálních požadavků</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w:t>
            </w:r>
            <w:r w:rsidR="002E2185" w:rsidRPr="00ED38E9">
              <w:rPr>
                <w:rFonts w:eastAsia="MS Mincho" w:cs="Arial"/>
                <w:noProof w:val="0"/>
                <w:sz w:val="20"/>
                <w:szCs w:val="20"/>
                <w:lang w:bidi="ar-SA"/>
              </w:rPr>
              <w:t xml:space="preserve"> </w:t>
            </w:r>
            <w:r w:rsidRPr="00ED38E9">
              <w:rPr>
                <w:rFonts w:eastAsia="MS Mincho" w:cs="Arial"/>
                <w:noProof w:val="0"/>
                <w:sz w:val="20"/>
                <w:szCs w:val="20"/>
                <w:lang w:bidi="ar-SA"/>
              </w:rPr>
              <w:t>Lepší znalost a orientace v problematice, vyšší informovanost (tj. nižší náklady na získávání informací o tom, co s daným OEEZ udělat)</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zvýšení recyklačního poplatku v důsledku nutnosti vyšších investic do propagace a osvěty ke splnění minimální výše investice</w:t>
            </w:r>
          </w:p>
        </w:tc>
      </w:tr>
    </w:tbl>
    <w:p w:rsidR="00DC1795" w:rsidRPr="00ED38E9" w:rsidRDefault="00DC1795" w:rsidP="003E2969">
      <w:pPr>
        <w:keepNext/>
        <w:spacing w:before="120" w:after="120"/>
        <w:rPr>
          <w:rFonts w:eastAsia="Calibri" w:cs="Arial"/>
          <w:noProof w:val="0"/>
          <w:szCs w:val="22"/>
          <w:lang w:bidi="ar-SA"/>
        </w:rPr>
      </w:pPr>
      <w:r w:rsidRPr="00ED38E9">
        <w:rPr>
          <w:rFonts w:eastAsia="Calibri" w:cs="Arial"/>
          <w:noProof w:val="0"/>
          <w:szCs w:val="22"/>
          <w:lang w:bidi="ar-SA"/>
        </w:rPr>
        <w:lastRenderedPageBreak/>
        <w:t>Varianta 1b – Stanovení minimální výše prostředků směřujících na osvětu a propagaci</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 xml:space="preserve">Jedním z možných přístupů k výpočtu stanovení minimální výše prostředků je % z tržeb daného kolektivního systému. V roce 2013 představovaly tržby KS více jak 500 mil. Kč, pak pokud by byly náklady na propagační a osvětovou činnost definovány např. jako 1% z tržeb, investice do propagace a osvětové činnosti všech KS by dosahovala 5 mil. Kč. </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Propagační a osvětová činnost může mít mnoho forem a podob. Například měsíční nájem billboardu v Praze se dle lokality může pohybovat v rozmezí 3 – 14 tis. Kč. Cena za jeden 30 sekundový rozhlasový spot se pohybuje přibližně mezi 3 – 5 tis. Kč. V případě TV spotu se cena odvíjí od procenta cílové skupiny, které sleduje danou reklamu. Za půlminutový TV spot, na který se dívá jedno procento z cílové skupiny, se cena pohybuje v nižších řádech desítek tisíc korun v závislosti na vysílacím čase. Mimo výše uvedená náklady na reklamu je zapotřebí počítat i s náklady na výrobu daného typu reklamy</w:t>
      </w:r>
      <w:r w:rsidRPr="00ED38E9">
        <w:rPr>
          <w:rFonts w:eastAsia="Calibri" w:cs="Arial"/>
          <w:noProof w:val="0"/>
          <w:szCs w:val="22"/>
          <w:vertAlign w:val="superscript"/>
          <w:lang w:bidi="ar-SA"/>
        </w:rPr>
        <w:footnoteReference w:id="12"/>
      </w:r>
      <w:r w:rsidRPr="00ED38E9">
        <w:rPr>
          <w:rFonts w:eastAsia="Calibri" w:cs="Arial"/>
          <w:noProof w:val="0"/>
          <w:szCs w:val="22"/>
          <w:lang w:bidi="ar-SA"/>
        </w:rPr>
        <w:t xml:space="preserve">. </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Pro konkrétní KS by pak mohly nastat dvě situace: v případě stanovení minimálního limitu investice do osvěty a propagace pod jeho současnou úrovní je takové stanovení zbytečné a jeho efekt je nulový či dokonce negativní (snížení prostředků na propagaci); pokud by naopak došlo ke stanovení příliš ambiciózního cíle, může dojít k negativnímu vlivu ve formě zbytečného utrácení za propagační a osvětovou činnost bez prokazatelného efektu na úroveň sběru, ale s důsledkem růstu výše recyklačního poplatku.</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S ohledem na obtížné rozhodnutí o adekvátnosti minimální výše vynaložených prostředků považujeme její stanovení za zbytečné, neboť v případě, že s KS bude moci být zahájeno správní řízení o odejmutí oprávnění z důvodu neplnění cíle sběru, budou KS motivovány investovat odpovídající výši do propagace a osvěty.</w:t>
      </w:r>
    </w:p>
    <w:p w:rsidR="00DC1795" w:rsidRPr="00ED38E9" w:rsidRDefault="00DC1795" w:rsidP="003E2969">
      <w:pPr>
        <w:keepNext/>
        <w:spacing w:before="120" w:after="120"/>
        <w:rPr>
          <w:rFonts w:eastAsia="Calibri" w:cs="Arial"/>
          <w:noProof w:val="0"/>
          <w:szCs w:val="22"/>
          <w:lang w:bidi="ar-SA"/>
        </w:rPr>
      </w:pPr>
      <w:r w:rsidRPr="00ED38E9">
        <w:rPr>
          <w:rFonts w:eastAsia="Calibri" w:cs="Arial"/>
          <w:noProof w:val="0"/>
          <w:szCs w:val="22"/>
          <w:lang w:bidi="ar-SA"/>
        </w:rPr>
        <w:t>Varianta 1b</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Při správném nastavení minimální výše prostředků na propagaci a osvětu možnost dosažení vyšší úrovně sběru</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Potřeba kontroly KS ohledně výše minimálních investic do propagace a osvěty</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i/>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007A0D35"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Zajištění minimálních požadavků na osvětu a propagaci sníží riziko černého </w:t>
            </w:r>
            <w:proofErr w:type="spellStart"/>
            <w:r w:rsidRPr="00ED38E9">
              <w:rPr>
                <w:rFonts w:eastAsia="MS Mincho" w:cs="Arial"/>
                <w:noProof w:val="0"/>
                <w:sz w:val="20"/>
                <w:szCs w:val="20"/>
                <w:lang w:bidi="ar-SA"/>
              </w:rPr>
              <w:t>pasažérství</w:t>
            </w:r>
            <w:proofErr w:type="spellEnd"/>
            <w:r w:rsidRPr="00ED38E9">
              <w:rPr>
                <w:rFonts w:eastAsia="MS Mincho" w:cs="Arial"/>
                <w:noProof w:val="0"/>
                <w:sz w:val="20"/>
                <w:szCs w:val="20"/>
                <w:lang w:bidi="ar-SA"/>
              </w:rPr>
              <w:t xml:space="preserve"> v oblasti obecné osvěty a může mít pozitivní dopad na výši úrovně sběru.</w:t>
            </w:r>
            <w:r w:rsidRPr="00ED38E9">
              <w:rPr>
                <w:rFonts w:eastAsia="MS Mincho" w:cs="Arial"/>
                <w:i/>
                <w:noProof w:val="0"/>
                <w:sz w:val="20"/>
                <w:szCs w:val="20"/>
                <w:lang w:bidi="ar-SA"/>
              </w:rPr>
              <w:t xml:space="preserve"> </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současných investic do osvěty a propagace pod požadovanou minimální úrovní dodatečné náklady ve výši tohoto rozdílu.</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znalost a orientace v problematice, vyšší informovanost (tj. nižší náklady na získávání informací o tom, co s daným OEEZ udělat)</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zvýšení recyklačního poplatku v důsledku nutnosti vyšších investic do propagace a osvěty ke splnění minimální výše investice</w:t>
            </w:r>
          </w:p>
        </w:tc>
      </w:tr>
    </w:tbl>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lastRenderedPageBreak/>
        <w:t>Varianta 1c – Stanovení minimální a zároveň maximální výše prostředků směřujících na osvětu a propagaci</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Dalším možným přístupem je rozšířit variantu 1b, a to o stanovení zároveň maximálního limitu prostředků určených k propagaci a osvětové činnosti. Stanovení maximální výše může být motivováno snahou zamezit případnému vyvádění prostředků z KS za pomoci neopodstatněných nákladů na osvětu a propagaci a tím prodražovat celý systém. Přínosy a náklady takového systému vychází z varianty 1b a představují obdobné problémy, neboť by MŽP muselo odhadnout adekvátní prostředky na osvětu a nad tímto limitem stanovit maximální možnou míru prostředků využitelných na osvětu.</w:t>
      </w:r>
    </w:p>
    <w:p w:rsidR="00DC1795" w:rsidRPr="00ED38E9" w:rsidRDefault="00DC1795" w:rsidP="003E2969">
      <w:pPr>
        <w:keepNext/>
        <w:spacing w:before="120" w:after="120"/>
        <w:rPr>
          <w:rFonts w:eastAsia="Calibri" w:cs="Arial"/>
          <w:noProof w:val="0"/>
          <w:szCs w:val="22"/>
          <w:lang w:bidi="ar-SA"/>
        </w:rPr>
      </w:pPr>
      <w:r w:rsidRPr="00ED38E9">
        <w:rPr>
          <w:rFonts w:eastAsia="Calibri" w:cs="Arial"/>
          <w:noProof w:val="0"/>
          <w:szCs w:val="22"/>
          <w:lang w:bidi="ar-SA"/>
        </w:rPr>
        <w:t>Varianta 1c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Při správném nastavení minimální výše prostředků na propagaci a osvětu možnost dosažení vyšší úrovně sběru. Omezení případného plýtvání prostřednictvím předraženého PR.</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Potřeba kontroly KS ohledně výše minimálních a maximální investic do propagace a osvěty</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i/>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 </w:t>
            </w:r>
            <w:r w:rsidRPr="00ED38E9">
              <w:rPr>
                <w:rFonts w:eastAsia="MS Mincho" w:cs="Arial"/>
                <w:noProof w:val="0"/>
                <w:sz w:val="20"/>
                <w:szCs w:val="20"/>
                <w:lang w:bidi="ar-SA"/>
              </w:rPr>
              <w:t>V případě současných investic do osvěty a propagace nad požadovanou maximální úrovní dodatečné úspory ve výši tohoto rozdílu</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současných investic do osvěty a propagace pod požadovanou minimální úrovní dodatečné náklady ve výši rozdílu. Nemožnost využívat vlastní přístup k osvětě a propagaci a nutnost v případě neplnění cílů sběru využít významněji jiné možnosti stimulace sběru (platby za odevzdání elektrozařízení), což může prodražovat celý systém zpětného odběru.</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rsidR="007A0D35" w:rsidRPr="000B7CBF" w:rsidTr="007A0D35">
        <w:trPr>
          <w:trHeight w:val="397"/>
        </w:trPr>
        <w:tc>
          <w:tcPr>
            <w:tcW w:w="9180" w:type="dxa"/>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znalost a orientace v problematice, vyšší informovanost (tj. nižší náklady na získávání informací o tom, co s daným OEEZ udělat)</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zvýšení recyklačního poplatku v důsledku nutnosti vyšších investic do propagace a osvěty ke splnění minimální výše investice. Zároveň možnost zvýšení recyklačního poplatku v důsledku nemožnosti stimulovat sběr přímo přes propagaci a osvětu a nutnosti využít jiné stimuly (platba za odevzdané elektrozařízení)</w:t>
            </w:r>
          </w:p>
        </w:tc>
      </w:tr>
    </w:tbl>
    <w:p w:rsidR="00DC1795" w:rsidRPr="00ED38E9" w:rsidRDefault="002E2185" w:rsidP="003E2969">
      <w:pPr>
        <w:spacing w:before="120" w:after="120"/>
        <w:rPr>
          <w:rFonts w:eastAsia="Calibri" w:cs="Arial"/>
          <w:noProof w:val="0"/>
          <w:szCs w:val="22"/>
          <w:lang w:bidi="ar-SA"/>
        </w:rPr>
      </w:pPr>
      <w:r w:rsidRPr="00ED38E9">
        <w:rPr>
          <w:rFonts w:eastAsia="Calibri" w:cs="Arial"/>
          <w:noProof w:val="0"/>
          <w:szCs w:val="22"/>
          <w:lang w:bidi="ar-SA"/>
        </w:rPr>
        <w:br/>
      </w:r>
      <w:r w:rsidR="00DC1795" w:rsidRPr="00ED38E9">
        <w:rPr>
          <w:rFonts w:eastAsia="Calibri" w:cs="Arial"/>
          <w:b/>
          <w:noProof w:val="0"/>
          <w:szCs w:val="22"/>
          <w:lang w:bidi="ar-SA"/>
        </w:rPr>
        <w:t>Varianta 2</w:t>
      </w:r>
      <w:r w:rsidR="00DC1795" w:rsidRPr="00ED38E9">
        <w:rPr>
          <w:rFonts w:eastAsia="Calibri" w:cs="Arial"/>
          <w:noProof w:val="0"/>
          <w:szCs w:val="22"/>
          <w:lang w:bidi="ar-SA"/>
        </w:rPr>
        <w:t xml:space="preserve"> – Osvěta a propagace je řízena centrálně a všechny KS přispívají podle předem určeného klíče</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V případě úvah o centrálním řízení je zapotřebí uvažovat o nákladech spojených s centrálním zajištěním propagace a osvěty. Protože není zřejmé, jak by centrální zajištění osvěty a propagace fungovalo a kdo by jej případně zajišťoval (</w:t>
      </w:r>
      <w:r w:rsidR="00AA303F">
        <w:rPr>
          <w:rFonts w:eastAsia="Calibri" w:cs="Arial"/>
          <w:noProof w:val="0"/>
          <w:szCs w:val="22"/>
          <w:lang w:bidi="ar-SA"/>
        </w:rPr>
        <w:t xml:space="preserve">např. </w:t>
      </w:r>
      <w:r w:rsidRPr="00ED38E9">
        <w:rPr>
          <w:rFonts w:eastAsia="Calibri" w:cs="Arial"/>
          <w:noProof w:val="0"/>
          <w:szCs w:val="22"/>
          <w:lang w:bidi="ar-SA"/>
        </w:rPr>
        <w:t>MŽP</w:t>
      </w:r>
      <w:r w:rsidR="00AA303F">
        <w:rPr>
          <w:rFonts w:eastAsia="Calibri" w:cs="Arial"/>
          <w:noProof w:val="0"/>
          <w:szCs w:val="22"/>
          <w:lang w:bidi="ar-SA"/>
        </w:rPr>
        <w:t>, resp. stát</w:t>
      </w:r>
      <w:r w:rsidRPr="00ED38E9">
        <w:rPr>
          <w:rFonts w:eastAsia="Calibri" w:cs="Arial"/>
          <w:noProof w:val="0"/>
          <w:szCs w:val="22"/>
          <w:lang w:bidi="ar-SA"/>
        </w:rPr>
        <w:t>), je Varianta 2 rozebrána jenom z pohledu možných přínosů a nákladů pro dotčené subjekty na bázi kvalitativních přínosů a nákladů, nikoliv kvantitativních.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0"/>
      </w:tblGrid>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Státní správa</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xml:space="preserve">– Centrální zajištění propagace a osvěty </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Potřeba kontroly KS ohledně výše minimálních investic do propagace a osvěty. Další náklady (zejména personální) by představovalo centrální zajištění, v případě že by se osvětová a propagační činnost centralizovala pod státní správu (MŽP)</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lastRenderedPageBreak/>
              <w:t>Kolektivní systémy/výrobci</w:t>
            </w:r>
          </w:p>
        </w:tc>
      </w:tr>
      <w:tr w:rsidR="007A0D35" w:rsidRPr="000B7CBF" w:rsidTr="00ED38E9">
        <w:trPr>
          <w:trHeight w:val="397"/>
        </w:trPr>
        <w:tc>
          <w:tcPr>
            <w:tcW w:w="9180" w:type="dxa"/>
            <w:shd w:val="clear" w:color="auto" w:fill="auto"/>
            <w:vAlign w:val="center"/>
          </w:tcPr>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V případě současných investic do osvěty a propagace pod požadovanou minimální úrovní dodatečné náklady ve výši rozdílu. Nemožnost využívat originální přistup k osvětě a propagaci a nutnost v případě neplnění cílů sběru využít významněji jiné možnosti stimulace sběru (platby za odevzdání elektrozařízení), což může prodražovat celý systém zpětného odběru. Další náklady (zejména personální) by představovalo centrální zajištění, v případě že by se osvětová a propagační činnost centralizovala pod KS</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b/>
                <w:noProof w:val="0"/>
                <w:sz w:val="20"/>
                <w:szCs w:val="20"/>
                <w:lang w:bidi="ar-SA"/>
              </w:rPr>
            </w:pPr>
            <w:r w:rsidRPr="00ED38E9">
              <w:rPr>
                <w:rFonts w:eastAsia="MS Mincho" w:cs="Arial"/>
                <w:b/>
                <w:noProof w:val="0"/>
                <w:sz w:val="20"/>
                <w:szCs w:val="20"/>
                <w:lang w:eastAsia="cs-CZ" w:bidi="ar-SA"/>
              </w:rPr>
              <w:t>Veřejnost</w:t>
            </w:r>
          </w:p>
        </w:tc>
      </w:tr>
      <w:tr w:rsidR="007A0D35" w:rsidRPr="000B7CBF" w:rsidTr="00ED38E9">
        <w:trPr>
          <w:trHeight w:val="397"/>
        </w:trPr>
        <w:tc>
          <w:tcPr>
            <w:tcW w:w="9180" w:type="dxa"/>
            <w:shd w:val="clear" w:color="auto" w:fill="auto"/>
            <w:vAlign w:val="center"/>
          </w:tcPr>
          <w:p w:rsidR="00DC1795" w:rsidRPr="00ED38E9" w:rsidRDefault="00DC1795" w:rsidP="002E2185">
            <w:pPr>
              <w:keepNext/>
              <w:spacing w:before="20" w:after="20"/>
              <w:jc w:val="left"/>
              <w:rPr>
                <w:rFonts w:eastAsia="MS Mincho" w:cs="Arial"/>
                <w:noProof w:val="0"/>
                <w:sz w:val="20"/>
                <w:szCs w:val="20"/>
                <w:lang w:bidi="ar-SA"/>
              </w:rPr>
            </w:pPr>
            <w:r w:rsidRPr="00ED38E9">
              <w:rPr>
                <w:rFonts w:eastAsia="MS Mincho" w:cs="Arial"/>
                <w:b/>
                <w:i/>
                <w:noProof w:val="0"/>
                <w:sz w:val="20"/>
                <w:szCs w:val="20"/>
                <w:lang w:bidi="ar-SA"/>
              </w:rPr>
              <w:t>Přínosy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Lepší znalost a orientace v problematice, vyšší informovanost (tj. nižší náklady na získávání informací o tom, co s daným OEEZ udělat)</w:t>
            </w:r>
          </w:p>
          <w:p w:rsidR="00DC1795" w:rsidRPr="00ED38E9" w:rsidRDefault="00DC1795" w:rsidP="002E2185">
            <w:pPr>
              <w:spacing w:before="20" w:after="20"/>
              <w:jc w:val="left"/>
              <w:rPr>
                <w:rFonts w:eastAsia="MS Mincho" w:cs="Arial"/>
                <w:noProof w:val="0"/>
                <w:sz w:val="20"/>
                <w:szCs w:val="20"/>
                <w:lang w:bidi="ar-SA"/>
              </w:rPr>
            </w:pPr>
            <w:r w:rsidRPr="00ED38E9">
              <w:rPr>
                <w:rFonts w:eastAsia="MS Mincho" w:cs="Arial"/>
                <w:b/>
                <w:i/>
                <w:noProof w:val="0"/>
                <w:sz w:val="20"/>
                <w:szCs w:val="20"/>
                <w:lang w:bidi="ar-SA"/>
              </w:rPr>
              <w:t>Náklady</w:t>
            </w:r>
            <w:r w:rsidRPr="00ED38E9">
              <w:rPr>
                <w:rFonts w:eastAsia="MS Mincho" w:cs="Arial"/>
                <w:i/>
                <w:noProof w:val="0"/>
                <w:sz w:val="20"/>
                <w:szCs w:val="20"/>
                <w:lang w:bidi="ar-SA"/>
              </w:rPr>
              <w:t xml:space="preserve"> </w:t>
            </w:r>
            <w:r w:rsidRPr="00ED38E9">
              <w:rPr>
                <w:rFonts w:eastAsia="MS Mincho" w:cs="Arial"/>
                <w:noProof w:val="0"/>
                <w:sz w:val="20"/>
                <w:szCs w:val="20"/>
                <w:lang w:bidi="ar-SA"/>
              </w:rPr>
              <w:t>– Možnost zvýšení recyklačního poplatku v důsledku nemožnosti stimulovat sběr přímo přes propagaci a osvětu a nutnosti využít jiné stimuly (platba za odevzdané elektrozařízení)</w:t>
            </w:r>
          </w:p>
        </w:tc>
      </w:tr>
    </w:tbl>
    <w:p w:rsidR="008867C1" w:rsidRDefault="008867C1" w:rsidP="006F5445">
      <w:pPr>
        <w:pStyle w:val="Titulek"/>
      </w:pPr>
      <w:r>
        <w:t xml:space="preserve">Tabulka </w:t>
      </w:r>
      <w:r w:rsidR="00381FB7">
        <w:fldChar w:fldCharType="begin"/>
      </w:r>
      <w:r>
        <w:instrText xml:space="preserve"> SEQ Tabulka \* ARABIC </w:instrText>
      </w:r>
      <w:r w:rsidR="00381FB7">
        <w:fldChar w:fldCharType="separate"/>
      </w:r>
      <w:r w:rsidR="00FD5E92">
        <w:t>46</w:t>
      </w:r>
      <w:r w:rsidR="00381FB7">
        <w:fldChar w:fldCharType="end"/>
      </w:r>
      <w:r>
        <w:t>: Souhrn nákladů a přínosů</w:t>
      </w:r>
    </w:p>
    <w:tbl>
      <w:tblPr>
        <w:tblStyle w:val="Mkatabulky17"/>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8867C1" w:rsidRPr="008867C1" w:rsidTr="00AA3350">
        <w:trPr>
          <w:trHeight w:val="64"/>
          <w:jc w:val="center"/>
        </w:trPr>
        <w:tc>
          <w:tcPr>
            <w:tcW w:w="2419" w:type="dxa"/>
            <w:shd w:val="clear" w:color="auto" w:fill="B6B002"/>
            <w:vAlign w:val="center"/>
          </w:tcPr>
          <w:p w:rsidR="008867C1" w:rsidRPr="008867C1" w:rsidRDefault="008867C1" w:rsidP="008867C1">
            <w:pPr>
              <w:spacing w:line="264" w:lineRule="auto"/>
              <w:jc w:val="center"/>
              <w:rPr>
                <w:rFonts w:cs="Arial"/>
                <w:b/>
                <w:noProof w:val="0"/>
                <w:sz w:val="20"/>
                <w:szCs w:val="20"/>
                <w:lang w:bidi="ar-SA"/>
              </w:rPr>
            </w:pPr>
          </w:p>
        </w:tc>
        <w:tc>
          <w:tcPr>
            <w:tcW w:w="3326" w:type="dxa"/>
            <w:shd w:val="clear" w:color="auto" w:fill="B6B002"/>
            <w:vAlign w:val="center"/>
          </w:tcPr>
          <w:p w:rsidR="008867C1" w:rsidRPr="008867C1" w:rsidRDefault="008867C1" w:rsidP="008867C1">
            <w:pPr>
              <w:spacing w:line="264" w:lineRule="auto"/>
              <w:rPr>
                <w:rFonts w:cs="Arial"/>
                <w:b/>
                <w:noProof w:val="0"/>
                <w:sz w:val="20"/>
                <w:szCs w:val="20"/>
                <w:lang w:bidi="ar-SA"/>
              </w:rPr>
            </w:pPr>
            <w:r w:rsidRPr="008867C1">
              <w:rPr>
                <w:rFonts w:cs="Arial"/>
                <w:b/>
                <w:noProof w:val="0"/>
                <w:sz w:val="20"/>
                <w:szCs w:val="20"/>
                <w:lang w:bidi="ar-SA"/>
              </w:rPr>
              <w:t>Náklady</w:t>
            </w:r>
          </w:p>
        </w:tc>
        <w:tc>
          <w:tcPr>
            <w:tcW w:w="3327" w:type="dxa"/>
            <w:shd w:val="clear" w:color="auto" w:fill="B6B002"/>
            <w:vAlign w:val="center"/>
          </w:tcPr>
          <w:p w:rsidR="008867C1" w:rsidRPr="008867C1" w:rsidRDefault="008867C1" w:rsidP="008867C1">
            <w:pPr>
              <w:spacing w:line="264" w:lineRule="auto"/>
              <w:rPr>
                <w:rFonts w:cs="Arial"/>
                <w:b/>
                <w:noProof w:val="0"/>
                <w:sz w:val="20"/>
                <w:szCs w:val="20"/>
                <w:lang w:bidi="ar-SA"/>
              </w:rPr>
            </w:pPr>
            <w:r w:rsidRPr="008867C1">
              <w:rPr>
                <w:rFonts w:cs="Arial"/>
                <w:b/>
                <w:noProof w:val="0"/>
                <w:sz w:val="20"/>
                <w:szCs w:val="20"/>
                <w:lang w:bidi="ar-SA"/>
              </w:rPr>
              <w:t>Přínosy</w:t>
            </w:r>
          </w:p>
        </w:tc>
      </w:tr>
    </w:tbl>
    <w:tbl>
      <w:tblPr>
        <w:tblStyle w:val="Mkatabulky18"/>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9"/>
        <w:gridCol w:w="3326"/>
        <w:gridCol w:w="3327"/>
      </w:tblGrid>
      <w:tr w:rsidR="008867C1" w:rsidRPr="00ED38E9" w:rsidTr="00AA3350">
        <w:trPr>
          <w:trHeight w:val="64"/>
          <w:jc w:val="center"/>
        </w:trPr>
        <w:tc>
          <w:tcPr>
            <w:tcW w:w="9072" w:type="dxa"/>
            <w:gridSpan w:val="3"/>
            <w:shd w:val="clear" w:color="auto" w:fill="D9D9D9"/>
            <w:vAlign w:val="center"/>
          </w:tcPr>
          <w:p w:rsidR="008867C1" w:rsidRPr="00ED38E9" w:rsidRDefault="008867C1" w:rsidP="00AA3350">
            <w:pPr>
              <w:spacing w:before="120" w:after="120"/>
              <w:rPr>
                <w:rFonts w:cs="Arial"/>
                <w:b/>
                <w:noProof w:val="0"/>
                <w:szCs w:val="22"/>
                <w:lang w:bidi="ar-SA"/>
              </w:rPr>
            </w:pPr>
            <w:r w:rsidRPr="00ED38E9">
              <w:rPr>
                <w:rFonts w:cs="Arial"/>
                <w:b/>
                <w:szCs w:val="22"/>
                <w:lang w:bidi="ar-SA"/>
              </w:rPr>
              <w:t>Propagační a osvětová činnost</w:t>
            </w:r>
          </w:p>
        </w:tc>
      </w:tr>
      <w:tr w:rsidR="008867C1" w:rsidRPr="00ED38E9" w:rsidTr="00AA3350">
        <w:trPr>
          <w:trHeight w:val="64"/>
          <w:jc w:val="center"/>
        </w:trPr>
        <w:tc>
          <w:tcPr>
            <w:tcW w:w="2419" w:type="dxa"/>
            <w:shd w:val="clear" w:color="auto" w:fill="F2F2F2"/>
            <w:vAlign w:val="center"/>
          </w:tcPr>
          <w:p w:rsidR="008867C1" w:rsidRPr="00ED38E9" w:rsidRDefault="008867C1" w:rsidP="00AA3350">
            <w:pPr>
              <w:spacing w:before="60" w:after="60" w:line="240" w:lineRule="auto"/>
              <w:jc w:val="left"/>
              <w:rPr>
                <w:rFonts w:cs="Arial"/>
                <w:sz w:val="20"/>
                <w:szCs w:val="20"/>
                <w:lang w:bidi="ar-SA"/>
              </w:rPr>
            </w:pPr>
            <w:r w:rsidRPr="00ED38E9">
              <w:rPr>
                <w:rFonts w:cs="Arial"/>
                <w:noProof w:val="0"/>
                <w:sz w:val="20"/>
                <w:szCs w:val="20"/>
                <w:lang w:bidi="ar-SA"/>
              </w:rPr>
              <w:t>Varianta 0</w:t>
            </w:r>
          </w:p>
        </w:tc>
        <w:tc>
          <w:tcPr>
            <w:tcW w:w="3326" w:type="dxa"/>
            <w:shd w:val="clear" w:color="auto" w:fill="F2F2F2"/>
            <w:vAlign w:val="center"/>
          </w:tcPr>
          <w:p w:rsidR="008867C1" w:rsidRPr="00ED38E9" w:rsidRDefault="008867C1" w:rsidP="00AA3350">
            <w:pPr>
              <w:spacing w:before="60" w:after="60" w:line="240" w:lineRule="auto"/>
              <w:jc w:val="left"/>
              <w:rPr>
                <w:rFonts w:cs="Arial"/>
                <w:noProof w:val="0"/>
                <w:sz w:val="20"/>
                <w:szCs w:val="20"/>
                <w:lang w:bidi="ar-SA"/>
              </w:rPr>
            </w:pPr>
            <w:r w:rsidRPr="000B7CBF">
              <w:rPr>
                <w:rFonts w:cs="Arial"/>
                <w:noProof w:val="0"/>
                <w:sz w:val="20"/>
                <w:szCs w:val="20"/>
                <w:lang w:bidi="ar-SA"/>
              </w:rPr>
              <w:t>nulová varianta</w:t>
            </w:r>
          </w:p>
        </w:tc>
        <w:tc>
          <w:tcPr>
            <w:tcW w:w="3327" w:type="dxa"/>
            <w:shd w:val="clear" w:color="auto" w:fill="F2F2F2"/>
            <w:vAlign w:val="center"/>
          </w:tcPr>
          <w:p w:rsidR="008867C1" w:rsidRPr="00ED38E9" w:rsidRDefault="008867C1" w:rsidP="00AA3350">
            <w:pPr>
              <w:spacing w:before="60" w:after="60" w:line="240" w:lineRule="auto"/>
              <w:jc w:val="left"/>
              <w:rPr>
                <w:rFonts w:cs="Arial"/>
                <w:noProof w:val="0"/>
                <w:sz w:val="20"/>
                <w:szCs w:val="20"/>
                <w:lang w:bidi="ar-SA"/>
              </w:rPr>
            </w:pPr>
            <w:r w:rsidRPr="000B7CBF">
              <w:rPr>
                <w:rFonts w:cs="Arial"/>
                <w:noProof w:val="0"/>
                <w:sz w:val="20"/>
                <w:szCs w:val="20"/>
                <w:lang w:bidi="ar-SA"/>
              </w:rPr>
              <w:t>nulová varianta</w:t>
            </w:r>
          </w:p>
        </w:tc>
      </w:tr>
      <w:tr w:rsidR="008867C1" w:rsidRPr="00ED38E9" w:rsidTr="00AA3350">
        <w:trPr>
          <w:trHeight w:val="951"/>
          <w:jc w:val="center"/>
        </w:trPr>
        <w:tc>
          <w:tcPr>
            <w:tcW w:w="2419" w:type="dxa"/>
            <w:shd w:val="clear" w:color="auto" w:fill="D9D9D9"/>
            <w:vAlign w:val="center"/>
          </w:tcPr>
          <w:p w:rsidR="008867C1" w:rsidRPr="00ED38E9" w:rsidRDefault="008867C1" w:rsidP="00AA3350">
            <w:pPr>
              <w:spacing w:before="60" w:after="60" w:line="240" w:lineRule="auto"/>
              <w:jc w:val="left"/>
              <w:rPr>
                <w:rFonts w:cs="Arial"/>
                <w:b/>
                <w:noProof w:val="0"/>
                <w:sz w:val="20"/>
                <w:szCs w:val="20"/>
                <w:u w:val="single"/>
                <w:lang w:bidi="ar-SA"/>
              </w:rPr>
            </w:pPr>
            <w:r w:rsidRPr="00ED38E9">
              <w:rPr>
                <w:rFonts w:cs="Arial"/>
                <w:b/>
                <w:noProof w:val="0"/>
                <w:sz w:val="20"/>
                <w:szCs w:val="20"/>
                <w:u w:val="single"/>
                <w:lang w:bidi="ar-SA"/>
              </w:rPr>
              <w:t>Varianta 1a</w:t>
            </w:r>
          </w:p>
        </w:tc>
        <w:tc>
          <w:tcPr>
            <w:tcW w:w="3326" w:type="dxa"/>
            <w:shd w:val="clear" w:color="auto" w:fill="D9D9D9"/>
            <w:vAlign w:val="center"/>
          </w:tcPr>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V případě současných investic do osvěty a propagace nesplňujících minimální požadavky dodatečné náklady ve výši zajištění plnění minimálních požadavků.</w:t>
            </w:r>
          </w:p>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Potřeba kontroly KS ohledně dodržování minimálních požadavků na osvětu a propagaci</w:t>
            </w:r>
          </w:p>
        </w:tc>
        <w:tc>
          <w:tcPr>
            <w:tcW w:w="3327" w:type="dxa"/>
            <w:shd w:val="clear" w:color="auto" w:fill="D9D9D9"/>
            <w:vAlign w:val="center"/>
          </w:tcPr>
          <w:p w:rsidR="008867C1" w:rsidRPr="00ED38E9" w:rsidRDefault="008867C1" w:rsidP="00AA3350">
            <w:pPr>
              <w:spacing w:before="60" w:after="60" w:line="240" w:lineRule="auto"/>
              <w:jc w:val="left"/>
              <w:rPr>
                <w:rFonts w:cs="Arial"/>
                <w:i/>
                <w:noProof w:val="0"/>
                <w:sz w:val="20"/>
                <w:szCs w:val="20"/>
                <w:lang w:bidi="ar-SA"/>
              </w:rPr>
            </w:pPr>
            <w:r w:rsidRPr="00ED38E9">
              <w:rPr>
                <w:rFonts w:cs="Arial"/>
                <w:noProof w:val="0"/>
                <w:sz w:val="20"/>
                <w:szCs w:val="20"/>
                <w:lang w:bidi="ar-SA"/>
              </w:rPr>
              <w:t>zajištění minimálních požadavků na osvětu a propagaci sníží riziko</w:t>
            </w:r>
            <w:r w:rsidR="00AA303F">
              <w:rPr>
                <w:rFonts w:cs="Arial"/>
                <w:noProof w:val="0"/>
                <w:sz w:val="20"/>
                <w:szCs w:val="20"/>
                <w:lang w:bidi="ar-SA"/>
              </w:rPr>
              <w:t xml:space="preserve"> existence </w:t>
            </w:r>
            <w:r w:rsidRPr="00ED38E9">
              <w:rPr>
                <w:rFonts w:cs="Arial"/>
                <w:noProof w:val="0"/>
                <w:sz w:val="20"/>
                <w:szCs w:val="20"/>
                <w:lang w:bidi="ar-SA"/>
              </w:rPr>
              <w:t xml:space="preserve"> černého pasažéra v oblasti obecné osvěty a může mít pozitivní dopad na výši úrovně sběru.</w:t>
            </w:r>
            <w:r w:rsidRPr="00ED38E9">
              <w:rPr>
                <w:rFonts w:cs="Arial"/>
                <w:i/>
                <w:noProof w:val="0"/>
                <w:sz w:val="20"/>
                <w:szCs w:val="20"/>
                <w:lang w:bidi="ar-SA"/>
              </w:rPr>
              <w:t xml:space="preserve"> </w:t>
            </w:r>
          </w:p>
          <w:p w:rsidR="008867C1" w:rsidRPr="00ED38E9" w:rsidRDefault="008867C1" w:rsidP="00AA3350">
            <w:pPr>
              <w:spacing w:before="60" w:after="60" w:line="240" w:lineRule="auto"/>
              <w:jc w:val="left"/>
              <w:rPr>
                <w:rFonts w:cs="Arial"/>
                <w:noProof w:val="0"/>
                <w:sz w:val="20"/>
                <w:szCs w:val="20"/>
                <w:lang w:bidi="ar-SA"/>
              </w:rPr>
            </w:pPr>
          </w:p>
        </w:tc>
      </w:tr>
      <w:tr w:rsidR="008867C1" w:rsidRPr="00ED38E9" w:rsidTr="00AA3350">
        <w:trPr>
          <w:trHeight w:val="1132"/>
          <w:jc w:val="center"/>
        </w:trPr>
        <w:tc>
          <w:tcPr>
            <w:tcW w:w="2419" w:type="dxa"/>
            <w:shd w:val="clear" w:color="auto" w:fill="F2F2F2"/>
            <w:vAlign w:val="center"/>
          </w:tcPr>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Varianta 1b</w:t>
            </w:r>
          </w:p>
        </w:tc>
        <w:tc>
          <w:tcPr>
            <w:tcW w:w="3326" w:type="dxa"/>
            <w:shd w:val="clear" w:color="auto" w:fill="F2F2F2"/>
            <w:vAlign w:val="center"/>
          </w:tcPr>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V případě současných investic do osvěty a propagace nesplňujících minimální požadavky dodatečné náklady ve výši zajištění plnění minimálních požadavků. Potřeba kontroly KS ohledně dodržování minimálních požadavků na osvětu a propagaci.</w:t>
            </w:r>
          </w:p>
        </w:tc>
        <w:tc>
          <w:tcPr>
            <w:tcW w:w="3327" w:type="dxa"/>
            <w:shd w:val="clear" w:color="auto" w:fill="F2F2F2"/>
            <w:vAlign w:val="center"/>
          </w:tcPr>
          <w:p w:rsidR="008867C1" w:rsidRPr="00ED38E9" w:rsidRDefault="008867C1" w:rsidP="00AA3350">
            <w:pPr>
              <w:spacing w:before="60" w:after="60" w:line="240" w:lineRule="auto"/>
              <w:jc w:val="left"/>
              <w:rPr>
                <w:rFonts w:cs="Arial"/>
                <w:i/>
                <w:noProof w:val="0"/>
                <w:sz w:val="20"/>
                <w:szCs w:val="20"/>
                <w:lang w:bidi="ar-SA"/>
              </w:rPr>
            </w:pPr>
            <w:r w:rsidRPr="00ED38E9">
              <w:rPr>
                <w:rFonts w:cs="Arial"/>
                <w:noProof w:val="0"/>
                <w:sz w:val="20"/>
                <w:szCs w:val="20"/>
                <w:lang w:bidi="ar-SA"/>
              </w:rPr>
              <w:t>zajištění minimálních požadavků na osvětu a propagaci sníží riziko černého pasažéra v oblasti obecné osvěty a může mít pozitivní dopad na výši úrovně sběru.</w:t>
            </w:r>
            <w:r w:rsidRPr="00ED38E9">
              <w:rPr>
                <w:rFonts w:cs="Arial"/>
                <w:i/>
                <w:noProof w:val="0"/>
                <w:sz w:val="20"/>
                <w:szCs w:val="20"/>
                <w:lang w:bidi="ar-SA"/>
              </w:rPr>
              <w:t xml:space="preserve"> </w:t>
            </w:r>
          </w:p>
          <w:p w:rsidR="008867C1" w:rsidRPr="00ED38E9" w:rsidRDefault="008867C1" w:rsidP="00AA3350">
            <w:pPr>
              <w:spacing w:before="60" w:after="60" w:line="240" w:lineRule="auto"/>
              <w:jc w:val="left"/>
              <w:rPr>
                <w:rFonts w:cs="Arial"/>
                <w:noProof w:val="0"/>
                <w:sz w:val="20"/>
                <w:szCs w:val="20"/>
                <w:lang w:bidi="ar-SA"/>
              </w:rPr>
            </w:pPr>
          </w:p>
        </w:tc>
      </w:tr>
      <w:tr w:rsidR="008867C1" w:rsidRPr="00ED38E9" w:rsidTr="00AA3350">
        <w:trPr>
          <w:trHeight w:val="624"/>
          <w:jc w:val="center"/>
        </w:trPr>
        <w:tc>
          <w:tcPr>
            <w:tcW w:w="2419" w:type="dxa"/>
            <w:shd w:val="clear" w:color="auto" w:fill="D9D9D9"/>
            <w:vAlign w:val="center"/>
          </w:tcPr>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Varianta 1c</w:t>
            </w:r>
          </w:p>
        </w:tc>
        <w:tc>
          <w:tcPr>
            <w:tcW w:w="3326" w:type="dxa"/>
            <w:shd w:val="clear" w:color="auto" w:fill="D9D9D9"/>
            <w:vAlign w:val="center"/>
          </w:tcPr>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V případě současných investic do osvěty a propagace nesplňujících minimální požadavky dodatečné náklady ve výši zajištění plnění minimálních požadavků.</w:t>
            </w:r>
          </w:p>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Potřeba kontroly KS ohledně dodržování minimálních požadavků na osvětu a propagaci. Nemožnost KS využívat osvětu a propagaci jako jednoho z významných nástrojů na zvýšení úrovně sběru dle vlastního uvážení (pouze do stanoveného limitu)</w:t>
            </w:r>
          </w:p>
        </w:tc>
        <w:tc>
          <w:tcPr>
            <w:tcW w:w="3327" w:type="dxa"/>
            <w:shd w:val="clear" w:color="auto" w:fill="D9D9D9"/>
            <w:vAlign w:val="center"/>
          </w:tcPr>
          <w:p w:rsidR="008867C1" w:rsidRPr="00ED38E9" w:rsidRDefault="008867C1" w:rsidP="00AA3350">
            <w:pPr>
              <w:spacing w:before="60" w:after="60" w:line="240" w:lineRule="auto"/>
              <w:jc w:val="left"/>
              <w:rPr>
                <w:rFonts w:cs="Arial"/>
                <w:i/>
                <w:noProof w:val="0"/>
                <w:sz w:val="20"/>
                <w:szCs w:val="20"/>
                <w:lang w:bidi="ar-SA"/>
              </w:rPr>
            </w:pPr>
            <w:r w:rsidRPr="00ED38E9">
              <w:rPr>
                <w:rFonts w:cs="Arial"/>
                <w:noProof w:val="0"/>
                <w:sz w:val="20"/>
                <w:szCs w:val="20"/>
                <w:lang w:bidi="ar-SA"/>
              </w:rPr>
              <w:t>zajištění minimálních požadavků na osvětu a propagaci sníží riziko černého pasažéra v oblasti obecné osvěty a může mít pozitivní dopad na výši úrovně sběru.</w:t>
            </w:r>
            <w:r w:rsidRPr="00ED38E9">
              <w:rPr>
                <w:rFonts w:cs="Arial"/>
                <w:i/>
                <w:noProof w:val="0"/>
                <w:sz w:val="20"/>
                <w:szCs w:val="20"/>
                <w:lang w:bidi="ar-SA"/>
              </w:rPr>
              <w:t xml:space="preserve"> </w:t>
            </w:r>
          </w:p>
          <w:p w:rsidR="008867C1" w:rsidRPr="00ED38E9" w:rsidRDefault="008867C1" w:rsidP="00AA3350">
            <w:pPr>
              <w:spacing w:before="60" w:after="60" w:line="240" w:lineRule="auto"/>
              <w:jc w:val="left"/>
              <w:rPr>
                <w:rFonts w:cs="Arial"/>
                <w:noProof w:val="0"/>
                <w:sz w:val="20"/>
                <w:szCs w:val="20"/>
                <w:lang w:bidi="ar-SA"/>
              </w:rPr>
            </w:pPr>
          </w:p>
        </w:tc>
      </w:tr>
      <w:tr w:rsidR="008867C1" w:rsidRPr="00ED38E9" w:rsidTr="00AA3350">
        <w:trPr>
          <w:trHeight w:val="64"/>
          <w:jc w:val="center"/>
        </w:trPr>
        <w:tc>
          <w:tcPr>
            <w:tcW w:w="2419" w:type="dxa"/>
            <w:shd w:val="clear" w:color="auto" w:fill="F2F2F2"/>
            <w:vAlign w:val="center"/>
          </w:tcPr>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Varianta 2</w:t>
            </w:r>
          </w:p>
        </w:tc>
        <w:tc>
          <w:tcPr>
            <w:tcW w:w="3326" w:type="dxa"/>
            <w:shd w:val="clear" w:color="auto" w:fill="F2F2F2"/>
            <w:vAlign w:val="center"/>
          </w:tcPr>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V případě současných investic do osvěty a propagace pod požadovanou minimální úrovní dodatečné náklady ve výši rozdílu.</w:t>
            </w:r>
          </w:p>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t xml:space="preserve">Nemožnost KS využívat osvětu a propagaci jako jednoho z významných nástrojů na zvýšení úrovně sběru dle </w:t>
            </w:r>
            <w:r w:rsidRPr="00ED38E9">
              <w:rPr>
                <w:rFonts w:cs="Arial"/>
                <w:noProof w:val="0"/>
                <w:sz w:val="20"/>
                <w:szCs w:val="20"/>
                <w:lang w:bidi="ar-SA"/>
              </w:rPr>
              <w:lastRenderedPageBreak/>
              <w:t>vlastního uvážení.  Další náklady pro dotčené subjekty (zejména personální) by představovalo centrální zajištění, v případě že by se osvětová a propagační činnost centralizovala pod státní správu (MŽP) nebo KS</w:t>
            </w:r>
          </w:p>
        </w:tc>
        <w:tc>
          <w:tcPr>
            <w:tcW w:w="3327" w:type="dxa"/>
            <w:shd w:val="clear" w:color="auto" w:fill="F2F2F2"/>
            <w:vAlign w:val="center"/>
          </w:tcPr>
          <w:p w:rsidR="008867C1" w:rsidRPr="00ED38E9" w:rsidRDefault="008867C1" w:rsidP="00AA3350">
            <w:pPr>
              <w:spacing w:before="60" w:after="60" w:line="240" w:lineRule="auto"/>
              <w:jc w:val="left"/>
              <w:rPr>
                <w:rFonts w:cs="Arial"/>
                <w:noProof w:val="0"/>
                <w:sz w:val="20"/>
                <w:szCs w:val="20"/>
                <w:lang w:bidi="ar-SA"/>
              </w:rPr>
            </w:pPr>
            <w:r w:rsidRPr="00ED38E9">
              <w:rPr>
                <w:rFonts w:cs="Arial"/>
                <w:noProof w:val="0"/>
                <w:sz w:val="20"/>
                <w:szCs w:val="20"/>
                <w:lang w:bidi="ar-SA"/>
              </w:rPr>
              <w:lastRenderedPageBreak/>
              <w:t xml:space="preserve">Centrální zajištění propagace a osvěty. </w:t>
            </w:r>
          </w:p>
        </w:tc>
      </w:tr>
    </w:tbl>
    <w:p w:rsidR="00DC1795" w:rsidRPr="00ED38E9" w:rsidRDefault="00DC1795" w:rsidP="0011664A">
      <w:pPr>
        <w:pStyle w:val="Nadpis2"/>
        <w:rPr>
          <w:rFonts w:eastAsia="Calibri"/>
          <w:lang w:bidi="ar-SA"/>
        </w:rPr>
      </w:pPr>
      <w:bookmarkStart w:id="131" w:name="_Toc441759904"/>
      <w:r w:rsidRPr="00ED38E9">
        <w:rPr>
          <w:rFonts w:eastAsia="Calibri"/>
          <w:lang w:bidi="ar-SA"/>
        </w:rPr>
        <w:lastRenderedPageBreak/>
        <w:t>Vyhodnocení variant a návrh řešení</w:t>
      </w:r>
      <w:bookmarkEnd w:id="131"/>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Na základě analýzy možnosti fungování Varianty 2 v rámci současného a evropskou směrnicí vyžadovaného systému byla tato varianta shledána jako nevhodná. Tato varianta by znamenala odejmutí jednoho z hlavních nástrojů, které KS mohou využít k splnění cílů sběru stanovených evropskou směrnicí. Zároveň by však KS byly</w:t>
      </w:r>
      <w:r w:rsidRPr="00ED38E9" w:rsidDel="00D93D5C">
        <w:rPr>
          <w:rFonts w:eastAsia="Calibri" w:cs="Arial"/>
          <w:noProof w:val="0"/>
          <w:szCs w:val="22"/>
          <w:lang w:bidi="ar-SA"/>
        </w:rPr>
        <w:t xml:space="preserve"> </w:t>
      </w:r>
      <w:r w:rsidRPr="00ED38E9">
        <w:rPr>
          <w:rFonts w:eastAsia="Calibri" w:cs="Arial"/>
          <w:noProof w:val="0"/>
          <w:szCs w:val="22"/>
          <w:lang w:bidi="ar-SA"/>
        </w:rPr>
        <w:t xml:space="preserve">nadále odpovědné za plnění kvót zpětného odběru. Varianta 2 by jim tak zabránila reagovat na současnou situaci a podnikat strategické kroky k dosažení cíle sběru (bude-li například KS potřebovat vyšší úroveň zpětného odběru). </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 xml:space="preserve">Navíc v případě, že KS chtějí v rámci propagace a osvěty spolupracovat, děje se tak již nyní a to na dobrovolné bázi - např. projekt </w:t>
      </w:r>
      <w:proofErr w:type="spellStart"/>
      <w:r w:rsidRPr="00ED38E9">
        <w:rPr>
          <w:rFonts w:eastAsia="Calibri" w:cs="Arial"/>
          <w:noProof w:val="0"/>
          <w:szCs w:val="22"/>
          <w:lang w:bidi="ar-SA"/>
        </w:rPr>
        <w:t>Recyklohraní</w:t>
      </w:r>
      <w:proofErr w:type="spellEnd"/>
      <w:r w:rsidRPr="00ED38E9">
        <w:rPr>
          <w:rFonts w:eastAsia="Calibri" w:cs="Arial"/>
          <w:noProof w:val="0"/>
          <w:szCs w:val="22"/>
          <w:lang w:bidi="ar-SA"/>
        </w:rPr>
        <w:t xml:space="preserve">. </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Obdobně lze hodnotit variantu 1c, jejíž součástí by bylo stanovení maximálního limitu. Při nevhodném nastavení parametrů může tato varianta vést k podobné situaci jako Varianta 2, kdy by KS byly i nadále odpovědné za plnění kvót zpětného odběru a odděleného sběru, ale byla by jim omezena možnost reagovat na současnou situaci a podnikat strategické kroky k dosažení cíle sběru. V případě benevolentního nastavení maximálního limitu ztrácí jeho stanovení původní smysl.</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 xml:space="preserve">Stanovení minimální výše prostředků směřujících na propagaci a osvětovou činnosti považujeme za zbytečné, neboť při správném stanovení minimálního cíle úrovně zpětného odběru pro KS (viz výše) je KS motivován využívat propagaci a osvětu v dostatečné výši jakožto jedné ze základních metod dosažení stanoveného cíle. Z tohoto pohledu se nám jeví stanovení minimální výše prostředků směřující na osvětu a propagaci jako zbytečné </w:t>
      </w:r>
    </w:p>
    <w:p w:rsidR="00DC1795" w:rsidRPr="00ED38E9" w:rsidRDefault="00DC1795" w:rsidP="003E2969">
      <w:pPr>
        <w:spacing w:before="120" w:after="120"/>
        <w:rPr>
          <w:rFonts w:eastAsia="Calibri" w:cs="Arial"/>
          <w:noProof w:val="0"/>
          <w:szCs w:val="22"/>
          <w:lang w:bidi="ar-SA"/>
        </w:rPr>
      </w:pPr>
      <w:r w:rsidRPr="00ED38E9">
        <w:rPr>
          <w:rFonts w:eastAsia="Calibri" w:cs="Arial"/>
          <w:noProof w:val="0"/>
          <w:szCs w:val="22"/>
          <w:lang w:bidi="ar-SA"/>
        </w:rPr>
        <w:t xml:space="preserve">K implementaci tedy doporučujeme Variantu 1a, kdy budou stanoveny minimální požadavky na formu </w:t>
      </w:r>
      <w:r w:rsidR="00AA303F">
        <w:rPr>
          <w:rFonts w:eastAsia="Calibri" w:cs="Arial"/>
          <w:noProof w:val="0"/>
          <w:szCs w:val="22"/>
          <w:lang w:bidi="ar-SA"/>
        </w:rPr>
        <w:t xml:space="preserve">a rozsah </w:t>
      </w:r>
      <w:r w:rsidRPr="00ED38E9">
        <w:rPr>
          <w:rFonts w:eastAsia="Calibri" w:cs="Arial"/>
          <w:noProof w:val="0"/>
          <w:szCs w:val="22"/>
          <w:lang w:bidi="ar-SA"/>
        </w:rPr>
        <w:t>osvětové a propagační činnosti</w:t>
      </w:r>
      <w:r w:rsidR="00AA303F" w:rsidRPr="00AA303F">
        <w:rPr>
          <w:rFonts w:eastAsia="Calibri" w:cs="Arial"/>
          <w:noProof w:val="0"/>
          <w:szCs w:val="22"/>
          <w:lang w:bidi="ar-SA"/>
        </w:rPr>
        <w:t xml:space="preserve"> </w:t>
      </w:r>
      <w:r w:rsidR="00AA303F">
        <w:rPr>
          <w:rFonts w:eastAsia="Calibri" w:cs="Arial"/>
          <w:noProof w:val="0"/>
          <w:szCs w:val="22"/>
          <w:lang w:bidi="ar-SA"/>
        </w:rPr>
        <w:t>prostřednictvím prováděcího právního předpisu (vyhlášky)</w:t>
      </w:r>
      <w:r w:rsidRPr="00ED38E9">
        <w:rPr>
          <w:rFonts w:eastAsia="Calibri" w:cs="Arial"/>
          <w:noProof w:val="0"/>
          <w:szCs w:val="22"/>
          <w:lang w:bidi="ar-SA"/>
        </w:rPr>
        <w:t xml:space="preserve">. Pro státní správu ani KS to neznamená žádné významné dodatečné náklady na administrativu spojenou s centralizací osvětové a propagační činnosti. KS si zachovají možnost ovlivňovat pomocí propagace a osvěty výši sběru, za kterou jsou zodpovědné, avšak samozřejmě za cenu nižší transparentnosti toku peněz. Na druhou stranu pro některé KS může být přínosem snížení rizika černého pasažéra z řad ostatních KS v důsledku zavedení minimálních požadavků na osvětu a propagaci. </w:t>
      </w:r>
    </w:p>
    <w:p w:rsidR="006360CC" w:rsidRPr="00ED38E9" w:rsidRDefault="00BB65AA" w:rsidP="00D20681">
      <w:pPr>
        <w:pStyle w:val="Nadpis1"/>
        <w:ind w:left="431" w:hanging="431"/>
      </w:pPr>
      <w:bookmarkStart w:id="132" w:name="_Toc441759905"/>
      <w:bookmarkStart w:id="133" w:name="_Toc441760192"/>
      <w:r>
        <w:t>Oprávnění sbírat</w:t>
      </w:r>
      <w:r w:rsidR="006360CC" w:rsidRPr="00ED38E9">
        <w:t xml:space="preserve"> </w:t>
      </w:r>
      <w:r>
        <w:t>O</w:t>
      </w:r>
      <w:r w:rsidR="006360CC" w:rsidRPr="00ED38E9">
        <w:t>EEZ</w:t>
      </w:r>
      <w:bookmarkEnd w:id="132"/>
      <w:bookmarkEnd w:id="133"/>
    </w:p>
    <w:p w:rsidR="006360CC" w:rsidRPr="00ED38E9" w:rsidRDefault="006360CC" w:rsidP="00F97AF3">
      <w:pPr>
        <w:pStyle w:val="Nadpis2"/>
      </w:pPr>
      <w:bookmarkStart w:id="134" w:name="_Toc441759906"/>
      <w:r w:rsidRPr="00ED38E9">
        <w:t>Důvod předložení a cíle</w:t>
      </w:r>
      <w:bookmarkEnd w:id="134"/>
    </w:p>
    <w:p w:rsidR="006360CC" w:rsidRPr="00ED38E9" w:rsidRDefault="006360CC" w:rsidP="00F97AF3">
      <w:pPr>
        <w:pStyle w:val="Nadpis3"/>
      </w:pPr>
      <w:r w:rsidRPr="00ED38E9">
        <w:t>Definice problému</w:t>
      </w:r>
    </w:p>
    <w:p w:rsidR="006360CC" w:rsidRPr="00ED38E9" w:rsidRDefault="006360CC" w:rsidP="006360CC">
      <w:pPr>
        <w:rPr>
          <w:rFonts w:cs="Arial"/>
        </w:rPr>
      </w:pPr>
      <w:r w:rsidRPr="00ED38E9">
        <w:rPr>
          <w:rFonts w:cs="Arial"/>
        </w:rPr>
        <w:t xml:space="preserve">Směrnice 2012/19/EU v současné době stanovuje nové cíle sběru OEEZ, a to počínaje rokem 2016. Tyto cíle se ve vztahu k roku 2015 výrazně zvyšují (a postupně narůstají až do roku </w:t>
      </w:r>
      <w:r w:rsidRPr="00ED38E9">
        <w:rPr>
          <w:rFonts w:cs="Arial"/>
        </w:rPr>
        <w:lastRenderedPageBreak/>
        <w:t xml:space="preserve">2021). Cíle sběru však dnes nejsou přímo přeneseny do české legislativy, tudíž za jejich plnění nezodpovídá žádný konkrétní subjekt, ale pouze ČR. Dle současně platné legislativy tak nebude možné tyto cíle vymáhat po výrobcích nebo kolektivních systémech. Výzmnamě je také ohroženo plnění těchto cílů. </w:t>
      </w:r>
    </w:p>
    <w:p w:rsidR="006360CC" w:rsidRPr="00ED38E9" w:rsidRDefault="006360CC" w:rsidP="00F97AF3">
      <w:pPr>
        <w:pStyle w:val="Nadpis3"/>
      </w:pPr>
      <w:r w:rsidRPr="00ED38E9">
        <w:t>Popis existujícího právního stavu v dané oblasti</w:t>
      </w:r>
    </w:p>
    <w:p w:rsidR="006360CC" w:rsidRPr="00ED38E9" w:rsidRDefault="006360CC" w:rsidP="00783869">
      <w:pPr>
        <w:rPr>
          <w:rFonts w:cs="Arial"/>
        </w:rPr>
      </w:pPr>
      <w:r w:rsidRPr="00ED38E9">
        <w:rPr>
          <w:rFonts w:cs="Arial"/>
        </w:rPr>
        <w:t>Směrnice 2012/19/EU po členských státech požaduje, aby byla uplatňována zásada odpovědnosti výrobce a aby na tomto základě byla každoročně dosažena úroveň sběru OEEZ ve výši 45 % pro rok 2016 a ve výši 65</w:t>
      </w:r>
      <w:r w:rsidR="00AC0AD2" w:rsidRPr="00ED38E9">
        <w:rPr>
          <w:rFonts w:cs="Arial"/>
        </w:rPr>
        <w:t xml:space="preserve"> </w:t>
      </w:r>
      <w:r w:rsidRPr="00ED38E9">
        <w:rPr>
          <w:rFonts w:cs="Arial"/>
        </w:rPr>
        <w:t xml:space="preserve">% pro rok 2019, která je počítána na základě celkové hmotnosti OEEZ sebraných v daném roce v dotyčném členském státě a </w:t>
      </w:r>
      <w:r w:rsidR="00725E2D" w:rsidRPr="00ED38E9">
        <w:rPr>
          <w:rFonts w:cs="Arial"/>
        </w:rPr>
        <w:t>vyjádřen</w:t>
      </w:r>
      <w:r w:rsidR="00725E2D">
        <w:rPr>
          <w:rFonts w:cs="Arial"/>
        </w:rPr>
        <w:t>a</w:t>
      </w:r>
      <w:r w:rsidR="00725E2D" w:rsidRPr="00ED38E9">
        <w:rPr>
          <w:rFonts w:cs="Arial"/>
        </w:rPr>
        <w:t xml:space="preserve"> </w:t>
      </w:r>
      <w:r w:rsidRPr="00ED38E9">
        <w:rPr>
          <w:rFonts w:cs="Arial"/>
        </w:rPr>
        <w:t>jako procentní podíl průměrné roční hmotnosti EEZ uvedených na trh v uvedeném členském státě v předchozích třech letech. ČR má však umožněno poža</w:t>
      </w:r>
      <w:r w:rsidR="00F94CE8">
        <w:rPr>
          <w:rFonts w:cs="Arial"/>
        </w:rPr>
        <w:t>dované úrovně sběru dosáhnout o </w:t>
      </w:r>
      <w:r w:rsidRPr="00ED38E9">
        <w:rPr>
          <w:rFonts w:cs="Arial"/>
        </w:rPr>
        <w:t>několik let později - rok 2016 úroveň sběru větší než 40</w:t>
      </w:r>
      <w:r w:rsidR="00AC0AD2" w:rsidRPr="00ED38E9">
        <w:rPr>
          <w:rFonts w:cs="Arial"/>
        </w:rPr>
        <w:t xml:space="preserve"> </w:t>
      </w:r>
      <w:r w:rsidRPr="00ED38E9">
        <w:rPr>
          <w:rFonts w:cs="Arial"/>
        </w:rPr>
        <w:t>%, a do roku 2021 dosáhnout úrovně sběru 65</w:t>
      </w:r>
      <w:r w:rsidR="00AC0AD2" w:rsidRPr="00ED38E9">
        <w:rPr>
          <w:rFonts w:cs="Arial"/>
        </w:rPr>
        <w:t xml:space="preserve"> </w:t>
      </w:r>
      <w:r w:rsidRPr="00ED38E9">
        <w:rPr>
          <w:rFonts w:cs="Arial"/>
        </w:rPr>
        <w:t>%. V ČR bylo v roce 2014 dosaženo úrovně sběru cca 33</w:t>
      </w:r>
      <w:r w:rsidR="00AC0AD2" w:rsidRPr="00ED38E9">
        <w:rPr>
          <w:rFonts w:cs="Arial"/>
        </w:rPr>
        <w:t xml:space="preserve"> </w:t>
      </w:r>
      <w:r w:rsidRPr="00ED38E9">
        <w:rPr>
          <w:rFonts w:cs="Arial"/>
        </w:rPr>
        <w:t>%.</w:t>
      </w:r>
    </w:p>
    <w:p w:rsidR="006360CC" w:rsidRPr="00ED38E9" w:rsidRDefault="006360CC" w:rsidP="00F97AF3">
      <w:pPr>
        <w:pStyle w:val="Nadpis3"/>
      </w:pPr>
      <w:r w:rsidRPr="00ED38E9">
        <w:t>Identifikace dotčených subjektů</w:t>
      </w:r>
    </w:p>
    <w:p w:rsidR="006360CC" w:rsidRPr="00ED38E9" w:rsidRDefault="006360CC" w:rsidP="002D66F0">
      <w:pPr>
        <w:pStyle w:val="Odstavecseseznamem"/>
        <w:numPr>
          <w:ilvl w:val="0"/>
          <w:numId w:val="104"/>
        </w:numPr>
        <w:spacing w:after="120"/>
        <w:rPr>
          <w:rFonts w:cs="Arial"/>
        </w:rPr>
      </w:pPr>
      <w:r w:rsidRPr="00ED38E9">
        <w:rPr>
          <w:rFonts w:cs="Arial"/>
        </w:rPr>
        <w:t>provozovatelé míst zpětného odběru (podnikatelské subjekty, obce),</w:t>
      </w:r>
    </w:p>
    <w:p w:rsidR="006360CC" w:rsidRPr="00ED38E9" w:rsidRDefault="006360CC" w:rsidP="002D66F0">
      <w:pPr>
        <w:pStyle w:val="Odstavecseseznamem"/>
        <w:numPr>
          <w:ilvl w:val="0"/>
          <w:numId w:val="104"/>
        </w:numPr>
        <w:spacing w:after="120"/>
        <w:ind w:left="714" w:hanging="357"/>
        <w:rPr>
          <w:rFonts w:cs="Arial"/>
        </w:rPr>
      </w:pPr>
      <w:r w:rsidRPr="00ED38E9">
        <w:rPr>
          <w:rFonts w:cs="Arial"/>
        </w:rPr>
        <w:t>výrobci, kolektivní systémy,</w:t>
      </w:r>
    </w:p>
    <w:p w:rsidR="006360CC" w:rsidRPr="00ED38E9" w:rsidRDefault="006360CC" w:rsidP="002D66F0">
      <w:pPr>
        <w:pStyle w:val="Odstavecseseznamem"/>
        <w:numPr>
          <w:ilvl w:val="0"/>
          <w:numId w:val="104"/>
        </w:numPr>
        <w:spacing w:after="120"/>
        <w:ind w:left="714" w:hanging="357"/>
        <w:rPr>
          <w:rFonts w:cs="Arial"/>
        </w:rPr>
      </w:pPr>
      <w:r w:rsidRPr="00ED38E9">
        <w:rPr>
          <w:rFonts w:cs="Arial"/>
        </w:rPr>
        <w:t>zpracovatelé OEEZ,</w:t>
      </w:r>
    </w:p>
    <w:p w:rsidR="006360CC" w:rsidRPr="00ED38E9" w:rsidRDefault="006360CC" w:rsidP="002D66F0">
      <w:pPr>
        <w:pStyle w:val="Odstavecseseznamem"/>
        <w:numPr>
          <w:ilvl w:val="0"/>
          <w:numId w:val="104"/>
        </w:numPr>
        <w:spacing w:after="120"/>
        <w:ind w:left="714" w:hanging="357"/>
        <w:rPr>
          <w:rFonts w:cs="Arial"/>
        </w:rPr>
      </w:pPr>
      <w:r w:rsidRPr="00ED38E9">
        <w:rPr>
          <w:rFonts w:cs="Arial"/>
        </w:rPr>
        <w:t>kontrolní orgány (MŽP, ČIŽP)</w:t>
      </w:r>
      <w:r w:rsidR="004827F2" w:rsidRPr="00ED38E9">
        <w:rPr>
          <w:rFonts w:cs="Arial"/>
        </w:rPr>
        <w:t>,</w:t>
      </w:r>
    </w:p>
    <w:p w:rsidR="006360CC" w:rsidRPr="00ED38E9" w:rsidRDefault="006360CC" w:rsidP="002D66F0">
      <w:pPr>
        <w:pStyle w:val="Odstavecseseznamem"/>
        <w:numPr>
          <w:ilvl w:val="0"/>
          <w:numId w:val="104"/>
        </w:numPr>
        <w:spacing w:after="120"/>
        <w:ind w:left="714" w:hanging="357"/>
        <w:rPr>
          <w:rFonts w:cs="Arial"/>
        </w:rPr>
      </w:pPr>
      <w:r w:rsidRPr="00ED38E9">
        <w:rPr>
          <w:rFonts w:cs="Arial"/>
        </w:rPr>
        <w:t>obce, kraje.</w:t>
      </w:r>
    </w:p>
    <w:p w:rsidR="006360CC" w:rsidRPr="00ED38E9" w:rsidRDefault="006360CC" w:rsidP="00F97AF3">
      <w:pPr>
        <w:pStyle w:val="Nadpis3"/>
      </w:pPr>
      <w:r w:rsidRPr="00ED38E9">
        <w:t>Popis cílového stavu</w:t>
      </w:r>
    </w:p>
    <w:p w:rsidR="006360CC" w:rsidRPr="00ED38E9" w:rsidRDefault="00D53BB8" w:rsidP="006360CC">
      <w:pPr>
        <w:rPr>
          <w:rFonts w:cs="Arial"/>
        </w:rPr>
      </w:pPr>
      <w:r w:rsidRPr="00ED38E9">
        <w:rPr>
          <w:rFonts w:cs="Arial"/>
        </w:rPr>
        <w:t>H</w:t>
      </w:r>
      <w:r w:rsidR="006360CC" w:rsidRPr="00ED38E9">
        <w:rPr>
          <w:rFonts w:cs="Arial"/>
        </w:rPr>
        <w:t>lavním cílem je zajištění sběru a využití OEEZ v souladu se směrnicí 2012/19/EU tak, aby OEEZ, nebo jejich části byly maximálně využity (recyklovány)</w:t>
      </w:r>
      <w:r w:rsidR="00AE1FA1">
        <w:rPr>
          <w:rFonts w:cs="Arial"/>
        </w:rPr>
        <w:t xml:space="preserve"> nebo</w:t>
      </w:r>
      <w:r w:rsidR="006360CC" w:rsidRPr="00ED38E9">
        <w:rPr>
          <w:rFonts w:cs="Arial"/>
        </w:rPr>
        <w:t xml:space="preserve"> opětovně použity bez negativního vlivu na životní prostředí. Z tohoto důvodu je nebytné stanovení cílů sběru a povinností s tím souvisejících na konkrétní subjekty - výrobce (kolektivní systémy) s možností udělení těmto subjektům nápravného opatření či sankce za nedodržení daných povinností</w:t>
      </w:r>
      <w:r w:rsidR="00725E2D">
        <w:rPr>
          <w:rFonts w:cs="Arial"/>
        </w:rPr>
        <w:t>.</w:t>
      </w:r>
      <w:r w:rsidR="006360CC" w:rsidRPr="00ED38E9">
        <w:rPr>
          <w:rFonts w:cs="Arial"/>
        </w:rPr>
        <w:t xml:space="preserve"> Neposledním cílem je také omezení odstraňování OEEZ v netříděném komunálním odpadu. </w:t>
      </w:r>
    </w:p>
    <w:p w:rsidR="006360CC" w:rsidRPr="00ED38E9" w:rsidRDefault="006360CC" w:rsidP="00F97AF3">
      <w:pPr>
        <w:pStyle w:val="Nadpis3"/>
      </w:pPr>
      <w:r w:rsidRPr="00ED38E9">
        <w:t>Zhodnocení rizika</w:t>
      </w:r>
    </w:p>
    <w:p w:rsidR="00814E66" w:rsidRPr="00ED38E9" w:rsidRDefault="00814E66" w:rsidP="00814E66">
      <w:pPr>
        <w:rPr>
          <w:rFonts w:cs="Arial"/>
        </w:rPr>
      </w:pPr>
      <w:r w:rsidRPr="00ED38E9">
        <w:rPr>
          <w:rFonts w:cs="Arial"/>
        </w:rPr>
        <w:t>Mezi rizika řadíme:</w:t>
      </w:r>
    </w:p>
    <w:p w:rsidR="006360CC" w:rsidRPr="00ED38E9" w:rsidRDefault="006360CC" w:rsidP="002D66F0">
      <w:pPr>
        <w:pStyle w:val="Odstavecseseznamem"/>
        <w:numPr>
          <w:ilvl w:val="0"/>
          <w:numId w:val="121"/>
        </w:numPr>
        <w:rPr>
          <w:rFonts w:cs="Arial"/>
        </w:rPr>
      </w:pPr>
      <w:r w:rsidRPr="00ED38E9">
        <w:rPr>
          <w:rFonts w:cs="Arial"/>
        </w:rPr>
        <w:t xml:space="preserve">neplnění cílů stanovených EU a z toho vyplývající </w:t>
      </w:r>
      <w:r w:rsidR="00AE1FA1">
        <w:rPr>
          <w:rFonts w:cs="Arial"/>
        </w:rPr>
        <w:t xml:space="preserve">hrozba </w:t>
      </w:r>
      <w:r w:rsidRPr="00ED38E9">
        <w:rPr>
          <w:rFonts w:cs="Arial"/>
        </w:rPr>
        <w:t>infri</w:t>
      </w:r>
      <w:r w:rsidR="00AE1FA1">
        <w:rPr>
          <w:rFonts w:cs="Arial"/>
        </w:rPr>
        <w:t>n</w:t>
      </w:r>
      <w:r w:rsidRPr="00ED38E9">
        <w:rPr>
          <w:rFonts w:cs="Arial"/>
        </w:rPr>
        <w:t>gement</w:t>
      </w:r>
      <w:r w:rsidR="00AE1FA1">
        <w:rPr>
          <w:rFonts w:cs="Arial"/>
        </w:rPr>
        <w:t>u</w:t>
      </w:r>
      <w:r w:rsidRPr="00ED38E9">
        <w:rPr>
          <w:rFonts w:cs="Arial"/>
        </w:rPr>
        <w:t>,</w:t>
      </w:r>
    </w:p>
    <w:p w:rsidR="006360CC" w:rsidRPr="00ED38E9" w:rsidRDefault="006360CC" w:rsidP="002D66F0">
      <w:pPr>
        <w:pStyle w:val="Odstavecseseznamem"/>
        <w:numPr>
          <w:ilvl w:val="0"/>
          <w:numId w:val="121"/>
        </w:numPr>
        <w:rPr>
          <w:rFonts w:cs="Arial"/>
        </w:rPr>
      </w:pPr>
      <w:r w:rsidRPr="00ED38E9">
        <w:rPr>
          <w:rFonts w:cs="Arial"/>
        </w:rPr>
        <w:t>nenavyšování množství sebraných OEEZ,</w:t>
      </w:r>
    </w:p>
    <w:p w:rsidR="006360CC" w:rsidRPr="00ED38E9" w:rsidRDefault="006360CC" w:rsidP="002D66F0">
      <w:pPr>
        <w:pStyle w:val="Odstavecseseznamem"/>
        <w:numPr>
          <w:ilvl w:val="0"/>
          <w:numId w:val="121"/>
        </w:numPr>
        <w:rPr>
          <w:rFonts w:cs="Arial"/>
        </w:rPr>
      </w:pPr>
      <w:r w:rsidRPr="00ED38E9">
        <w:rPr>
          <w:rFonts w:cs="Arial"/>
        </w:rPr>
        <w:t>nezajištění využití (recyklace) OEEZ</w:t>
      </w:r>
      <w:r w:rsidR="00814E66" w:rsidRPr="00ED38E9">
        <w:rPr>
          <w:rFonts w:cs="Arial"/>
        </w:rPr>
        <w:t>,</w:t>
      </w:r>
    </w:p>
    <w:p w:rsidR="006360CC" w:rsidRPr="00ED38E9" w:rsidRDefault="006360CC" w:rsidP="002D66F0">
      <w:pPr>
        <w:pStyle w:val="Odstavecseseznamem"/>
        <w:numPr>
          <w:ilvl w:val="0"/>
          <w:numId w:val="121"/>
        </w:numPr>
        <w:rPr>
          <w:rFonts w:cs="Arial"/>
        </w:rPr>
      </w:pPr>
      <w:r w:rsidRPr="00ED38E9">
        <w:rPr>
          <w:rFonts w:cs="Arial"/>
        </w:rPr>
        <w:t>nesnižování množství OEEZ v netříděném komunálním odpadu,</w:t>
      </w:r>
    </w:p>
    <w:p w:rsidR="006360CC" w:rsidRPr="00ED38E9" w:rsidRDefault="006360CC" w:rsidP="002D66F0">
      <w:pPr>
        <w:pStyle w:val="Odstavecseseznamem"/>
        <w:numPr>
          <w:ilvl w:val="0"/>
          <w:numId w:val="121"/>
        </w:numPr>
        <w:rPr>
          <w:rFonts w:cs="Arial"/>
        </w:rPr>
      </w:pPr>
      <w:r w:rsidRPr="00ED38E9">
        <w:rPr>
          <w:rFonts w:cs="Arial"/>
        </w:rPr>
        <w:t>riziko navýšení administrativní zátěže kontrolních subjektů</w:t>
      </w:r>
      <w:r w:rsidR="00814E66" w:rsidRPr="00ED38E9">
        <w:rPr>
          <w:rFonts w:cs="Arial"/>
        </w:rPr>
        <w:t>.</w:t>
      </w:r>
    </w:p>
    <w:p w:rsidR="006360CC" w:rsidRPr="00ED38E9" w:rsidRDefault="006360CC" w:rsidP="00F97AF3">
      <w:pPr>
        <w:pStyle w:val="Nadpis2"/>
      </w:pPr>
      <w:bookmarkStart w:id="135" w:name="_Toc441759907"/>
      <w:r w:rsidRPr="00ED38E9">
        <w:t>Návrh variant řešení</w:t>
      </w:r>
      <w:bookmarkEnd w:id="135"/>
    </w:p>
    <w:p w:rsidR="006360CC" w:rsidRPr="00ED38E9" w:rsidRDefault="006360CC" w:rsidP="00F97AF3">
      <w:pPr>
        <w:pStyle w:val="Nadpis3"/>
      </w:pPr>
      <w:r w:rsidRPr="00ED38E9">
        <w:t>Varianta 0</w:t>
      </w:r>
    </w:p>
    <w:p w:rsidR="006360CC" w:rsidRPr="00ED38E9" w:rsidRDefault="006360CC" w:rsidP="006360CC">
      <w:pPr>
        <w:rPr>
          <w:rFonts w:cs="Arial"/>
        </w:rPr>
      </w:pPr>
      <w:r w:rsidRPr="00ED38E9">
        <w:rPr>
          <w:rFonts w:cs="Arial"/>
        </w:rPr>
        <w:t>Ponechání současného stavu</w:t>
      </w:r>
      <w:r w:rsidR="00725E2D">
        <w:rPr>
          <w:rFonts w:cs="Arial"/>
        </w:rPr>
        <w:t>, což</w:t>
      </w:r>
      <w:r w:rsidRPr="00ED38E9">
        <w:rPr>
          <w:rFonts w:cs="Arial"/>
        </w:rPr>
        <w:t xml:space="preserve"> znamená, že oprávněni k přebírání OEEZ jsou pouze místa zpětného odběru nebo přímo zpracovatelé elektroodpadů, u nichž není vyžadována smlouva s výrobcem, </w:t>
      </w:r>
      <w:r w:rsidR="00E11FEC">
        <w:rPr>
          <w:rFonts w:cs="Arial"/>
        </w:rPr>
        <w:t xml:space="preserve">resp. </w:t>
      </w:r>
      <w:r w:rsidRPr="00ED38E9">
        <w:rPr>
          <w:rFonts w:cs="Arial"/>
        </w:rPr>
        <w:t>KS</w:t>
      </w:r>
      <w:r w:rsidR="00725E2D">
        <w:rPr>
          <w:rFonts w:cs="Arial"/>
        </w:rPr>
        <w:t>.</w:t>
      </w:r>
      <w:r w:rsidRPr="00ED38E9">
        <w:rPr>
          <w:rFonts w:cs="Arial"/>
        </w:rPr>
        <w:t xml:space="preserve"> </w:t>
      </w:r>
      <w:r w:rsidR="00725E2D">
        <w:rPr>
          <w:rFonts w:cs="Arial"/>
        </w:rPr>
        <w:t>C</w:t>
      </w:r>
      <w:r w:rsidRPr="00ED38E9">
        <w:rPr>
          <w:rFonts w:cs="Arial"/>
        </w:rPr>
        <w:t xml:space="preserve">íle sběru jsou stanoveny na ČR. </w:t>
      </w:r>
    </w:p>
    <w:p w:rsidR="006360CC" w:rsidRPr="00ED38E9" w:rsidRDefault="006360CC" w:rsidP="00F97AF3">
      <w:pPr>
        <w:pStyle w:val="Nadpis3"/>
      </w:pPr>
      <w:r w:rsidRPr="00ED38E9">
        <w:lastRenderedPageBreak/>
        <w:t>Varianta 1</w:t>
      </w:r>
    </w:p>
    <w:p w:rsidR="006360CC" w:rsidRPr="00ED38E9" w:rsidRDefault="006360CC" w:rsidP="006360CC">
      <w:pPr>
        <w:rPr>
          <w:rFonts w:cs="Arial"/>
        </w:rPr>
      </w:pPr>
      <w:r w:rsidRPr="00ED38E9">
        <w:rPr>
          <w:rFonts w:cs="Arial"/>
        </w:rPr>
        <w:t>Ponechání současného stavu s tím, že na výrobce, resp. KS bude vztažena míra sběru OEEZ. To znamená, že oprávněni k přebírání OEEZ jsou pouze místa zpětného odběru, nebo přímo zpracovatelé elektroodpadů, u nichž není vyžadována smlouva s</w:t>
      </w:r>
      <w:r w:rsidR="00613E53">
        <w:rPr>
          <w:rFonts w:cs="Arial"/>
        </w:rPr>
        <w:t> </w:t>
      </w:r>
      <w:r w:rsidRPr="00ED38E9">
        <w:rPr>
          <w:rFonts w:cs="Arial"/>
        </w:rPr>
        <w:t>výrobcem</w:t>
      </w:r>
      <w:r w:rsidR="00613E53">
        <w:rPr>
          <w:rFonts w:cs="Arial"/>
        </w:rPr>
        <w:t>/</w:t>
      </w:r>
      <w:r w:rsidRPr="00ED38E9">
        <w:rPr>
          <w:rFonts w:cs="Arial"/>
        </w:rPr>
        <w:t>KS. Odpovědnost za plnění cílů sběru OEEZ má pouze výrobce</w:t>
      </w:r>
      <w:r w:rsidR="00613E53">
        <w:rPr>
          <w:rFonts w:cs="Arial"/>
        </w:rPr>
        <w:t>/</w:t>
      </w:r>
      <w:r w:rsidRPr="00ED38E9">
        <w:rPr>
          <w:rFonts w:cs="Arial"/>
        </w:rPr>
        <w:t>KS.</w:t>
      </w:r>
    </w:p>
    <w:p w:rsidR="006360CC" w:rsidRPr="00ED38E9" w:rsidRDefault="006360CC" w:rsidP="00F97AF3">
      <w:pPr>
        <w:pStyle w:val="Nadpis3"/>
      </w:pPr>
      <w:r w:rsidRPr="00ED38E9">
        <w:t>Varianta 2</w:t>
      </w:r>
    </w:p>
    <w:p w:rsidR="006360CC" w:rsidRPr="00ED38E9" w:rsidRDefault="006360CC" w:rsidP="006360CC">
      <w:pPr>
        <w:rPr>
          <w:rFonts w:cs="Arial"/>
        </w:rPr>
      </w:pPr>
      <w:r w:rsidRPr="00ED38E9">
        <w:rPr>
          <w:rFonts w:cs="Arial"/>
        </w:rPr>
        <w:t xml:space="preserve">OEEZ mohou sbírat všechny subjekty, které jsou k tomuto oprávněny </w:t>
      </w:r>
      <w:r w:rsidR="00226F7D">
        <w:rPr>
          <w:rFonts w:cs="Arial"/>
        </w:rPr>
        <w:t>na základě souhlasu k provozu zařízení k nakládání s odpady (resp. podle návrhu nového zákona o odpadech povolení provozu zařízení pro nakládání s odpady), vydaného</w:t>
      </w:r>
      <w:r w:rsidRPr="00ED38E9">
        <w:rPr>
          <w:rFonts w:cs="Arial"/>
        </w:rPr>
        <w:t xml:space="preserve"> příslušný</w:t>
      </w:r>
      <w:r w:rsidR="00226F7D">
        <w:rPr>
          <w:rFonts w:cs="Arial"/>
        </w:rPr>
        <w:t>m</w:t>
      </w:r>
      <w:r w:rsidRPr="00ED38E9">
        <w:rPr>
          <w:rFonts w:cs="Arial"/>
        </w:rPr>
        <w:t xml:space="preserve"> krajský</w:t>
      </w:r>
      <w:r w:rsidR="00226F7D">
        <w:rPr>
          <w:rFonts w:cs="Arial"/>
        </w:rPr>
        <w:t>m</w:t>
      </w:r>
      <w:r w:rsidRPr="00ED38E9">
        <w:rPr>
          <w:rFonts w:cs="Arial"/>
        </w:rPr>
        <w:t xml:space="preserve"> úřad</w:t>
      </w:r>
      <w:r w:rsidR="00226F7D">
        <w:rPr>
          <w:rFonts w:cs="Arial"/>
        </w:rPr>
        <w:t>em,</w:t>
      </w:r>
      <w:r w:rsidRPr="00ED38E9">
        <w:rPr>
          <w:rFonts w:cs="Arial"/>
        </w:rPr>
        <w:t xml:space="preserve"> bez vazby na výrobce, </w:t>
      </w:r>
      <w:r w:rsidR="00226F7D">
        <w:rPr>
          <w:rFonts w:cs="Arial"/>
        </w:rPr>
        <w:t xml:space="preserve">resp. </w:t>
      </w:r>
      <w:r w:rsidRPr="00ED38E9">
        <w:rPr>
          <w:rFonts w:cs="Arial"/>
        </w:rPr>
        <w:t>kolektivní systémy. Tyto subjekty pak vedou evidenci o zpětně odebraných OEEZ a o jejich využití, které posílají prostřednictvím ISPOP na MŽP. Cíle sběru nejsou stanoveny na konkrétní subjekty, ale na ČR, která odpovídá za jejich plnění.</w:t>
      </w:r>
    </w:p>
    <w:p w:rsidR="006360CC" w:rsidRPr="00ED38E9" w:rsidRDefault="006360CC" w:rsidP="00F97AF3">
      <w:pPr>
        <w:pStyle w:val="Nadpis3"/>
      </w:pPr>
      <w:r w:rsidRPr="00ED38E9">
        <w:t>Varianta 3</w:t>
      </w:r>
    </w:p>
    <w:p w:rsidR="006360CC" w:rsidRPr="00ED38E9" w:rsidRDefault="006360CC" w:rsidP="006360CC">
      <w:pPr>
        <w:rPr>
          <w:rFonts w:cs="Arial"/>
        </w:rPr>
      </w:pPr>
      <w:r w:rsidRPr="00ED38E9">
        <w:rPr>
          <w:rFonts w:cs="Arial"/>
        </w:rPr>
        <w:t>Přebírat a zpracovávat OEEZ jsou oprávněna pouze místa k tomu určená výrobcem</w:t>
      </w:r>
      <w:r w:rsidR="00613E53">
        <w:rPr>
          <w:rFonts w:cs="Arial"/>
        </w:rPr>
        <w:t>/</w:t>
      </w:r>
      <w:r w:rsidRPr="00ED38E9">
        <w:rPr>
          <w:rFonts w:cs="Arial"/>
        </w:rPr>
        <w:t xml:space="preserve">KS. Cíle sběru OEEZ jsou stanoveny přímo na </w:t>
      </w:r>
      <w:r w:rsidR="00226F7D">
        <w:rPr>
          <w:rFonts w:cs="Arial"/>
        </w:rPr>
        <w:t>výrobce</w:t>
      </w:r>
      <w:r w:rsidRPr="00ED38E9">
        <w:rPr>
          <w:rFonts w:cs="Arial"/>
        </w:rPr>
        <w:t>. Nikdo bez smlouvy s</w:t>
      </w:r>
      <w:r w:rsidR="00613E53">
        <w:rPr>
          <w:rFonts w:cs="Arial"/>
        </w:rPr>
        <w:t> </w:t>
      </w:r>
      <w:r w:rsidRPr="00ED38E9">
        <w:rPr>
          <w:rFonts w:cs="Arial"/>
        </w:rPr>
        <w:t>výrobcem</w:t>
      </w:r>
      <w:r w:rsidR="00613E53">
        <w:rPr>
          <w:rFonts w:cs="Arial"/>
        </w:rPr>
        <w:t>/</w:t>
      </w:r>
      <w:r w:rsidRPr="00ED38E9">
        <w:rPr>
          <w:rFonts w:cs="Arial"/>
        </w:rPr>
        <w:t>KS není oprávněn nakládat s OEEZ.</w:t>
      </w:r>
    </w:p>
    <w:p w:rsidR="006360CC" w:rsidRPr="00ED38E9" w:rsidRDefault="006360CC" w:rsidP="00F97AF3">
      <w:pPr>
        <w:pStyle w:val="Nadpis2"/>
      </w:pPr>
      <w:bookmarkStart w:id="136" w:name="_Toc441759908"/>
      <w:r w:rsidRPr="00ED38E9">
        <w:t>Vyhodnocení nákladů a přínosů</w:t>
      </w:r>
      <w:bookmarkEnd w:id="136"/>
    </w:p>
    <w:p w:rsidR="006360CC" w:rsidRPr="00ED38E9" w:rsidRDefault="006360CC" w:rsidP="00F97AF3">
      <w:pPr>
        <w:pStyle w:val="Nadpis3"/>
      </w:pPr>
      <w:r w:rsidRPr="00ED38E9">
        <w:t>Identifikace nákladů a přínosů</w:t>
      </w:r>
    </w:p>
    <w:p w:rsidR="006360CC" w:rsidRPr="00ED38E9" w:rsidRDefault="006360CC" w:rsidP="002D66F0">
      <w:pPr>
        <w:pStyle w:val="Odstavecseseznamem"/>
        <w:keepNext/>
        <w:numPr>
          <w:ilvl w:val="0"/>
          <w:numId w:val="101"/>
        </w:numPr>
        <w:spacing w:before="240" w:after="120"/>
        <w:contextualSpacing w:val="0"/>
        <w:rPr>
          <w:rFonts w:cs="Arial"/>
        </w:rPr>
      </w:pPr>
      <w:r w:rsidRPr="00ED38E9">
        <w:rPr>
          <w:rFonts w:cs="Arial"/>
        </w:rPr>
        <w:t>Varianta 0</w:t>
      </w:r>
    </w:p>
    <w:p w:rsidR="007B11C8" w:rsidRPr="00ED38E9" w:rsidRDefault="006360CC" w:rsidP="006360CC">
      <w:pPr>
        <w:spacing w:before="240"/>
        <w:rPr>
          <w:rFonts w:cs="Arial"/>
        </w:rPr>
      </w:pPr>
      <w:r w:rsidRPr="00ED38E9">
        <w:rPr>
          <w:rFonts w:cs="Arial"/>
        </w:rPr>
        <w:t xml:space="preserve">Současný zákon o odpadech stanovuje povinnost odkládat použitá elektrozařízení </w:t>
      </w:r>
    </w:p>
    <w:p w:rsidR="007B11C8" w:rsidRPr="00ED38E9" w:rsidRDefault="006360CC" w:rsidP="002D66F0">
      <w:pPr>
        <w:pStyle w:val="Odstavecseseznamem"/>
        <w:numPr>
          <w:ilvl w:val="0"/>
          <w:numId w:val="105"/>
        </w:numPr>
        <w:spacing w:before="240"/>
        <w:rPr>
          <w:rFonts w:cs="Arial"/>
        </w:rPr>
      </w:pPr>
      <w:r w:rsidRPr="00ED38E9">
        <w:rPr>
          <w:rFonts w:cs="Arial"/>
        </w:rPr>
        <w:t xml:space="preserve">na místa zpětného odběru (místo vytvořené výrobcem), </w:t>
      </w:r>
    </w:p>
    <w:p w:rsidR="007B11C8" w:rsidRPr="00ED38E9" w:rsidRDefault="006360CC" w:rsidP="002D66F0">
      <w:pPr>
        <w:pStyle w:val="Odstavecseseznamem"/>
        <w:numPr>
          <w:ilvl w:val="0"/>
          <w:numId w:val="105"/>
        </w:numPr>
        <w:spacing w:before="240"/>
        <w:rPr>
          <w:rFonts w:cs="Arial"/>
        </w:rPr>
      </w:pPr>
      <w:r w:rsidRPr="00ED38E9">
        <w:rPr>
          <w:rFonts w:cs="Arial"/>
        </w:rPr>
        <w:t xml:space="preserve">předáním poslednímu prodejci v případech zákonem stanovených </w:t>
      </w:r>
    </w:p>
    <w:p w:rsidR="007B11C8" w:rsidRPr="00ED38E9" w:rsidRDefault="006360CC" w:rsidP="002D66F0">
      <w:pPr>
        <w:pStyle w:val="Odstavecseseznamem"/>
        <w:numPr>
          <w:ilvl w:val="0"/>
          <w:numId w:val="105"/>
        </w:numPr>
        <w:spacing w:before="240"/>
        <w:rPr>
          <w:rFonts w:cs="Arial"/>
        </w:rPr>
      </w:pPr>
      <w:r w:rsidRPr="00ED38E9">
        <w:rPr>
          <w:rFonts w:cs="Arial"/>
        </w:rPr>
        <w:t xml:space="preserve">zpracovateli odpadních elektrozařízení (subjekt, který disponuje souhlasem </w:t>
      </w:r>
      <w:r w:rsidR="009A7DA0" w:rsidRPr="00ED38E9">
        <w:rPr>
          <w:rFonts w:cs="Arial"/>
        </w:rPr>
        <w:t xml:space="preserve">krajského úřadu </w:t>
      </w:r>
      <w:r w:rsidR="009A7DA0">
        <w:rPr>
          <w:rFonts w:cs="Arial"/>
        </w:rPr>
        <w:t>k provozování zařízení ke</w:t>
      </w:r>
      <w:r w:rsidRPr="00ED38E9">
        <w:rPr>
          <w:rFonts w:cs="Arial"/>
        </w:rPr>
        <w:t xml:space="preserve"> zpracování elektroodpadů). </w:t>
      </w:r>
    </w:p>
    <w:p w:rsidR="007B11C8" w:rsidRPr="00ED38E9" w:rsidRDefault="006360CC" w:rsidP="007B11C8">
      <w:pPr>
        <w:spacing w:before="240"/>
        <w:rPr>
          <w:rFonts w:cs="Arial"/>
        </w:rPr>
      </w:pPr>
      <w:r w:rsidRPr="00ED38E9">
        <w:rPr>
          <w:rFonts w:cs="Arial"/>
        </w:rPr>
        <w:t>V případě OEEZ, která nejsou určena k použití v domácnosti, je tyto možné odkládat pouze</w:t>
      </w:r>
    </w:p>
    <w:p w:rsidR="007B11C8" w:rsidRPr="00ED38E9" w:rsidRDefault="006360CC" w:rsidP="002D66F0">
      <w:pPr>
        <w:pStyle w:val="Odstavecseseznamem"/>
        <w:numPr>
          <w:ilvl w:val="0"/>
          <w:numId w:val="106"/>
        </w:numPr>
        <w:rPr>
          <w:rFonts w:cs="Arial"/>
        </w:rPr>
      </w:pPr>
      <w:r w:rsidRPr="00ED38E9">
        <w:rPr>
          <w:rFonts w:cs="Arial"/>
        </w:rPr>
        <w:t xml:space="preserve">v místech odděleného sběru (místo vytvořené výrobcem), </w:t>
      </w:r>
    </w:p>
    <w:p w:rsidR="007B11C8" w:rsidRPr="00ED38E9" w:rsidRDefault="006360CC" w:rsidP="002D66F0">
      <w:pPr>
        <w:pStyle w:val="Odstavecseseznamem"/>
        <w:numPr>
          <w:ilvl w:val="0"/>
          <w:numId w:val="106"/>
        </w:numPr>
        <w:rPr>
          <w:rFonts w:cs="Arial"/>
        </w:rPr>
      </w:pPr>
      <w:r w:rsidRPr="00ED38E9">
        <w:rPr>
          <w:rFonts w:cs="Arial"/>
        </w:rPr>
        <w:t xml:space="preserve">u zpracovatele odpadních elektrozařízení. </w:t>
      </w:r>
    </w:p>
    <w:p w:rsidR="006360CC" w:rsidRPr="00ED38E9" w:rsidRDefault="006360CC" w:rsidP="007B11C8">
      <w:pPr>
        <w:spacing w:before="240"/>
        <w:rPr>
          <w:rFonts w:cs="Arial"/>
        </w:rPr>
      </w:pPr>
      <w:r w:rsidRPr="00ED38E9">
        <w:rPr>
          <w:rFonts w:cs="Arial"/>
        </w:rPr>
        <w:t>V současné době tak OEEZ směřují jak do systémů výrobce (místa zpětného odběru, odděleného sběru, popř. poslední prodejci), tak do zařízení na zpracování elektroodpadů (tyto údaje v současnosti nejsou součástí hodnot pro výpočet cílů sběru). Cíle sběru nejsou přímo stanoveny na tyto subjekty, ale na Č</w:t>
      </w:r>
      <w:r w:rsidR="001875EF" w:rsidRPr="00ED38E9">
        <w:rPr>
          <w:rFonts w:cs="Arial"/>
        </w:rPr>
        <w:t>eskou republiku</w:t>
      </w:r>
      <w:r w:rsidRPr="00ED38E9">
        <w:rPr>
          <w:rFonts w:cs="Arial"/>
        </w:rPr>
        <w:t xml:space="preserve">. </w:t>
      </w:r>
    </w:p>
    <w:p w:rsidR="007D1981" w:rsidRPr="00ED38E9" w:rsidRDefault="007D1981" w:rsidP="006360CC">
      <w:pPr>
        <w:pStyle w:val="Normlntun"/>
        <w:rPr>
          <w:rFonts w:cs="Arial"/>
        </w:rPr>
      </w:pPr>
    </w:p>
    <w:p w:rsidR="007D1981" w:rsidRPr="00ED38E9" w:rsidRDefault="007D1981" w:rsidP="007D1981">
      <w:pPr>
        <w:pStyle w:val="Normlntun"/>
        <w:rPr>
          <w:rFonts w:cs="Arial"/>
        </w:rPr>
      </w:pPr>
      <w:r w:rsidRPr="00ED38E9">
        <w:rPr>
          <w:rFonts w:cs="Arial"/>
        </w:rPr>
        <w:t>Tato varianta představuje:</w:t>
      </w:r>
    </w:p>
    <w:p w:rsidR="006360CC" w:rsidRPr="00ED38E9" w:rsidRDefault="006360CC" w:rsidP="006360CC">
      <w:pPr>
        <w:pStyle w:val="Normlntun"/>
        <w:rPr>
          <w:rFonts w:cs="Arial"/>
        </w:rPr>
      </w:pPr>
      <w:r w:rsidRPr="00ED38E9">
        <w:rPr>
          <w:rFonts w:cs="Arial"/>
        </w:rPr>
        <w:t>Dopady na státní rozpočet a ostatní veřejné rozpočty</w:t>
      </w:r>
    </w:p>
    <w:p w:rsidR="006360CC" w:rsidRPr="00ED38E9" w:rsidRDefault="001875EF" w:rsidP="006360CC">
      <w:pPr>
        <w:rPr>
          <w:rFonts w:cs="Arial"/>
        </w:rPr>
      </w:pPr>
      <w:r w:rsidRPr="00ED38E9">
        <w:rPr>
          <w:rFonts w:cs="Arial"/>
        </w:rPr>
        <w:t>S</w:t>
      </w:r>
      <w:r w:rsidR="006360CC" w:rsidRPr="00ED38E9">
        <w:rPr>
          <w:rFonts w:cs="Arial"/>
        </w:rPr>
        <w:t xml:space="preserve"> ohledem na v současnosti dosahovanou míru sběru cca 33 % hrozí riziko </w:t>
      </w:r>
      <w:r w:rsidR="00E0117F">
        <w:rPr>
          <w:rFonts w:cs="Arial"/>
        </w:rPr>
        <w:t>infringement</w:t>
      </w:r>
      <w:r w:rsidR="006360CC" w:rsidRPr="00ED38E9">
        <w:rPr>
          <w:rFonts w:cs="Arial"/>
        </w:rPr>
        <w:t>u z důvodu neplnění cílů stanovených EU, protože nejsou jasně stanovena pravidla plnění cílů pro výrobce či kolektivní systémy v</w:t>
      </w:r>
      <w:r w:rsidRPr="00ED38E9">
        <w:rPr>
          <w:rFonts w:cs="Arial"/>
        </w:rPr>
        <w:t>četně sankcí za jejich neplnění.</w:t>
      </w:r>
    </w:p>
    <w:p w:rsidR="006360CC" w:rsidRPr="00ED38E9" w:rsidRDefault="006360CC" w:rsidP="006360CC">
      <w:pPr>
        <w:pStyle w:val="Normlntun"/>
        <w:rPr>
          <w:rFonts w:cs="Arial"/>
        </w:rPr>
      </w:pPr>
      <w:r w:rsidRPr="00ED38E9">
        <w:rPr>
          <w:rFonts w:cs="Arial"/>
        </w:rPr>
        <w:t>Dopady na podnikatelské subjekty</w:t>
      </w:r>
    </w:p>
    <w:p w:rsidR="001875EF" w:rsidRPr="00ED38E9" w:rsidRDefault="007B11C8" w:rsidP="006360CC">
      <w:pPr>
        <w:rPr>
          <w:rFonts w:cs="Arial"/>
        </w:rPr>
      </w:pPr>
      <w:r w:rsidRPr="00ED38E9">
        <w:rPr>
          <w:rFonts w:cs="Arial"/>
        </w:rPr>
        <w:t>S</w:t>
      </w:r>
      <w:r w:rsidR="006360CC" w:rsidRPr="00ED38E9">
        <w:rPr>
          <w:rFonts w:cs="Arial"/>
        </w:rPr>
        <w:t>ubjekty, které nakládají s OEEZ musí disponovat smlouv</w:t>
      </w:r>
      <w:r w:rsidR="001875EF" w:rsidRPr="00ED38E9">
        <w:rPr>
          <w:rFonts w:cs="Arial"/>
        </w:rPr>
        <w:t>o</w:t>
      </w:r>
      <w:r w:rsidR="006360CC" w:rsidRPr="00ED38E9">
        <w:rPr>
          <w:rFonts w:cs="Arial"/>
        </w:rPr>
        <w:t>u s</w:t>
      </w:r>
      <w:r w:rsidRPr="00ED38E9">
        <w:rPr>
          <w:rFonts w:cs="Arial"/>
        </w:rPr>
        <w:t> </w:t>
      </w:r>
      <w:r w:rsidR="006360CC" w:rsidRPr="00ED38E9">
        <w:rPr>
          <w:rFonts w:cs="Arial"/>
        </w:rPr>
        <w:t>výrobcem</w:t>
      </w:r>
      <w:r w:rsidRPr="00ED38E9">
        <w:rPr>
          <w:rFonts w:cs="Arial"/>
        </w:rPr>
        <w:t xml:space="preserve"> či</w:t>
      </w:r>
      <w:r w:rsidR="006360CC" w:rsidRPr="00ED38E9">
        <w:rPr>
          <w:rFonts w:cs="Arial"/>
        </w:rPr>
        <w:t xml:space="preserve"> KS, nebo musí disponovat souhlasem pro zpracování OEEZ</w:t>
      </w:r>
      <w:r w:rsidRPr="00ED38E9">
        <w:rPr>
          <w:rFonts w:cs="Arial"/>
        </w:rPr>
        <w:t xml:space="preserve"> vydaným KÚ</w:t>
      </w:r>
      <w:r w:rsidR="006360CC" w:rsidRPr="00ED38E9">
        <w:rPr>
          <w:rFonts w:cs="Arial"/>
        </w:rPr>
        <w:t xml:space="preserve">. </w:t>
      </w:r>
    </w:p>
    <w:p w:rsidR="006360CC" w:rsidRPr="00ED38E9" w:rsidRDefault="006360CC" w:rsidP="001875EF">
      <w:pPr>
        <w:pStyle w:val="Normlntun"/>
        <w:rPr>
          <w:rFonts w:cs="Arial"/>
        </w:rPr>
      </w:pPr>
      <w:r w:rsidRPr="00ED38E9">
        <w:rPr>
          <w:rFonts w:cs="Arial"/>
        </w:rPr>
        <w:t>Dopady na územní samosprávné celky (obce, kraje)</w:t>
      </w:r>
    </w:p>
    <w:p w:rsidR="006360CC" w:rsidRPr="00ED38E9" w:rsidRDefault="007B11C8" w:rsidP="006360CC">
      <w:pPr>
        <w:rPr>
          <w:rFonts w:cs="Arial"/>
        </w:rPr>
      </w:pPr>
      <w:r w:rsidRPr="00ED38E9">
        <w:rPr>
          <w:rFonts w:cs="Arial"/>
        </w:rPr>
        <w:t>Současný stav nepředstavuje dopady na územní samosprávné celky.</w:t>
      </w:r>
    </w:p>
    <w:p w:rsidR="006360CC" w:rsidRPr="00ED38E9" w:rsidRDefault="006360CC" w:rsidP="006360CC">
      <w:pPr>
        <w:pStyle w:val="Normlntun"/>
        <w:rPr>
          <w:rFonts w:cs="Arial"/>
        </w:rPr>
      </w:pPr>
      <w:r w:rsidRPr="00ED38E9">
        <w:rPr>
          <w:rFonts w:cs="Arial"/>
        </w:rPr>
        <w:t>Sociální dopady</w:t>
      </w:r>
      <w:r w:rsidR="007B11C8" w:rsidRPr="00ED38E9">
        <w:rPr>
          <w:rFonts w:cs="Arial"/>
        </w:rPr>
        <w:t xml:space="preserve"> a dopady na spotřebitele</w:t>
      </w:r>
    </w:p>
    <w:p w:rsidR="006360CC" w:rsidRPr="00ED38E9" w:rsidRDefault="007B11C8" w:rsidP="006360CC">
      <w:pPr>
        <w:rPr>
          <w:rFonts w:cs="Arial"/>
        </w:rPr>
      </w:pPr>
      <w:r w:rsidRPr="00ED38E9">
        <w:rPr>
          <w:rFonts w:cs="Arial"/>
        </w:rPr>
        <w:t>Současný stav nepředstavuje dopady v sociální oblasti ani na spotřebitele.</w:t>
      </w:r>
    </w:p>
    <w:p w:rsidR="006360CC" w:rsidRPr="00ED38E9" w:rsidRDefault="006360CC" w:rsidP="006360CC">
      <w:pPr>
        <w:pStyle w:val="Normlntun"/>
        <w:rPr>
          <w:rFonts w:cs="Arial"/>
        </w:rPr>
      </w:pPr>
      <w:r w:rsidRPr="00ED38E9">
        <w:rPr>
          <w:rFonts w:cs="Arial"/>
        </w:rPr>
        <w:t>Dopady na životní prostředí</w:t>
      </w:r>
    </w:p>
    <w:p w:rsidR="006360CC" w:rsidRPr="00ED38E9" w:rsidRDefault="007B11C8" w:rsidP="006360CC">
      <w:pPr>
        <w:rPr>
          <w:rFonts w:cs="Arial"/>
        </w:rPr>
      </w:pPr>
      <w:r w:rsidRPr="00ED38E9">
        <w:rPr>
          <w:rFonts w:cs="Arial"/>
        </w:rPr>
        <w:t>Současný stav představuje dopady na životní prostředí, protože je zde</w:t>
      </w:r>
      <w:r w:rsidR="006360CC" w:rsidRPr="00ED38E9">
        <w:rPr>
          <w:rFonts w:cs="Arial"/>
        </w:rPr>
        <w:t xml:space="preserve"> nízká motivace</w:t>
      </w:r>
      <w:r w:rsidRPr="00ED38E9">
        <w:rPr>
          <w:rFonts w:cs="Arial"/>
        </w:rPr>
        <w:t xml:space="preserve"> pro navyšování míry sběru OEEZ a je otázkou, kde dané množství OEEZ končí.</w:t>
      </w:r>
    </w:p>
    <w:p w:rsidR="006360CC" w:rsidRPr="00ED38E9" w:rsidRDefault="006360CC" w:rsidP="002D66F0">
      <w:pPr>
        <w:pStyle w:val="Odstavecseseznamem"/>
        <w:keepNext/>
        <w:numPr>
          <w:ilvl w:val="0"/>
          <w:numId w:val="101"/>
        </w:numPr>
        <w:spacing w:before="240" w:after="120"/>
        <w:ind w:left="714" w:hanging="357"/>
        <w:contextualSpacing w:val="0"/>
        <w:rPr>
          <w:rFonts w:cs="Arial"/>
        </w:rPr>
      </w:pPr>
      <w:r w:rsidRPr="00ED38E9">
        <w:rPr>
          <w:rFonts w:cs="Arial"/>
        </w:rPr>
        <w:t>Varianta 1</w:t>
      </w:r>
    </w:p>
    <w:p w:rsidR="006360CC" w:rsidRPr="00ED38E9" w:rsidRDefault="006360CC" w:rsidP="006360CC">
      <w:pPr>
        <w:keepNext/>
        <w:spacing w:before="240"/>
        <w:rPr>
          <w:rFonts w:cs="Arial"/>
        </w:rPr>
      </w:pPr>
      <w:r w:rsidRPr="00ED38E9">
        <w:rPr>
          <w:rFonts w:cs="Arial"/>
        </w:rPr>
        <w:t>Zachovává současný stav s tím, že pouze na výrobce</w:t>
      </w:r>
      <w:r w:rsidR="00613E53">
        <w:rPr>
          <w:rFonts w:cs="Arial"/>
        </w:rPr>
        <w:t>/</w:t>
      </w:r>
      <w:r w:rsidRPr="00ED38E9">
        <w:rPr>
          <w:rFonts w:cs="Arial"/>
        </w:rPr>
        <w:t>KS je vztažena míra sběru. OEEZ však mohou přebírat také zpracovatelé, na které míra sběru vztažena není. Část množství OEEZ se tak bude vyskytovat mimo systém výrobců (u zpracovatelů, kteří nejsou navázání na KS), což může způsobit obtížnější splnění požadovaných cílů sběru. Ve snaze splnění požadovaných cílů sběru budou výrobci</w:t>
      </w:r>
      <w:r w:rsidR="00613E53">
        <w:rPr>
          <w:rFonts w:cs="Arial"/>
        </w:rPr>
        <w:t>/</w:t>
      </w:r>
      <w:r w:rsidRPr="00ED38E9">
        <w:rPr>
          <w:rFonts w:cs="Arial"/>
        </w:rPr>
        <w:t>KS nuceni spolupracovat s co nejvíce zpracovateli tak, aby dosáhli požadovaných hodnot. To může způsobit, že výrobce</w:t>
      </w:r>
      <w:r w:rsidR="00613E53">
        <w:rPr>
          <w:rFonts w:cs="Arial"/>
        </w:rPr>
        <w:t>/</w:t>
      </w:r>
      <w:r w:rsidRPr="00ED38E9">
        <w:rPr>
          <w:rFonts w:cs="Arial"/>
        </w:rPr>
        <w:t xml:space="preserve">KS bude nucen spolupracovat i se zpracovatelem, který dle jeho názoru není zcela důvěryhodný ve věci řádného splnění povinností, které musí zajistit </w:t>
      </w:r>
      <w:r w:rsidR="00725E2D">
        <w:rPr>
          <w:rFonts w:cs="Arial"/>
        </w:rPr>
        <w:t xml:space="preserve">(bude mít </w:t>
      </w:r>
      <w:r w:rsidRPr="00ED38E9">
        <w:rPr>
          <w:rFonts w:cs="Arial"/>
        </w:rPr>
        <w:t>pochybnost o tom, že daný zpracovatel řádně zajistí požadované využití OEEZ</w:t>
      </w:r>
      <w:r w:rsidR="00725E2D">
        <w:rPr>
          <w:rFonts w:cs="Arial"/>
        </w:rPr>
        <w:t>)</w:t>
      </w:r>
      <w:r w:rsidRPr="00ED38E9">
        <w:rPr>
          <w:rFonts w:cs="Arial"/>
        </w:rPr>
        <w:t>. V souvislosti s tím může docházet ke „kupčení“ s daty o zpětném odběru a využitím OEEZ ze strany zpracovatelů a výrobců</w:t>
      </w:r>
      <w:r w:rsidR="00613E53">
        <w:rPr>
          <w:rFonts w:cs="Arial"/>
        </w:rPr>
        <w:t>/</w:t>
      </w:r>
      <w:r w:rsidRPr="00ED38E9">
        <w:rPr>
          <w:rFonts w:cs="Arial"/>
        </w:rPr>
        <w:t xml:space="preserve">KS. </w:t>
      </w:r>
    </w:p>
    <w:p w:rsidR="007D1981" w:rsidRPr="00ED38E9" w:rsidRDefault="007D1981" w:rsidP="007D1981">
      <w:pPr>
        <w:pStyle w:val="Normlntun"/>
        <w:rPr>
          <w:rFonts w:cs="Arial"/>
        </w:rPr>
      </w:pPr>
      <w:r w:rsidRPr="00ED38E9">
        <w:rPr>
          <w:rFonts w:cs="Arial"/>
        </w:rPr>
        <w:t>Tato varianta představuje:</w:t>
      </w:r>
    </w:p>
    <w:p w:rsidR="006360CC" w:rsidRPr="00ED38E9" w:rsidRDefault="006360CC" w:rsidP="006360CC">
      <w:pPr>
        <w:pStyle w:val="Normlntun"/>
        <w:rPr>
          <w:rFonts w:cs="Arial"/>
        </w:rPr>
      </w:pPr>
      <w:r w:rsidRPr="00ED38E9">
        <w:rPr>
          <w:rFonts w:cs="Arial"/>
        </w:rPr>
        <w:t>Dopady na státní rozpočet a ostatní veřejné rozpočty</w:t>
      </w:r>
    </w:p>
    <w:p w:rsidR="006360CC" w:rsidRPr="00ED38E9" w:rsidRDefault="00C97F20" w:rsidP="006360CC">
      <w:pPr>
        <w:rPr>
          <w:rFonts w:cs="Arial"/>
        </w:rPr>
      </w:pPr>
      <w:r w:rsidRPr="00ED38E9">
        <w:rPr>
          <w:rFonts w:cs="Arial"/>
        </w:rPr>
        <w:t>Z</w:t>
      </w:r>
      <w:r w:rsidR="006360CC" w:rsidRPr="00ED38E9">
        <w:rPr>
          <w:rFonts w:cs="Arial"/>
        </w:rPr>
        <w:t>výšení AZ kontrolních orgánů v případech, kdy bude více subjektů sbírajících a zpracujících OEEZ samostatně.</w:t>
      </w:r>
    </w:p>
    <w:p w:rsidR="006360CC" w:rsidRPr="00ED38E9" w:rsidRDefault="006360CC" w:rsidP="006360CC">
      <w:pPr>
        <w:pStyle w:val="Normlntun"/>
        <w:rPr>
          <w:rFonts w:cs="Arial"/>
        </w:rPr>
      </w:pPr>
      <w:r w:rsidRPr="00ED38E9">
        <w:rPr>
          <w:rFonts w:cs="Arial"/>
        </w:rPr>
        <w:t>Dopady na podnikatelské subjekty</w:t>
      </w:r>
    </w:p>
    <w:p w:rsidR="006360CC" w:rsidRPr="00ED38E9" w:rsidRDefault="00C97F20" w:rsidP="006360CC">
      <w:pPr>
        <w:rPr>
          <w:rFonts w:cs="Arial"/>
          <w:color w:val="FF0000"/>
        </w:rPr>
      </w:pPr>
      <w:r w:rsidRPr="00ED38E9">
        <w:rPr>
          <w:rFonts w:cs="Arial"/>
        </w:rPr>
        <w:t xml:space="preserve">Předpokládáme </w:t>
      </w:r>
      <w:r w:rsidR="006360CC" w:rsidRPr="00ED38E9">
        <w:rPr>
          <w:rFonts w:cs="Arial"/>
        </w:rPr>
        <w:t>navýšení AZ spojené s vedení</w:t>
      </w:r>
      <w:r w:rsidR="00533680">
        <w:rPr>
          <w:rFonts w:cs="Arial"/>
        </w:rPr>
        <w:t>m</w:t>
      </w:r>
      <w:r w:rsidR="006360CC" w:rsidRPr="00ED38E9">
        <w:rPr>
          <w:rFonts w:cs="Arial"/>
        </w:rPr>
        <w:t xml:space="preserve"> evidence u zpracovatelů OEEZ,</w:t>
      </w:r>
      <w:r w:rsidRPr="00ED38E9">
        <w:rPr>
          <w:rFonts w:cs="Arial"/>
        </w:rPr>
        <w:t xml:space="preserve"> případně riziko tzv. „kupčení“ s daty, protože kolektivní </w:t>
      </w:r>
      <w:r w:rsidR="00725E2D">
        <w:rPr>
          <w:rFonts w:cs="Arial"/>
        </w:rPr>
        <w:t xml:space="preserve">systémy </w:t>
      </w:r>
      <w:r w:rsidRPr="00ED38E9">
        <w:rPr>
          <w:rFonts w:cs="Arial"/>
        </w:rPr>
        <w:t xml:space="preserve">mohou být ze strany zpracovatelů různými způsoby </w:t>
      </w:r>
      <w:r w:rsidR="00725E2D">
        <w:rPr>
          <w:rFonts w:cs="Arial"/>
        </w:rPr>
        <w:t>„</w:t>
      </w:r>
      <w:r w:rsidRPr="00ED38E9">
        <w:rPr>
          <w:rFonts w:cs="Arial"/>
        </w:rPr>
        <w:t>vydírány</w:t>
      </w:r>
      <w:r w:rsidR="00725E2D">
        <w:rPr>
          <w:rFonts w:cs="Arial"/>
        </w:rPr>
        <w:t>“</w:t>
      </w:r>
      <w:r w:rsidRPr="00ED38E9">
        <w:rPr>
          <w:rFonts w:cs="Arial"/>
        </w:rPr>
        <w:t>, aby předešly případným sankcím za neplnění stanovených cílů.</w:t>
      </w:r>
      <w:r w:rsidR="00C64525" w:rsidRPr="00ED38E9">
        <w:rPr>
          <w:rFonts w:cs="Arial"/>
        </w:rPr>
        <w:t xml:space="preserve"> Dalším dopadem může být podání žádosti o souhlas</w:t>
      </w:r>
      <w:r w:rsidR="00533680">
        <w:rPr>
          <w:rFonts w:cs="Arial"/>
        </w:rPr>
        <w:t>/povolení k provozu zařízení</w:t>
      </w:r>
      <w:r w:rsidR="00C64525" w:rsidRPr="00ED38E9">
        <w:rPr>
          <w:rFonts w:cs="Arial"/>
        </w:rPr>
        <w:t xml:space="preserve">, u kterého se </w:t>
      </w:r>
      <w:r w:rsidR="00C64525" w:rsidRPr="00ED38E9">
        <w:rPr>
          <w:rFonts w:cs="Arial"/>
        </w:rPr>
        <w:lastRenderedPageBreak/>
        <w:t>náklady pohybují cca 10,5 tis. Kč pro jeden subjekt (dle Metodiky MPO, časová náročnost cca 42 hodin, průměrná hodinová mzda v národním hospodářství 250 Kč/hod.).</w:t>
      </w:r>
    </w:p>
    <w:p w:rsidR="006360CC" w:rsidRPr="00ED38E9" w:rsidRDefault="006360CC" w:rsidP="006360CC">
      <w:pPr>
        <w:pStyle w:val="Normlntun"/>
        <w:rPr>
          <w:rFonts w:cs="Arial"/>
        </w:rPr>
      </w:pPr>
      <w:r w:rsidRPr="00ED38E9">
        <w:rPr>
          <w:rFonts w:cs="Arial"/>
        </w:rPr>
        <w:t>Dopady na územní samosprávné celky (obce, kraje)</w:t>
      </w:r>
    </w:p>
    <w:p w:rsidR="006360CC" w:rsidRPr="00ED38E9" w:rsidRDefault="009652C9" w:rsidP="006360CC">
      <w:pPr>
        <w:rPr>
          <w:rFonts w:cs="Arial"/>
          <w:color w:val="FF0000"/>
        </w:rPr>
      </w:pPr>
      <w:r w:rsidRPr="00ED38E9">
        <w:rPr>
          <w:rFonts w:cs="Arial"/>
        </w:rPr>
        <w:t>Mezi dopady na ÚSC řadíme případné vydávání souhlasů</w:t>
      </w:r>
      <w:r w:rsidR="00533680">
        <w:rPr>
          <w:rFonts w:cs="Arial"/>
        </w:rPr>
        <w:t>/povolení k provozu zařízení</w:t>
      </w:r>
      <w:r w:rsidRPr="00ED38E9">
        <w:rPr>
          <w:rFonts w:cs="Arial"/>
        </w:rPr>
        <w:t xml:space="preserve">, které se pohybuje v rozmězí 2 300–13 200 Kč za vydání jednoho </w:t>
      </w:r>
      <w:r w:rsidR="00533680">
        <w:rPr>
          <w:rFonts w:cs="Arial"/>
        </w:rPr>
        <w:t>rozhodnutí</w:t>
      </w:r>
      <w:r w:rsidR="00533680" w:rsidRPr="00ED38E9">
        <w:rPr>
          <w:rFonts w:cs="Arial"/>
        </w:rPr>
        <w:t xml:space="preserve"> </w:t>
      </w:r>
      <w:r w:rsidRPr="00ED38E9">
        <w:rPr>
          <w:rFonts w:cs="Arial"/>
        </w:rPr>
        <w:t>(dle Metodiky MV, stav k 1. 1. 2015, 11. platová třída, časová náročnost 7–40 hodin).</w:t>
      </w:r>
    </w:p>
    <w:p w:rsidR="00C97F20" w:rsidRPr="00ED38E9" w:rsidRDefault="00C97F20" w:rsidP="00C97F20">
      <w:pPr>
        <w:pStyle w:val="Normlntun"/>
        <w:rPr>
          <w:rFonts w:cs="Arial"/>
        </w:rPr>
      </w:pPr>
      <w:r w:rsidRPr="00ED38E9">
        <w:rPr>
          <w:rFonts w:cs="Arial"/>
        </w:rPr>
        <w:t>Sociální dopady a dopady na spotřebitele</w:t>
      </w:r>
    </w:p>
    <w:p w:rsidR="006360CC" w:rsidRPr="00ED38E9" w:rsidRDefault="00C97F20" w:rsidP="006360CC">
      <w:pPr>
        <w:rPr>
          <w:rFonts w:cs="Arial"/>
        </w:rPr>
      </w:pPr>
      <w:r w:rsidRPr="00ED38E9">
        <w:rPr>
          <w:rFonts w:cs="Arial"/>
        </w:rPr>
        <w:t>Nepředpokládáme dopady v sociální oblasti nebo na spotřebitele.</w:t>
      </w:r>
    </w:p>
    <w:p w:rsidR="006360CC" w:rsidRPr="00ED38E9" w:rsidRDefault="006360CC" w:rsidP="006360CC">
      <w:pPr>
        <w:pStyle w:val="Normlntun"/>
        <w:rPr>
          <w:rFonts w:cs="Arial"/>
        </w:rPr>
      </w:pPr>
      <w:r w:rsidRPr="00ED38E9">
        <w:rPr>
          <w:rFonts w:cs="Arial"/>
        </w:rPr>
        <w:t>Dopady na životní prostředí</w:t>
      </w:r>
    </w:p>
    <w:p w:rsidR="006360CC" w:rsidRPr="00ED38E9" w:rsidRDefault="00C97F20" w:rsidP="006360CC">
      <w:pPr>
        <w:rPr>
          <w:rFonts w:cs="Arial"/>
        </w:rPr>
      </w:pPr>
      <w:r w:rsidRPr="00ED38E9">
        <w:rPr>
          <w:rFonts w:cs="Arial"/>
        </w:rPr>
        <w:t>O</w:t>
      </w:r>
      <w:r w:rsidR="006360CC" w:rsidRPr="00ED38E9">
        <w:rPr>
          <w:rFonts w:cs="Arial"/>
        </w:rPr>
        <w:t>btížnější kontrola při velkém množství subjektů zpracovávajících OEEZ, možnost poškození životního prostředí při neodborném zpracování OEEZ.</w:t>
      </w:r>
    </w:p>
    <w:p w:rsidR="006360CC" w:rsidRPr="00ED38E9" w:rsidRDefault="006360CC" w:rsidP="002D66F0">
      <w:pPr>
        <w:pStyle w:val="Odstavecseseznamem"/>
        <w:keepNext/>
        <w:numPr>
          <w:ilvl w:val="0"/>
          <w:numId w:val="101"/>
        </w:numPr>
        <w:spacing w:before="240" w:after="120"/>
        <w:contextualSpacing w:val="0"/>
        <w:rPr>
          <w:rFonts w:cs="Arial"/>
        </w:rPr>
      </w:pPr>
      <w:r w:rsidRPr="00ED38E9">
        <w:rPr>
          <w:rFonts w:cs="Arial"/>
        </w:rPr>
        <w:t>Varianta 2</w:t>
      </w:r>
    </w:p>
    <w:p w:rsidR="006360CC" w:rsidRPr="00ED38E9" w:rsidRDefault="006360CC" w:rsidP="006360CC">
      <w:pPr>
        <w:spacing w:before="240"/>
        <w:rPr>
          <w:rFonts w:cs="Arial"/>
        </w:rPr>
      </w:pPr>
      <w:r w:rsidRPr="00ED38E9">
        <w:rPr>
          <w:rFonts w:cs="Arial"/>
        </w:rPr>
        <w:t>Od platnosti právní úpravy z roku 2005 docházelo k častému obcházení ustanovení upravuj</w:t>
      </w:r>
      <w:r w:rsidR="006A6790">
        <w:rPr>
          <w:rFonts w:cs="Arial"/>
        </w:rPr>
        <w:t>ících</w:t>
      </w:r>
      <w:r w:rsidRPr="00ED38E9">
        <w:rPr>
          <w:rFonts w:cs="Arial"/>
        </w:rPr>
        <w:t xml:space="preserve"> přebírání EEZ</w:t>
      </w:r>
      <w:r w:rsidR="00FA47DD">
        <w:rPr>
          <w:rFonts w:cs="Arial"/>
        </w:rPr>
        <w:t>,</w:t>
      </w:r>
      <w:r w:rsidR="00FA47DD" w:rsidRPr="00ED38E9">
        <w:rPr>
          <w:rFonts w:cs="Arial"/>
        </w:rPr>
        <w:t xml:space="preserve"> </w:t>
      </w:r>
      <w:r w:rsidR="00FA47DD">
        <w:rPr>
          <w:rFonts w:cs="Arial"/>
        </w:rPr>
        <w:t xml:space="preserve">která </w:t>
      </w:r>
      <w:r w:rsidRPr="00ED38E9">
        <w:rPr>
          <w:rFonts w:cs="Arial"/>
        </w:rPr>
        <w:t xml:space="preserve">v minulosti přebíraly všechny subjekty, které měly </w:t>
      </w:r>
      <w:r w:rsidR="006A6790">
        <w:rPr>
          <w:rFonts w:cs="Arial"/>
        </w:rPr>
        <w:t>příslušná</w:t>
      </w:r>
      <w:r w:rsidRPr="00ED38E9">
        <w:rPr>
          <w:rFonts w:cs="Arial"/>
        </w:rPr>
        <w:t xml:space="preserve"> „elektroodpadová“ katalogová čísla v souhlasu k provozování zařízení</w:t>
      </w:r>
      <w:r w:rsidR="00F94CE8">
        <w:rPr>
          <w:rFonts w:cs="Arial"/>
        </w:rPr>
        <w:t xml:space="preserve"> k nakládání s </w:t>
      </w:r>
      <w:r w:rsidR="006A6790">
        <w:rPr>
          <w:rFonts w:cs="Arial"/>
        </w:rPr>
        <w:t>odpady</w:t>
      </w:r>
      <w:r w:rsidRPr="00ED38E9">
        <w:rPr>
          <w:rFonts w:cs="Arial"/>
        </w:rPr>
        <w:t>. Běžně tak docházelo k tomu, že OEEZ byla zařazována pod katalogová čísla odpadů pocházejících z demolicí staveb, popř. pod samotné kovy i přesto, že OEEZ lze zařadit pod konkrétní katalogová čísla (skupina 16 a 20 dle katalogu odpadů). V souvislosti s tím docházelo v zařízeních pro sběr a výkup odpadů mnohdy k nelegálním demontážím OEEZ, kdy tyto subjekty finančně zhodnocovaly pouze jejich vybrané části a ostatní, kde jejich další prodej nebyl přímo ekonomicky výhodný, byly odstraňovány. Nelegální demontáže zároveň způsobovaly nemalé riziko pro životní prostředí, kdy nebezpečné látky, které řada EEZ obsahuje, mohly unik</w:t>
      </w:r>
      <w:r w:rsidR="006A6790">
        <w:rPr>
          <w:rFonts w:cs="Arial"/>
        </w:rPr>
        <w:t>at</w:t>
      </w:r>
      <w:r w:rsidRPr="00ED38E9">
        <w:rPr>
          <w:rFonts w:cs="Arial"/>
        </w:rPr>
        <w:t xml:space="preserve"> do ovzduší či povrchových nebo podzemních vod, protože daná zařízení pro sběr a výkup odpadů pro tyto demontáže nebyla uzpůsobena. V souvislosti s tím tyto subjekty nebyly schopny zabezpečit materiálové využití OEEZ tak, jak to určuje směrnice 2012/19/EU. ČR pak zároveň přicházela o údaje o sběru OEEZ, protože z evidence nebylo patrno, kolik OEEZ bylo sebráno z důvodu chybného zařazování těchto o</w:t>
      </w:r>
      <w:r w:rsidR="00043FDF" w:rsidRPr="00ED38E9">
        <w:rPr>
          <w:rFonts w:cs="Arial"/>
        </w:rPr>
        <w:t>dpadů pod katalogová čísla (viz</w:t>
      </w:r>
      <w:r w:rsidRPr="00ED38E9">
        <w:rPr>
          <w:rFonts w:cs="Arial"/>
        </w:rPr>
        <w:t xml:space="preserve"> výše). </w:t>
      </w:r>
      <w:r w:rsidR="006A6790">
        <w:rPr>
          <w:rFonts w:cs="Arial"/>
        </w:rPr>
        <w:t>Tomuto</w:t>
      </w:r>
      <w:r w:rsidRPr="00ED38E9">
        <w:rPr>
          <w:rFonts w:cs="Arial"/>
        </w:rPr>
        <w:t xml:space="preserve"> obcházení </w:t>
      </w:r>
      <w:r w:rsidR="006A6790">
        <w:rPr>
          <w:rFonts w:cs="Arial"/>
        </w:rPr>
        <w:t>zákona se pokusila zamezit novela zákona o odpadech</w:t>
      </w:r>
      <w:r w:rsidRPr="00ED38E9">
        <w:rPr>
          <w:rFonts w:cs="Arial"/>
        </w:rPr>
        <w:t xml:space="preserve"> v roce 2014 </w:t>
      </w:r>
      <w:r w:rsidR="007F7A55">
        <w:rPr>
          <w:rFonts w:cs="Arial"/>
        </w:rPr>
        <w:t>změnou ustanovení § 37k odst. 5</w:t>
      </w:r>
      <w:r w:rsidRPr="00ED38E9">
        <w:rPr>
          <w:rFonts w:cs="Arial"/>
        </w:rPr>
        <w:t>.</w:t>
      </w:r>
    </w:p>
    <w:p w:rsidR="006360CC" w:rsidRPr="00ED38E9" w:rsidRDefault="006360CC" w:rsidP="006360CC">
      <w:pPr>
        <w:spacing w:before="240"/>
        <w:rPr>
          <w:rFonts w:cs="Arial"/>
        </w:rPr>
      </w:pPr>
      <w:r w:rsidRPr="00ED38E9">
        <w:rPr>
          <w:rFonts w:cs="Arial"/>
        </w:rPr>
        <w:t>Vedle systémů sběru a zpracování OEEZ vytvořeného výrobci</w:t>
      </w:r>
      <w:r w:rsidR="00613E53">
        <w:rPr>
          <w:rFonts w:cs="Arial"/>
        </w:rPr>
        <w:t>/</w:t>
      </w:r>
      <w:r w:rsidRPr="00ED38E9">
        <w:rPr>
          <w:rFonts w:cs="Arial"/>
        </w:rPr>
        <w:t xml:space="preserve">KS, by v tomto případě existovala sběrná síť </w:t>
      </w:r>
      <w:r w:rsidR="007F7A55">
        <w:rPr>
          <w:rFonts w:cs="Arial"/>
        </w:rPr>
        <w:t>provozovaná</w:t>
      </w:r>
      <w:r w:rsidR="007F7A55" w:rsidRPr="00ED38E9">
        <w:rPr>
          <w:rFonts w:cs="Arial"/>
        </w:rPr>
        <w:t xml:space="preserve"> </w:t>
      </w:r>
      <w:r w:rsidRPr="00ED38E9">
        <w:rPr>
          <w:rFonts w:cs="Arial"/>
        </w:rPr>
        <w:t>subjekty, které jsou oprávněni přebírat OEEZ, a to bez jakékoliv vazby na systém výrobců</w:t>
      </w:r>
      <w:r w:rsidR="00613E53">
        <w:rPr>
          <w:rFonts w:cs="Arial"/>
        </w:rPr>
        <w:t>/</w:t>
      </w:r>
      <w:r w:rsidRPr="00ED38E9">
        <w:rPr>
          <w:rFonts w:cs="Arial"/>
        </w:rPr>
        <w:t xml:space="preserve">KS. Celková data pro cíle sběru by byla počítána na základě výkazů zasílaných těmito subjekty. </w:t>
      </w:r>
    </w:p>
    <w:p w:rsidR="006360CC" w:rsidRPr="00ED38E9" w:rsidRDefault="006360CC" w:rsidP="006360CC">
      <w:pPr>
        <w:spacing w:before="240"/>
        <w:rPr>
          <w:rFonts w:cs="Arial"/>
        </w:rPr>
      </w:pPr>
      <w:r w:rsidRPr="00ED38E9">
        <w:rPr>
          <w:rFonts w:cs="Arial"/>
        </w:rPr>
        <w:t xml:space="preserve">Ve sběrné síti mimo </w:t>
      </w:r>
      <w:r w:rsidR="007F7A55">
        <w:rPr>
          <w:rFonts w:cs="Arial"/>
        </w:rPr>
        <w:t>systémy</w:t>
      </w:r>
      <w:r w:rsidR="007F7A55" w:rsidRPr="00ED38E9">
        <w:rPr>
          <w:rFonts w:cs="Arial"/>
        </w:rPr>
        <w:t xml:space="preserve"> </w:t>
      </w:r>
      <w:r w:rsidRPr="00ED38E9">
        <w:rPr>
          <w:rFonts w:cs="Arial"/>
        </w:rPr>
        <w:t>výrobců</w:t>
      </w:r>
      <w:r w:rsidR="00613E53">
        <w:rPr>
          <w:rFonts w:cs="Arial"/>
        </w:rPr>
        <w:t>/</w:t>
      </w:r>
      <w:r w:rsidRPr="00ED38E9">
        <w:rPr>
          <w:rFonts w:cs="Arial"/>
        </w:rPr>
        <w:t xml:space="preserve">KS by tak končila pouze taková OEEZ, </w:t>
      </w:r>
      <w:r w:rsidR="00FA47DD" w:rsidRPr="00ED38E9">
        <w:rPr>
          <w:rFonts w:cs="Arial"/>
        </w:rPr>
        <w:t>kter</w:t>
      </w:r>
      <w:r w:rsidR="00FA47DD">
        <w:rPr>
          <w:rFonts w:cs="Arial"/>
        </w:rPr>
        <w:t>á</w:t>
      </w:r>
      <w:r w:rsidR="00FA47DD" w:rsidRPr="00ED38E9">
        <w:rPr>
          <w:rFonts w:cs="Arial"/>
        </w:rPr>
        <w:t xml:space="preserve"> </w:t>
      </w:r>
      <w:r w:rsidRPr="00ED38E9">
        <w:rPr>
          <w:rFonts w:cs="Arial"/>
        </w:rPr>
        <w:t>by bylo možné v dané chvíli finančně zhodnotit (charakter takových OEEZ se může během času měnit z důvodu měnících se cen při prodeji kovů). Na druhou stranu by ve sběrné síti zajišťované výrobci</w:t>
      </w:r>
      <w:r w:rsidR="00613E53">
        <w:rPr>
          <w:rFonts w:cs="Arial"/>
        </w:rPr>
        <w:t>/</w:t>
      </w:r>
      <w:r w:rsidRPr="00ED38E9">
        <w:rPr>
          <w:rFonts w:cs="Arial"/>
        </w:rPr>
        <w:t>KS končila převážně OEEZ se zápornou hodnotou zpracování</w:t>
      </w:r>
      <w:r w:rsidR="00FA47DD">
        <w:rPr>
          <w:rFonts w:cs="Arial"/>
        </w:rPr>
        <w:t>.</w:t>
      </w:r>
      <w:r w:rsidRPr="00ED38E9">
        <w:rPr>
          <w:rFonts w:cs="Arial"/>
        </w:rPr>
        <w:t xml:space="preserve"> To by mohlo způsobit navýšení nákladů na zajištění sběru a zpracování OEEZ. Výrobci</w:t>
      </w:r>
      <w:r w:rsidR="007F7A55">
        <w:rPr>
          <w:rFonts w:cs="Arial"/>
        </w:rPr>
        <w:t xml:space="preserve"> a</w:t>
      </w:r>
      <w:r w:rsidRPr="00ED38E9">
        <w:rPr>
          <w:rFonts w:cs="Arial"/>
        </w:rPr>
        <w:t xml:space="preserve"> KS by tak museli vytvářet větší finanční rezervu s ohledem na míru nejistoty vyplývající z budoucích cen na trhu </w:t>
      </w:r>
      <w:r w:rsidRPr="00ED38E9">
        <w:rPr>
          <w:rFonts w:cs="Arial"/>
        </w:rPr>
        <w:lastRenderedPageBreak/>
        <w:t>druhotných surovin. To by vedlo k navýšení tzv. recyklačních příspěvků a</w:t>
      </w:r>
      <w:r w:rsidR="00043FDF" w:rsidRPr="00ED38E9">
        <w:rPr>
          <w:rFonts w:cs="Arial"/>
        </w:rPr>
        <w:t> </w:t>
      </w:r>
      <w:r w:rsidRPr="00ED38E9">
        <w:rPr>
          <w:rFonts w:cs="Arial"/>
        </w:rPr>
        <w:t xml:space="preserve">v konečném důsledku také ke snižování nebo ukončení finanční motivace provozovatelů míst zpětného odběru (např. obcí) nebo zpracovatelů OEEZ. </w:t>
      </w:r>
    </w:p>
    <w:p w:rsidR="006360CC" w:rsidRPr="00ED38E9" w:rsidRDefault="00E67F97" w:rsidP="006360CC">
      <w:pPr>
        <w:pStyle w:val="Normlntun"/>
        <w:rPr>
          <w:rFonts w:cs="Arial"/>
        </w:rPr>
      </w:pPr>
      <w:r w:rsidRPr="00ED38E9">
        <w:rPr>
          <w:rFonts w:cs="Arial"/>
        </w:rPr>
        <w:t>Tato varianta představuje:</w:t>
      </w:r>
    </w:p>
    <w:p w:rsidR="006360CC" w:rsidRPr="00ED38E9" w:rsidRDefault="006360CC" w:rsidP="006360CC">
      <w:pPr>
        <w:pStyle w:val="Normlntun"/>
        <w:rPr>
          <w:rFonts w:cs="Arial"/>
        </w:rPr>
      </w:pPr>
      <w:r w:rsidRPr="00ED38E9">
        <w:rPr>
          <w:rFonts w:cs="Arial"/>
        </w:rPr>
        <w:t>Dopady na státní rozpočet a ostatní veřejné rozpočty</w:t>
      </w:r>
    </w:p>
    <w:p w:rsidR="006360CC" w:rsidRPr="00ED38E9" w:rsidRDefault="006360CC" w:rsidP="002D66F0">
      <w:pPr>
        <w:pStyle w:val="Odstavecseseznamem"/>
        <w:numPr>
          <w:ilvl w:val="0"/>
          <w:numId w:val="106"/>
        </w:numPr>
        <w:rPr>
          <w:rFonts w:cs="Arial"/>
        </w:rPr>
      </w:pPr>
      <w:r w:rsidRPr="00ED38E9">
        <w:rPr>
          <w:rFonts w:cs="Arial"/>
        </w:rPr>
        <w:t xml:space="preserve">riziko </w:t>
      </w:r>
      <w:r w:rsidR="00E0117F">
        <w:rPr>
          <w:rFonts w:cs="Arial"/>
        </w:rPr>
        <w:t>infringement</w:t>
      </w:r>
      <w:r w:rsidRPr="00ED38E9">
        <w:rPr>
          <w:rFonts w:cs="Arial"/>
        </w:rPr>
        <w:t>u - sankcí z EU,</w:t>
      </w:r>
    </w:p>
    <w:p w:rsidR="006360CC" w:rsidRPr="00ED38E9" w:rsidRDefault="006360CC" w:rsidP="002D66F0">
      <w:pPr>
        <w:pStyle w:val="Odstavecseseznamem"/>
        <w:numPr>
          <w:ilvl w:val="0"/>
          <w:numId w:val="106"/>
        </w:numPr>
        <w:rPr>
          <w:rFonts w:cs="Arial"/>
        </w:rPr>
      </w:pPr>
      <w:r w:rsidRPr="00ED38E9">
        <w:rPr>
          <w:rFonts w:cs="Arial"/>
        </w:rPr>
        <w:t>zvýšené náklady na kontrolu povinných subjektů ze strany ČIŽP</w:t>
      </w:r>
      <w:r w:rsidR="00043FDF" w:rsidRPr="00ED38E9">
        <w:rPr>
          <w:rFonts w:cs="Arial"/>
        </w:rPr>
        <w:t>.</w:t>
      </w:r>
    </w:p>
    <w:p w:rsidR="006360CC" w:rsidRPr="00ED38E9" w:rsidRDefault="006360CC" w:rsidP="006360CC">
      <w:pPr>
        <w:pStyle w:val="Normlntun"/>
        <w:rPr>
          <w:rFonts w:cs="Arial"/>
        </w:rPr>
      </w:pPr>
      <w:r w:rsidRPr="00ED38E9">
        <w:rPr>
          <w:rFonts w:cs="Arial"/>
        </w:rPr>
        <w:t>Dopady na podnikatelské subjekty</w:t>
      </w:r>
    </w:p>
    <w:p w:rsidR="006360CC" w:rsidRPr="00ED38E9" w:rsidRDefault="006360CC" w:rsidP="002D66F0">
      <w:pPr>
        <w:pStyle w:val="Odstavecseseznamem"/>
        <w:numPr>
          <w:ilvl w:val="0"/>
          <w:numId w:val="106"/>
        </w:numPr>
        <w:rPr>
          <w:rFonts w:cs="Arial"/>
        </w:rPr>
      </w:pPr>
      <w:r w:rsidRPr="00ED38E9">
        <w:rPr>
          <w:rFonts w:cs="Arial"/>
        </w:rPr>
        <w:t>navýšení nákladů výrobců a kolektivních systémů, navýšení tzv. recyklačních příspěvků</w:t>
      </w:r>
    </w:p>
    <w:p w:rsidR="006360CC" w:rsidRPr="00ED38E9" w:rsidRDefault="006360CC" w:rsidP="002D66F0">
      <w:pPr>
        <w:pStyle w:val="Odstavecseseznamem"/>
        <w:numPr>
          <w:ilvl w:val="0"/>
          <w:numId w:val="106"/>
        </w:numPr>
        <w:rPr>
          <w:rFonts w:cs="Arial"/>
        </w:rPr>
      </w:pPr>
      <w:r w:rsidRPr="00ED38E9">
        <w:rPr>
          <w:rFonts w:cs="Arial"/>
        </w:rPr>
        <w:t>snížení příspěvků provozovatelům sběrných míst, zpracovatelům</w:t>
      </w:r>
      <w:r w:rsidR="00E67F97" w:rsidRPr="00ED38E9">
        <w:rPr>
          <w:rFonts w:cs="Arial"/>
        </w:rPr>
        <w:t>,</w:t>
      </w:r>
    </w:p>
    <w:p w:rsidR="00E67F97" w:rsidRPr="00ED38E9" w:rsidRDefault="00E67F97" w:rsidP="002D66F0">
      <w:pPr>
        <w:pStyle w:val="Odstavecseseznamem"/>
        <w:numPr>
          <w:ilvl w:val="0"/>
          <w:numId w:val="106"/>
        </w:numPr>
        <w:rPr>
          <w:rFonts w:cs="Arial"/>
        </w:rPr>
      </w:pPr>
      <w:r w:rsidRPr="00ED38E9">
        <w:rPr>
          <w:rFonts w:cs="Arial"/>
        </w:rPr>
        <w:t>nerovné podmínky na trhu, protože zpracovatelé by si vybírali pouze OEEZ nebo jejich části, které mají kladnou hodnotu,</w:t>
      </w:r>
    </w:p>
    <w:p w:rsidR="00C64525" w:rsidRPr="00ED38E9" w:rsidRDefault="00C64525" w:rsidP="00C64525">
      <w:pPr>
        <w:rPr>
          <w:rFonts w:cs="Arial"/>
          <w:color w:val="FF0000"/>
        </w:rPr>
      </w:pPr>
      <w:r w:rsidRPr="00ED38E9">
        <w:rPr>
          <w:rFonts w:cs="Arial"/>
        </w:rPr>
        <w:t>Dalším dopadem může být podání žádosti o souhlas</w:t>
      </w:r>
      <w:r w:rsidR="00F60114">
        <w:rPr>
          <w:rFonts w:cs="Arial"/>
        </w:rPr>
        <w:t>/povolení k provozu zařízení</w:t>
      </w:r>
      <w:r w:rsidRPr="00ED38E9">
        <w:rPr>
          <w:rFonts w:cs="Arial"/>
        </w:rPr>
        <w:t>, u kterého se náklady pohybují cca 10,5 tis. Kč pro jeden subjekt (dle Metodiky MPO, časová náročnost cca 42 hodin, průměrná hodinová mzda v národním hospodářství 250 Kč/hod.).</w:t>
      </w:r>
    </w:p>
    <w:p w:rsidR="006360CC" w:rsidRPr="00ED38E9" w:rsidRDefault="006360CC" w:rsidP="006360CC">
      <w:pPr>
        <w:pStyle w:val="Normlntun"/>
        <w:rPr>
          <w:rFonts w:cs="Arial"/>
        </w:rPr>
      </w:pPr>
      <w:r w:rsidRPr="00ED38E9">
        <w:rPr>
          <w:rFonts w:cs="Arial"/>
        </w:rPr>
        <w:t>Dopady na územní samosprávné celky (obce, kraje)</w:t>
      </w:r>
    </w:p>
    <w:p w:rsidR="006360CC" w:rsidRPr="00ED38E9" w:rsidRDefault="006360CC" w:rsidP="002D66F0">
      <w:pPr>
        <w:pStyle w:val="Odstavecseseznamem"/>
        <w:numPr>
          <w:ilvl w:val="0"/>
          <w:numId w:val="106"/>
        </w:numPr>
        <w:rPr>
          <w:rFonts w:cs="Arial"/>
        </w:rPr>
      </w:pPr>
      <w:r w:rsidRPr="00ED38E9">
        <w:rPr>
          <w:rFonts w:cs="Arial"/>
        </w:rPr>
        <w:t>zvýšené množství žádostí o souhlas</w:t>
      </w:r>
      <w:r w:rsidR="00F60114">
        <w:rPr>
          <w:rFonts w:cs="Arial"/>
        </w:rPr>
        <w:t>/povolení k provozu zařízení</w:t>
      </w:r>
      <w:r w:rsidRPr="00ED38E9">
        <w:rPr>
          <w:rFonts w:cs="Arial"/>
        </w:rPr>
        <w:t xml:space="preserve"> k</w:t>
      </w:r>
      <w:r w:rsidR="00F60114">
        <w:rPr>
          <w:rFonts w:cs="Arial"/>
        </w:rPr>
        <w:t> nakládání s</w:t>
      </w:r>
      <w:r w:rsidRPr="00ED38E9">
        <w:rPr>
          <w:rFonts w:cs="Arial"/>
        </w:rPr>
        <w:t xml:space="preserve"> OEEZ</w:t>
      </w:r>
      <w:r w:rsidR="00E67F97" w:rsidRPr="00ED38E9">
        <w:rPr>
          <w:rFonts w:cs="Arial"/>
        </w:rPr>
        <w:t>,</w:t>
      </w:r>
    </w:p>
    <w:p w:rsidR="006360CC" w:rsidRPr="00ED38E9" w:rsidRDefault="006360CC" w:rsidP="002D66F0">
      <w:pPr>
        <w:pStyle w:val="Odstavecseseznamem"/>
        <w:numPr>
          <w:ilvl w:val="0"/>
          <w:numId w:val="106"/>
        </w:numPr>
        <w:rPr>
          <w:rFonts w:cs="Arial"/>
        </w:rPr>
      </w:pPr>
      <w:r w:rsidRPr="00ED38E9">
        <w:rPr>
          <w:rFonts w:cs="Arial"/>
        </w:rPr>
        <w:t>dopady stejné jako u podnikatelských subjektů v případě, že obec je místem zpětného odběru</w:t>
      </w:r>
    </w:p>
    <w:p w:rsidR="006360CC" w:rsidRPr="00ED38E9" w:rsidRDefault="006360CC" w:rsidP="002D66F0">
      <w:pPr>
        <w:pStyle w:val="Odstavecseseznamem"/>
        <w:numPr>
          <w:ilvl w:val="0"/>
          <w:numId w:val="106"/>
        </w:numPr>
        <w:rPr>
          <w:rFonts w:cs="Arial"/>
        </w:rPr>
      </w:pPr>
      <w:r w:rsidRPr="00ED38E9">
        <w:rPr>
          <w:rFonts w:cs="Arial"/>
        </w:rPr>
        <w:t>snižování či ukončení poskytování finančních prostředků ze strany výrobců</w:t>
      </w:r>
      <w:r w:rsidR="00613E53">
        <w:rPr>
          <w:rFonts w:cs="Arial"/>
        </w:rPr>
        <w:t>/</w:t>
      </w:r>
      <w:r w:rsidRPr="00ED38E9">
        <w:rPr>
          <w:rFonts w:cs="Arial"/>
        </w:rPr>
        <w:t>KS obcím</w:t>
      </w:r>
    </w:p>
    <w:p w:rsidR="006360CC" w:rsidRPr="00ED38E9" w:rsidRDefault="006360CC" w:rsidP="002D66F0">
      <w:pPr>
        <w:pStyle w:val="Odstavecseseznamem"/>
        <w:numPr>
          <w:ilvl w:val="0"/>
          <w:numId w:val="106"/>
        </w:numPr>
        <w:rPr>
          <w:rFonts w:cs="Arial"/>
        </w:rPr>
      </w:pPr>
      <w:r w:rsidRPr="00ED38E9">
        <w:rPr>
          <w:rFonts w:cs="Arial"/>
        </w:rPr>
        <w:t>omezování sběrných míst na území obcí ze strany KS</w:t>
      </w:r>
      <w:r w:rsidR="00E67F97" w:rsidRPr="00ED38E9">
        <w:rPr>
          <w:rFonts w:cs="Arial"/>
        </w:rPr>
        <w:t>.</w:t>
      </w:r>
    </w:p>
    <w:p w:rsidR="00BF3385" w:rsidRPr="00ED38E9" w:rsidRDefault="00BF3385" w:rsidP="00BF3385">
      <w:pPr>
        <w:rPr>
          <w:rFonts w:cs="Arial"/>
          <w:color w:val="FF0000"/>
        </w:rPr>
      </w:pPr>
      <w:r w:rsidRPr="00ED38E9">
        <w:rPr>
          <w:rFonts w:cs="Arial"/>
        </w:rPr>
        <w:t>Mezi dopady na ÚSC dále řadíme případné vydávání souhlasů</w:t>
      </w:r>
      <w:r w:rsidR="00F60114">
        <w:rPr>
          <w:rFonts w:cs="Arial"/>
        </w:rPr>
        <w:t>/povolení k provozu zařízení</w:t>
      </w:r>
      <w:r w:rsidRPr="00ED38E9">
        <w:rPr>
          <w:rFonts w:cs="Arial"/>
        </w:rPr>
        <w:t>, které se pohybuje v rozmězí 2 300–13 200 Kč za vydání jednoho souhlasu (dle Metodiky MV, stav k 1. 1. 2015, 11. platová třída, časová náročnost 7–40 hodin).</w:t>
      </w:r>
    </w:p>
    <w:p w:rsidR="005A4735" w:rsidRPr="00ED38E9" w:rsidRDefault="005A4735" w:rsidP="005A4735">
      <w:pPr>
        <w:pStyle w:val="Normlntun"/>
        <w:rPr>
          <w:rFonts w:cs="Arial"/>
        </w:rPr>
      </w:pPr>
      <w:r w:rsidRPr="00ED38E9">
        <w:rPr>
          <w:rFonts w:cs="Arial"/>
        </w:rPr>
        <w:t>Sociální dopady a dopady na spotřebitele</w:t>
      </w:r>
    </w:p>
    <w:p w:rsidR="006360CC" w:rsidRPr="00ED38E9" w:rsidRDefault="00BF3385" w:rsidP="002D66F0">
      <w:pPr>
        <w:pStyle w:val="Odstavecseseznamem"/>
        <w:numPr>
          <w:ilvl w:val="0"/>
          <w:numId w:val="106"/>
        </w:numPr>
        <w:rPr>
          <w:rFonts w:cs="Arial"/>
        </w:rPr>
      </w:pPr>
      <w:r w:rsidRPr="00ED38E9">
        <w:rPr>
          <w:rFonts w:cs="Arial"/>
        </w:rPr>
        <w:t xml:space="preserve">riziko navýšení recyklačních </w:t>
      </w:r>
      <w:r w:rsidR="00F60114">
        <w:rPr>
          <w:rFonts w:cs="Arial"/>
        </w:rPr>
        <w:t>příspěvků</w:t>
      </w:r>
      <w:r w:rsidR="00F60114" w:rsidRPr="00ED38E9">
        <w:rPr>
          <w:rFonts w:cs="Arial"/>
        </w:rPr>
        <w:t xml:space="preserve"> </w:t>
      </w:r>
      <w:r w:rsidRPr="00ED38E9">
        <w:rPr>
          <w:rFonts w:cs="Arial"/>
        </w:rPr>
        <w:t xml:space="preserve">a riziko snížení </w:t>
      </w:r>
      <w:r w:rsidR="00FA47DD">
        <w:rPr>
          <w:rFonts w:cs="Arial"/>
        </w:rPr>
        <w:t xml:space="preserve">počtu </w:t>
      </w:r>
      <w:r w:rsidRPr="00ED38E9">
        <w:rPr>
          <w:rFonts w:cs="Arial"/>
        </w:rPr>
        <w:t>míst ZO.</w:t>
      </w:r>
    </w:p>
    <w:p w:rsidR="006360CC" w:rsidRPr="00ED38E9" w:rsidRDefault="006360CC" w:rsidP="006360CC">
      <w:pPr>
        <w:pStyle w:val="Normlntun"/>
        <w:rPr>
          <w:rFonts w:cs="Arial"/>
        </w:rPr>
      </w:pPr>
      <w:r w:rsidRPr="00ED38E9">
        <w:rPr>
          <w:rFonts w:cs="Arial"/>
        </w:rPr>
        <w:t>Dopady na životní prostředí</w:t>
      </w:r>
    </w:p>
    <w:p w:rsidR="006360CC" w:rsidRPr="00ED38E9" w:rsidRDefault="006360CC" w:rsidP="002D66F0">
      <w:pPr>
        <w:pStyle w:val="Odstavecseseznamem"/>
        <w:numPr>
          <w:ilvl w:val="0"/>
          <w:numId w:val="106"/>
        </w:numPr>
        <w:rPr>
          <w:rFonts w:cs="Arial"/>
        </w:rPr>
      </w:pPr>
      <w:r w:rsidRPr="00ED38E9">
        <w:rPr>
          <w:rFonts w:cs="Arial"/>
        </w:rPr>
        <w:t xml:space="preserve">nenavyšování množství sebraných OEEZ, </w:t>
      </w:r>
    </w:p>
    <w:p w:rsidR="006360CC" w:rsidRPr="00ED38E9" w:rsidRDefault="006360CC" w:rsidP="002D66F0">
      <w:pPr>
        <w:pStyle w:val="Odstavecseseznamem"/>
        <w:numPr>
          <w:ilvl w:val="0"/>
          <w:numId w:val="106"/>
        </w:numPr>
        <w:rPr>
          <w:rFonts w:cs="Arial"/>
        </w:rPr>
      </w:pPr>
      <w:r w:rsidRPr="00ED38E9">
        <w:rPr>
          <w:rFonts w:cs="Arial"/>
        </w:rPr>
        <w:t>nezajištění využití OEEZ a odstraňování jejich vybraných částí, které aktuálně není možné</w:t>
      </w:r>
      <w:r w:rsidR="00E67F97" w:rsidRPr="00ED38E9">
        <w:rPr>
          <w:rFonts w:cs="Arial"/>
        </w:rPr>
        <w:t xml:space="preserve"> finančně zhodnotit.</w:t>
      </w:r>
    </w:p>
    <w:p w:rsidR="006360CC" w:rsidRPr="00ED38E9" w:rsidRDefault="007D1981" w:rsidP="002D66F0">
      <w:pPr>
        <w:pStyle w:val="Odstavecseseznamem"/>
        <w:keepNext/>
        <w:numPr>
          <w:ilvl w:val="0"/>
          <w:numId w:val="101"/>
        </w:numPr>
        <w:spacing w:before="240" w:after="120"/>
        <w:contextualSpacing w:val="0"/>
        <w:rPr>
          <w:rFonts w:cs="Arial"/>
        </w:rPr>
      </w:pPr>
      <w:r w:rsidRPr="00ED38E9">
        <w:rPr>
          <w:rFonts w:cs="Arial"/>
        </w:rPr>
        <w:t>V</w:t>
      </w:r>
      <w:r w:rsidR="006360CC" w:rsidRPr="00ED38E9">
        <w:rPr>
          <w:rFonts w:cs="Arial"/>
        </w:rPr>
        <w:t>arianta 3</w:t>
      </w:r>
    </w:p>
    <w:p w:rsidR="006360CC" w:rsidRPr="00ED38E9" w:rsidRDefault="006360CC" w:rsidP="006360CC">
      <w:pPr>
        <w:rPr>
          <w:rFonts w:cs="Arial"/>
        </w:rPr>
      </w:pPr>
      <w:r w:rsidRPr="00ED38E9">
        <w:rPr>
          <w:rFonts w:cs="Arial"/>
        </w:rPr>
        <w:t>Striktní vymezení subjektů, které jsou oprávněny přebírat a zpracovávat OEEZ – pouze ty se smlouvou s výrobci, resp. KS</w:t>
      </w:r>
      <w:r w:rsidR="00135502">
        <w:rPr>
          <w:rFonts w:cs="Arial"/>
        </w:rPr>
        <w:t xml:space="preserve"> (s výjimkou posledních prodejců za podmínek stanovených zákonem)</w:t>
      </w:r>
      <w:r w:rsidRPr="00ED38E9">
        <w:rPr>
          <w:rFonts w:cs="Arial"/>
        </w:rPr>
        <w:t xml:space="preserve">. Subjekt, který bude chtít provozovat místo zpětného odběru (tj. jediné místo, kde lze odevzdat OEEZ), bude </w:t>
      </w:r>
      <w:r w:rsidR="00135502">
        <w:rPr>
          <w:rFonts w:cs="Arial"/>
        </w:rPr>
        <w:t>muset mít</w:t>
      </w:r>
      <w:r w:rsidRPr="00ED38E9">
        <w:rPr>
          <w:rFonts w:cs="Arial"/>
        </w:rPr>
        <w:t xml:space="preserve"> smlouvu s</w:t>
      </w:r>
      <w:r w:rsidR="00FA47DD">
        <w:rPr>
          <w:rFonts w:cs="Arial"/>
        </w:rPr>
        <w:t> </w:t>
      </w:r>
      <w:r w:rsidRPr="00ED38E9">
        <w:rPr>
          <w:rFonts w:cs="Arial"/>
        </w:rPr>
        <w:t>výrobcem</w:t>
      </w:r>
      <w:r w:rsidR="00FA47DD">
        <w:rPr>
          <w:rFonts w:cs="Arial"/>
        </w:rPr>
        <w:t>/</w:t>
      </w:r>
      <w:r w:rsidRPr="00ED38E9">
        <w:rPr>
          <w:rFonts w:cs="Arial"/>
        </w:rPr>
        <w:t>KS o provozování místa zpětného odběru. Zpracovatelé elektroodpadů budou moci odebírat OEEZ pouze od výrobců</w:t>
      </w:r>
      <w:r w:rsidR="00FA47DD">
        <w:rPr>
          <w:rFonts w:cs="Arial"/>
        </w:rPr>
        <w:t>/</w:t>
      </w:r>
      <w:r w:rsidRPr="00ED38E9">
        <w:rPr>
          <w:rFonts w:cs="Arial"/>
        </w:rPr>
        <w:t xml:space="preserve">KS, a to na základě transparentních výběrových řízení popř. na komoditní burze. Za plnění cílů sběru a </w:t>
      </w:r>
      <w:r w:rsidRPr="00ED38E9">
        <w:rPr>
          <w:rFonts w:cs="Arial"/>
        </w:rPr>
        <w:lastRenderedPageBreak/>
        <w:t xml:space="preserve">následné využití OEEZ budou odpovědny jednotlivé subjekty, které mohou být za jejich neplnění sankcionovány. </w:t>
      </w:r>
    </w:p>
    <w:p w:rsidR="007D1981" w:rsidRPr="00ED38E9" w:rsidRDefault="007D1981" w:rsidP="007D1981">
      <w:pPr>
        <w:pStyle w:val="Normlntun"/>
        <w:rPr>
          <w:rFonts w:cs="Arial"/>
        </w:rPr>
      </w:pPr>
      <w:r w:rsidRPr="00ED38E9">
        <w:rPr>
          <w:rFonts w:cs="Arial"/>
        </w:rPr>
        <w:t>Tato varianta představuje:</w:t>
      </w:r>
    </w:p>
    <w:p w:rsidR="006360CC" w:rsidRPr="00ED38E9" w:rsidRDefault="006360CC" w:rsidP="006360CC">
      <w:pPr>
        <w:pStyle w:val="Normlntun"/>
        <w:rPr>
          <w:rFonts w:cs="Arial"/>
        </w:rPr>
      </w:pPr>
      <w:r w:rsidRPr="00ED38E9">
        <w:rPr>
          <w:rFonts w:cs="Arial"/>
        </w:rPr>
        <w:t>Dopady na státní rozpočet a ostatní veřejné rozpočty</w:t>
      </w:r>
    </w:p>
    <w:p w:rsidR="006360CC" w:rsidRPr="00ED38E9" w:rsidRDefault="006360CC" w:rsidP="002D66F0">
      <w:pPr>
        <w:pStyle w:val="Odstavecseseznamem"/>
        <w:numPr>
          <w:ilvl w:val="0"/>
          <w:numId w:val="107"/>
        </w:numPr>
        <w:rPr>
          <w:rFonts w:cs="Arial"/>
        </w:rPr>
      </w:pPr>
      <w:r w:rsidRPr="00ED38E9">
        <w:rPr>
          <w:rFonts w:cs="Arial"/>
        </w:rPr>
        <w:t xml:space="preserve">ČR se nebude vystavovat </w:t>
      </w:r>
      <w:r w:rsidR="00FA47DD" w:rsidRPr="00ED38E9">
        <w:rPr>
          <w:rFonts w:cs="Arial"/>
        </w:rPr>
        <w:t>rizik</w:t>
      </w:r>
      <w:r w:rsidR="00FA47DD">
        <w:rPr>
          <w:rFonts w:cs="Arial"/>
        </w:rPr>
        <w:t>u</w:t>
      </w:r>
      <w:r w:rsidR="00FA47DD" w:rsidRPr="00ED38E9">
        <w:rPr>
          <w:rFonts w:cs="Arial"/>
        </w:rPr>
        <w:t xml:space="preserve"> </w:t>
      </w:r>
      <w:r w:rsidRPr="00ED38E9">
        <w:rPr>
          <w:rFonts w:cs="Arial"/>
        </w:rPr>
        <w:t>infri</w:t>
      </w:r>
      <w:r w:rsidR="00783EEE">
        <w:rPr>
          <w:rFonts w:cs="Arial"/>
        </w:rPr>
        <w:t>n</w:t>
      </w:r>
      <w:r w:rsidRPr="00ED38E9">
        <w:rPr>
          <w:rFonts w:cs="Arial"/>
        </w:rPr>
        <w:t>g</w:t>
      </w:r>
      <w:r w:rsidR="00783EEE">
        <w:rPr>
          <w:rFonts w:cs="Arial"/>
        </w:rPr>
        <w:t>e</w:t>
      </w:r>
      <w:r w:rsidRPr="00ED38E9">
        <w:rPr>
          <w:rFonts w:cs="Arial"/>
        </w:rPr>
        <w:t>mentu. Plnění cílů bude vyžadováno po konkrétních subjektech.</w:t>
      </w:r>
    </w:p>
    <w:p w:rsidR="006360CC" w:rsidRPr="00ED38E9" w:rsidRDefault="006360CC" w:rsidP="006360CC">
      <w:pPr>
        <w:pStyle w:val="Normlntun"/>
        <w:rPr>
          <w:rFonts w:cs="Arial"/>
        </w:rPr>
      </w:pPr>
      <w:r w:rsidRPr="00ED38E9">
        <w:rPr>
          <w:rFonts w:cs="Arial"/>
        </w:rPr>
        <w:t>Dopady na podnikatelské subjekty</w:t>
      </w:r>
    </w:p>
    <w:p w:rsidR="00FA352D" w:rsidRPr="00ED38E9" w:rsidRDefault="00FA352D" w:rsidP="00FA352D">
      <w:pPr>
        <w:rPr>
          <w:rFonts w:cs="Arial"/>
        </w:rPr>
      </w:pPr>
      <w:r w:rsidRPr="00ED38E9">
        <w:rPr>
          <w:rFonts w:cs="Arial"/>
        </w:rPr>
        <w:t>Z</w:t>
      </w:r>
      <w:r w:rsidR="006360CC" w:rsidRPr="00ED38E9">
        <w:rPr>
          <w:rFonts w:cs="Arial"/>
        </w:rPr>
        <w:t>pracovatelé, kteří nezískají OEEZ od výrobců</w:t>
      </w:r>
      <w:r w:rsidR="00613E53">
        <w:rPr>
          <w:rFonts w:cs="Arial"/>
        </w:rPr>
        <w:t>/</w:t>
      </w:r>
      <w:r w:rsidR="006360CC" w:rsidRPr="00ED38E9">
        <w:rPr>
          <w:rFonts w:cs="Arial"/>
        </w:rPr>
        <w:t>KS v rámci výběrových řízení, popř. z komoditní burzy, nebudou mít možnost získat OEEZ</w:t>
      </w:r>
      <w:r w:rsidR="00783EEE" w:rsidRPr="00783EEE">
        <w:rPr>
          <w:rFonts w:cs="Arial"/>
        </w:rPr>
        <w:t xml:space="preserve"> </w:t>
      </w:r>
      <w:r w:rsidR="00783EEE" w:rsidRPr="00ED38E9">
        <w:rPr>
          <w:rFonts w:cs="Arial"/>
        </w:rPr>
        <w:t>jiným způsobem</w:t>
      </w:r>
      <w:r w:rsidR="006360CC" w:rsidRPr="00ED38E9">
        <w:rPr>
          <w:rFonts w:cs="Arial"/>
        </w:rPr>
        <w:t>.</w:t>
      </w:r>
      <w:r w:rsidRPr="00ED38E9">
        <w:rPr>
          <w:rFonts w:cs="Arial"/>
        </w:rPr>
        <w:t xml:space="preserve"> Zákon tak může způsobit ukončení činnosti některých subjektů zabývajících se zpracováním OEEZ.</w:t>
      </w:r>
    </w:p>
    <w:p w:rsidR="006360CC" w:rsidRPr="00ED38E9" w:rsidRDefault="006360CC" w:rsidP="006360CC">
      <w:pPr>
        <w:pStyle w:val="Normlntun"/>
        <w:rPr>
          <w:rFonts w:cs="Arial"/>
        </w:rPr>
      </w:pPr>
      <w:r w:rsidRPr="00ED38E9">
        <w:rPr>
          <w:rFonts w:cs="Arial"/>
        </w:rPr>
        <w:t>Dopady na územní samosprávné celky (obce, kraje)</w:t>
      </w:r>
    </w:p>
    <w:p w:rsidR="006360CC" w:rsidRPr="00ED38E9" w:rsidRDefault="00266057" w:rsidP="00FA352D">
      <w:pPr>
        <w:rPr>
          <w:rFonts w:cs="Arial"/>
        </w:rPr>
      </w:pPr>
      <w:r w:rsidRPr="00ED38E9">
        <w:rPr>
          <w:rFonts w:cs="Arial"/>
        </w:rPr>
        <w:t>Nepředpokládáme dopady na ÚSC.</w:t>
      </w:r>
    </w:p>
    <w:p w:rsidR="005A4735" w:rsidRPr="00ED38E9" w:rsidRDefault="005A4735" w:rsidP="005A4735">
      <w:pPr>
        <w:pStyle w:val="Normlntun"/>
        <w:rPr>
          <w:rFonts w:cs="Arial"/>
        </w:rPr>
      </w:pPr>
      <w:r w:rsidRPr="00ED38E9">
        <w:rPr>
          <w:rFonts w:cs="Arial"/>
        </w:rPr>
        <w:t>Sociální dopady a dopady na spotřebitele</w:t>
      </w:r>
    </w:p>
    <w:p w:rsidR="006360CC" w:rsidRPr="00ED38E9" w:rsidRDefault="006360CC" w:rsidP="006360CC">
      <w:pPr>
        <w:rPr>
          <w:rFonts w:cs="Arial"/>
        </w:rPr>
      </w:pPr>
      <w:r w:rsidRPr="00ED38E9">
        <w:rPr>
          <w:rFonts w:cs="Arial"/>
        </w:rPr>
        <w:t>Nepředpokládá se, že vzniklá situace by vedla k rušení míst, kde bylo možné OEEZ odevzdávat, protože výrobci</w:t>
      </w:r>
      <w:r w:rsidR="00613E53">
        <w:rPr>
          <w:rFonts w:cs="Arial"/>
        </w:rPr>
        <w:t>/</w:t>
      </w:r>
      <w:r w:rsidRPr="00ED38E9">
        <w:rPr>
          <w:rFonts w:cs="Arial"/>
        </w:rPr>
        <w:t>KS budou mít povinnost vytvářet síť míst zpětného odběru a</w:t>
      </w:r>
      <w:r w:rsidR="007D1981" w:rsidRPr="00ED38E9">
        <w:rPr>
          <w:rFonts w:cs="Arial"/>
        </w:rPr>
        <w:t> </w:t>
      </w:r>
      <w:r w:rsidRPr="00ED38E9">
        <w:rPr>
          <w:rFonts w:cs="Arial"/>
        </w:rPr>
        <w:t xml:space="preserve">postupně navyšovat sebraná množství. V konečném důsledku tak lze očekávat navýšení </w:t>
      </w:r>
      <w:r w:rsidR="00FA47DD">
        <w:rPr>
          <w:rFonts w:cs="Arial"/>
        </w:rPr>
        <w:t xml:space="preserve">počtu </w:t>
      </w:r>
      <w:r w:rsidRPr="00ED38E9">
        <w:rPr>
          <w:rFonts w:cs="Arial"/>
        </w:rPr>
        <w:t xml:space="preserve">míst zpětného odběru.  </w:t>
      </w:r>
    </w:p>
    <w:p w:rsidR="006360CC" w:rsidRPr="00ED38E9" w:rsidRDefault="006360CC" w:rsidP="006360CC">
      <w:pPr>
        <w:pStyle w:val="Normlntun"/>
        <w:rPr>
          <w:rFonts w:cs="Arial"/>
        </w:rPr>
      </w:pPr>
      <w:r w:rsidRPr="00ED38E9">
        <w:rPr>
          <w:rFonts w:cs="Arial"/>
        </w:rPr>
        <w:t>Dopady na životní prostředí</w:t>
      </w:r>
    </w:p>
    <w:p w:rsidR="006360CC" w:rsidRPr="00ED38E9" w:rsidRDefault="007D1981" w:rsidP="006360CC">
      <w:pPr>
        <w:rPr>
          <w:rFonts w:cs="Arial"/>
        </w:rPr>
      </w:pPr>
      <w:r w:rsidRPr="00ED38E9">
        <w:rPr>
          <w:rFonts w:cs="Arial"/>
        </w:rPr>
        <w:t>P</w:t>
      </w:r>
      <w:r w:rsidR="006360CC" w:rsidRPr="00ED38E9">
        <w:rPr>
          <w:rFonts w:cs="Arial"/>
        </w:rPr>
        <w:t>ředpokládané navýšení míry sběru OEEZ, demontáž a zpracování OEEZ pouze ve</w:t>
      </w:r>
      <w:r w:rsidRPr="00ED38E9">
        <w:rPr>
          <w:rFonts w:cs="Arial"/>
        </w:rPr>
        <w:t> </w:t>
      </w:r>
      <w:r w:rsidR="006360CC" w:rsidRPr="00ED38E9">
        <w:rPr>
          <w:rFonts w:cs="Arial"/>
        </w:rPr>
        <w:t>spolupráci s KS, kteří budou tyto zprac</w:t>
      </w:r>
      <w:r w:rsidRPr="00ED38E9">
        <w:rPr>
          <w:rFonts w:cs="Arial"/>
        </w:rPr>
        <w:t>ovatele kontrolovat a auditovat</w:t>
      </w:r>
      <w:r w:rsidR="00CD4A58">
        <w:rPr>
          <w:rFonts w:cs="Arial"/>
        </w:rPr>
        <w:t>,</w:t>
      </w:r>
      <w:r w:rsidRPr="00ED38E9">
        <w:rPr>
          <w:rFonts w:cs="Arial"/>
        </w:rPr>
        <w:t xml:space="preserve"> představuje pozitivní dopady na životní prostředí.</w:t>
      </w:r>
    </w:p>
    <w:p w:rsidR="006360CC" w:rsidRPr="00ED38E9" w:rsidRDefault="006360CC" w:rsidP="00F97AF3">
      <w:pPr>
        <w:pStyle w:val="Nadpis3"/>
      </w:pPr>
      <w:r w:rsidRPr="00ED38E9">
        <w:lastRenderedPageBreak/>
        <w:t>Vyhodnocení nákladů a přínosů variant</w:t>
      </w:r>
    </w:p>
    <w:p w:rsidR="006360CC" w:rsidRPr="00ED38E9" w:rsidRDefault="006360CC" w:rsidP="006360CC">
      <w:pPr>
        <w:pStyle w:val="Titulek"/>
        <w:rPr>
          <w:rFonts w:cs="Arial"/>
        </w:rPr>
      </w:pPr>
      <w:r w:rsidRPr="00ED38E9">
        <w:rPr>
          <w:rFonts w:cs="Arial"/>
        </w:rPr>
        <w:t xml:space="preserve">Tabulka </w:t>
      </w:r>
      <w:r w:rsidR="00381FB7" w:rsidRPr="00ED38E9">
        <w:rPr>
          <w:rFonts w:cs="Arial"/>
          <w:noProof w:val="0"/>
        </w:rPr>
        <w:fldChar w:fldCharType="begin"/>
      </w:r>
      <w:r w:rsidRPr="00ED38E9">
        <w:rPr>
          <w:rFonts w:cs="Arial"/>
        </w:rPr>
        <w:instrText xml:space="preserve"> SEQ Tabulka \* ARABIC </w:instrText>
      </w:r>
      <w:r w:rsidR="00381FB7" w:rsidRPr="00ED38E9">
        <w:rPr>
          <w:rFonts w:cs="Arial"/>
          <w:noProof w:val="0"/>
        </w:rPr>
        <w:fldChar w:fldCharType="separate"/>
      </w:r>
      <w:r w:rsidR="00FD5E92">
        <w:rPr>
          <w:rFonts w:cs="Arial"/>
        </w:rPr>
        <w:t>47</w:t>
      </w:r>
      <w:r w:rsidR="00381FB7" w:rsidRPr="00ED38E9">
        <w:rPr>
          <w:rFonts w:cs="Arial"/>
        </w:rPr>
        <w:fldChar w:fldCharType="end"/>
      </w:r>
      <w:r w:rsidRPr="00ED38E9">
        <w:rPr>
          <w:rFonts w:cs="Arial"/>
        </w:rPr>
        <w:t>: Porovnání nákladů a přínosů</w:t>
      </w:r>
    </w:p>
    <w:p w:rsidR="006360CC" w:rsidRPr="00ED38E9" w:rsidRDefault="004E3EC0" w:rsidP="006360CC">
      <w:pPr>
        <w:rPr>
          <w:rFonts w:cs="Arial"/>
        </w:rPr>
      </w:pPr>
      <w:r w:rsidRPr="00ED38E9">
        <w:rPr>
          <w:rFonts w:cs="Arial"/>
          <w:lang w:eastAsia="cs-CZ" w:bidi="ar-SA"/>
        </w:rPr>
        <w:drawing>
          <wp:inline distT="0" distB="0" distL="0" distR="0" wp14:anchorId="3B971BDE" wp14:editId="2F14F222">
            <wp:extent cx="5760720" cy="7176098"/>
            <wp:effectExtent l="0" t="0" r="0" b="635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0720" cy="7176098"/>
                    </a:xfrm>
                    <a:prstGeom prst="rect">
                      <a:avLst/>
                    </a:prstGeom>
                    <a:noFill/>
                    <a:ln>
                      <a:noFill/>
                    </a:ln>
                  </pic:spPr>
                </pic:pic>
              </a:graphicData>
            </a:graphic>
          </wp:inline>
        </w:drawing>
      </w:r>
    </w:p>
    <w:p w:rsidR="004E3EC0" w:rsidRPr="00ED38E9" w:rsidRDefault="00814874" w:rsidP="006360CC">
      <w:pPr>
        <w:rPr>
          <w:rFonts w:cs="Arial"/>
        </w:rPr>
      </w:pPr>
      <w:r w:rsidRPr="00ED38E9">
        <w:rPr>
          <w:rFonts w:cs="Arial"/>
          <w:lang w:eastAsia="cs-CZ" w:bidi="ar-SA"/>
        </w:rPr>
        <w:lastRenderedPageBreak/>
        <w:drawing>
          <wp:inline distT="0" distB="0" distL="0" distR="0" wp14:anchorId="5199DE10" wp14:editId="16E8F23E">
            <wp:extent cx="5760720" cy="817479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8174799"/>
                    </a:xfrm>
                    <a:prstGeom prst="rect">
                      <a:avLst/>
                    </a:prstGeom>
                    <a:noFill/>
                    <a:ln>
                      <a:noFill/>
                    </a:ln>
                  </pic:spPr>
                </pic:pic>
              </a:graphicData>
            </a:graphic>
          </wp:inline>
        </w:drawing>
      </w:r>
    </w:p>
    <w:p w:rsidR="006360CC" w:rsidRPr="00ED38E9" w:rsidRDefault="006360CC" w:rsidP="00F97AF3">
      <w:pPr>
        <w:pStyle w:val="Nadpis2"/>
      </w:pPr>
      <w:bookmarkStart w:id="137" w:name="_Toc441759909"/>
      <w:r w:rsidRPr="00ED38E9">
        <w:lastRenderedPageBreak/>
        <w:t>Návrh řešení</w:t>
      </w:r>
      <w:bookmarkEnd w:id="137"/>
    </w:p>
    <w:p w:rsidR="006360CC" w:rsidRPr="00ED38E9" w:rsidRDefault="006360CC" w:rsidP="00F97AF3">
      <w:pPr>
        <w:pStyle w:val="Nadpis3"/>
      </w:pPr>
      <w:r w:rsidRPr="00ED38E9">
        <w:t>Stanovení pořadí variant a výběr nejvhodnějšího řešení</w:t>
      </w:r>
    </w:p>
    <w:p w:rsidR="006360CC" w:rsidRPr="00ED38E9" w:rsidRDefault="006360CC" w:rsidP="002D66F0">
      <w:pPr>
        <w:pStyle w:val="Odstavecseseznamem"/>
        <w:numPr>
          <w:ilvl w:val="0"/>
          <w:numId w:val="117"/>
        </w:numPr>
        <w:spacing w:after="120"/>
        <w:rPr>
          <w:rFonts w:cs="Arial"/>
          <w:b/>
          <w:bCs/>
        </w:rPr>
      </w:pPr>
      <w:r w:rsidRPr="00ED38E9">
        <w:rPr>
          <w:rFonts w:cs="Arial"/>
          <w:b/>
          <w:bCs/>
        </w:rPr>
        <w:t xml:space="preserve">Varianta </w:t>
      </w:r>
      <w:r w:rsidR="009672F3" w:rsidRPr="00ED38E9">
        <w:rPr>
          <w:rFonts w:cs="Arial"/>
          <w:b/>
          <w:bCs/>
        </w:rPr>
        <w:t>3</w:t>
      </w:r>
    </w:p>
    <w:p w:rsidR="006360CC" w:rsidRPr="00ED38E9" w:rsidRDefault="006360CC" w:rsidP="002D66F0">
      <w:pPr>
        <w:pStyle w:val="Odstavecseseznamem"/>
        <w:numPr>
          <w:ilvl w:val="0"/>
          <w:numId w:val="117"/>
        </w:numPr>
        <w:spacing w:after="120"/>
        <w:ind w:left="714" w:hanging="357"/>
        <w:rPr>
          <w:rFonts w:cs="Arial"/>
        </w:rPr>
      </w:pPr>
      <w:r w:rsidRPr="00ED38E9">
        <w:rPr>
          <w:rFonts w:cs="Arial"/>
        </w:rPr>
        <w:t xml:space="preserve">Varianta </w:t>
      </w:r>
      <w:r w:rsidR="009672F3" w:rsidRPr="00ED38E9">
        <w:rPr>
          <w:rFonts w:cs="Arial"/>
        </w:rPr>
        <w:t>1</w:t>
      </w:r>
    </w:p>
    <w:p w:rsidR="006360CC" w:rsidRPr="00ED38E9" w:rsidRDefault="006360CC" w:rsidP="002D66F0">
      <w:pPr>
        <w:pStyle w:val="Odstavecseseznamem"/>
        <w:numPr>
          <w:ilvl w:val="0"/>
          <w:numId w:val="117"/>
        </w:numPr>
        <w:spacing w:after="120"/>
        <w:ind w:left="714" w:hanging="357"/>
        <w:rPr>
          <w:rFonts w:cs="Arial"/>
        </w:rPr>
      </w:pPr>
      <w:r w:rsidRPr="00ED38E9">
        <w:rPr>
          <w:rFonts w:cs="Arial"/>
        </w:rPr>
        <w:t xml:space="preserve">Varianta </w:t>
      </w:r>
      <w:r w:rsidR="009672F3" w:rsidRPr="00ED38E9">
        <w:rPr>
          <w:rFonts w:cs="Arial"/>
        </w:rPr>
        <w:t>2</w:t>
      </w:r>
    </w:p>
    <w:p w:rsidR="006360CC" w:rsidRPr="00ED38E9" w:rsidRDefault="006360CC" w:rsidP="002D66F0">
      <w:pPr>
        <w:pStyle w:val="Odstavecseseznamem"/>
        <w:numPr>
          <w:ilvl w:val="0"/>
          <w:numId w:val="117"/>
        </w:numPr>
        <w:spacing w:after="120"/>
        <w:ind w:left="714" w:hanging="357"/>
        <w:rPr>
          <w:rFonts w:cs="Arial"/>
        </w:rPr>
      </w:pPr>
      <w:r w:rsidRPr="00ED38E9">
        <w:rPr>
          <w:rFonts w:cs="Arial"/>
        </w:rPr>
        <w:t>Varianta</w:t>
      </w:r>
      <w:r w:rsidR="009672F3" w:rsidRPr="00ED38E9">
        <w:rPr>
          <w:rFonts w:cs="Arial"/>
        </w:rPr>
        <w:t xml:space="preserve"> 0</w:t>
      </w:r>
    </w:p>
    <w:p w:rsidR="009672F3" w:rsidRPr="00ED38E9" w:rsidRDefault="001A137A" w:rsidP="009672F3">
      <w:pPr>
        <w:rPr>
          <w:rFonts w:cs="Arial"/>
        </w:rPr>
      </w:pPr>
      <w:r w:rsidRPr="00ED38E9">
        <w:rPr>
          <w:rFonts w:cs="Arial"/>
        </w:rPr>
        <w:t xml:space="preserve">Na základě porovnání nákladů a přínosů navržených variant doporučujeme přijmout Variantu 3, která představuje snížení rizika </w:t>
      </w:r>
      <w:r w:rsidR="00E0117F">
        <w:rPr>
          <w:rFonts w:cs="Arial"/>
        </w:rPr>
        <w:t>infringement</w:t>
      </w:r>
      <w:r w:rsidRPr="00ED38E9">
        <w:rPr>
          <w:rFonts w:cs="Arial"/>
        </w:rPr>
        <w:t>u za minimálních dopadů na podnikatelské subjekty a bez negativních dopadů na ÚSC, spotřebitele a životní prostředí.</w:t>
      </w:r>
    </w:p>
    <w:p w:rsidR="006360CC" w:rsidRPr="00ED38E9" w:rsidRDefault="001471B0" w:rsidP="00F97AF3">
      <w:pPr>
        <w:pStyle w:val="Nadpis1"/>
      </w:pPr>
      <w:bookmarkStart w:id="138" w:name="_Toc441759910"/>
      <w:bookmarkStart w:id="139" w:name="_Toc441760193"/>
      <w:r w:rsidRPr="00ED38E9">
        <w:t>Omezení plnění povinností výrobců v rámci více kolektivních systémů pro stejnou skupinu elektrozařízení</w:t>
      </w:r>
      <w:bookmarkEnd w:id="138"/>
      <w:bookmarkEnd w:id="139"/>
      <w:r w:rsidRPr="00ED38E9">
        <w:t xml:space="preserve"> </w:t>
      </w:r>
    </w:p>
    <w:p w:rsidR="006360CC" w:rsidRPr="00ED38E9" w:rsidRDefault="006360CC" w:rsidP="00F97AF3">
      <w:pPr>
        <w:pStyle w:val="Nadpis2"/>
      </w:pPr>
      <w:bookmarkStart w:id="140" w:name="_Toc441759911"/>
      <w:r w:rsidRPr="00ED38E9">
        <w:t>Důvod předložení a cíle</w:t>
      </w:r>
      <w:bookmarkEnd w:id="140"/>
    </w:p>
    <w:p w:rsidR="006360CC" w:rsidRPr="00ED38E9" w:rsidRDefault="006360CC" w:rsidP="00F97AF3">
      <w:pPr>
        <w:pStyle w:val="Nadpis3"/>
      </w:pPr>
      <w:r w:rsidRPr="00ED38E9">
        <w:t>Definice problému</w:t>
      </w:r>
    </w:p>
    <w:p w:rsidR="001471B0" w:rsidRPr="00ED38E9" w:rsidRDefault="001471B0" w:rsidP="001471B0">
      <w:pPr>
        <w:rPr>
          <w:rFonts w:cs="Arial"/>
        </w:rPr>
      </w:pPr>
      <w:r w:rsidRPr="00ED38E9">
        <w:rPr>
          <w:rFonts w:cs="Arial"/>
        </w:rPr>
        <w:t>V současné době zákon o odpadech neomezuje plnění povinností</w:t>
      </w:r>
      <w:r w:rsidR="000C1BF0" w:rsidRPr="00ED38E9">
        <w:rPr>
          <w:rFonts w:cs="Arial"/>
        </w:rPr>
        <w:t xml:space="preserve"> výrobců elektrozařízení</w:t>
      </w:r>
      <w:r w:rsidRPr="00ED38E9">
        <w:rPr>
          <w:rFonts w:cs="Arial"/>
        </w:rPr>
        <w:t xml:space="preserve"> v rámci více kolektivních systémů. V praxi tak dochází k tomu, že výrobci vykazují množství elektrozařízení uvedených na trh v rámci více kolektivních systémů, a to s ohledem na to, který kolektivní systém nabízí pro daný výrobek </w:t>
      </w:r>
      <w:r w:rsidR="007A32C8" w:rsidRPr="00ED38E9">
        <w:rPr>
          <w:rFonts w:cs="Arial"/>
        </w:rPr>
        <w:t xml:space="preserve">v daném okamžiku </w:t>
      </w:r>
      <w:r w:rsidRPr="00ED38E9">
        <w:rPr>
          <w:rFonts w:cs="Arial"/>
        </w:rPr>
        <w:t>výhodnější cenu. Jednotliví provozovatelé kolektivních systémů pak mají velmi omezené možnosti kontroly jednotlivých výrobců</w:t>
      </w:r>
      <w:r w:rsidR="007A32C8" w:rsidRPr="00ED38E9">
        <w:rPr>
          <w:rFonts w:cs="Arial"/>
        </w:rPr>
        <w:t xml:space="preserve"> a zároveň to má negativní dopady např</w:t>
      </w:r>
      <w:r w:rsidR="003D34D6" w:rsidRPr="00ED38E9">
        <w:rPr>
          <w:rFonts w:cs="Arial"/>
        </w:rPr>
        <w:t>.</w:t>
      </w:r>
      <w:r w:rsidR="007A32C8" w:rsidRPr="00ED38E9">
        <w:rPr>
          <w:rFonts w:cs="Arial"/>
        </w:rPr>
        <w:t xml:space="preserve"> na finanční plánování daných kolektivních systémů (variabilní výše příjmů)</w:t>
      </w:r>
      <w:r w:rsidRPr="00ED38E9">
        <w:rPr>
          <w:rFonts w:cs="Arial"/>
        </w:rPr>
        <w:t xml:space="preserve">. </w:t>
      </w:r>
    </w:p>
    <w:p w:rsidR="006360CC" w:rsidRPr="00ED38E9" w:rsidRDefault="006360CC" w:rsidP="00F97AF3">
      <w:pPr>
        <w:pStyle w:val="Nadpis3"/>
      </w:pPr>
      <w:r w:rsidRPr="00ED38E9">
        <w:t>Popis existujícího právního stavu v dané oblasti</w:t>
      </w:r>
    </w:p>
    <w:p w:rsidR="006360CC" w:rsidRPr="00ED38E9" w:rsidRDefault="008A7BE6" w:rsidP="006360CC">
      <w:pPr>
        <w:rPr>
          <w:rFonts w:cs="Arial"/>
        </w:rPr>
      </w:pPr>
      <w:r w:rsidRPr="00ED38E9">
        <w:rPr>
          <w:rFonts w:cs="Arial"/>
        </w:rPr>
        <w:t>Zákon o odpadech tuto oblast v současné době nijak nereguluje.</w:t>
      </w:r>
    </w:p>
    <w:p w:rsidR="006360CC" w:rsidRPr="00ED38E9" w:rsidRDefault="006360CC" w:rsidP="00F97AF3">
      <w:pPr>
        <w:pStyle w:val="Nadpis3"/>
      </w:pPr>
      <w:r w:rsidRPr="00ED38E9">
        <w:t>Identifikace dotčených subjektů</w:t>
      </w:r>
    </w:p>
    <w:p w:rsidR="006360CC" w:rsidRPr="00ED38E9" w:rsidRDefault="006360CC" w:rsidP="002D66F0">
      <w:pPr>
        <w:pStyle w:val="Odstavecseseznamem"/>
        <w:numPr>
          <w:ilvl w:val="0"/>
          <w:numId w:val="118"/>
        </w:numPr>
        <w:spacing w:after="120"/>
        <w:rPr>
          <w:rFonts w:cs="Arial"/>
        </w:rPr>
      </w:pPr>
      <w:r w:rsidRPr="00ED38E9">
        <w:rPr>
          <w:rFonts w:cs="Arial"/>
        </w:rPr>
        <w:t>výrobci,</w:t>
      </w:r>
    </w:p>
    <w:p w:rsidR="006360CC" w:rsidRPr="00ED38E9" w:rsidRDefault="00013687" w:rsidP="002D66F0">
      <w:pPr>
        <w:pStyle w:val="Odstavecseseznamem"/>
        <w:numPr>
          <w:ilvl w:val="0"/>
          <w:numId w:val="118"/>
        </w:numPr>
        <w:spacing w:after="120"/>
        <w:ind w:left="714" w:hanging="357"/>
        <w:rPr>
          <w:rFonts w:cs="Arial"/>
        </w:rPr>
      </w:pPr>
      <w:r w:rsidRPr="00ED38E9">
        <w:rPr>
          <w:rFonts w:cs="Arial"/>
        </w:rPr>
        <w:t>kolektivní systémy (KS).</w:t>
      </w:r>
    </w:p>
    <w:p w:rsidR="006360CC" w:rsidRPr="00ED38E9" w:rsidRDefault="006360CC" w:rsidP="00F97AF3">
      <w:pPr>
        <w:pStyle w:val="Nadpis3"/>
      </w:pPr>
      <w:r w:rsidRPr="00ED38E9">
        <w:t>Popis cílového stavu</w:t>
      </w:r>
    </w:p>
    <w:p w:rsidR="006360CC" w:rsidRPr="00ED38E9" w:rsidRDefault="002E3E31" w:rsidP="006360CC">
      <w:pPr>
        <w:rPr>
          <w:rFonts w:cs="Arial"/>
        </w:rPr>
      </w:pPr>
      <w:r w:rsidRPr="00ED38E9">
        <w:rPr>
          <w:rFonts w:cs="Arial"/>
        </w:rPr>
        <w:t>Výrobce bude vykazovat</w:t>
      </w:r>
      <w:r w:rsidR="001471B0" w:rsidRPr="00ED38E9">
        <w:rPr>
          <w:rFonts w:cs="Arial"/>
        </w:rPr>
        <w:t xml:space="preserve"> množství výrobků uvedených na trh v jedné výrobkové skupině vždy v rámci jednoho kolektivního systému</w:t>
      </w:r>
      <w:r w:rsidR="009A5E50" w:rsidRPr="00ED38E9">
        <w:rPr>
          <w:rFonts w:cs="Arial"/>
        </w:rPr>
        <w:t>. Výjimka je v obl</w:t>
      </w:r>
      <w:r w:rsidR="00013687" w:rsidRPr="00ED38E9">
        <w:rPr>
          <w:rFonts w:cs="Arial"/>
        </w:rPr>
        <w:t>a</w:t>
      </w:r>
      <w:r w:rsidR="009A5E50" w:rsidRPr="00ED38E9">
        <w:rPr>
          <w:rFonts w:cs="Arial"/>
        </w:rPr>
        <w:t xml:space="preserve">sti elektrozařízení stanovena pro </w:t>
      </w:r>
      <w:r w:rsidR="001471B0" w:rsidRPr="00ED38E9">
        <w:rPr>
          <w:rFonts w:cs="Arial"/>
        </w:rPr>
        <w:t xml:space="preserve"> solární panel</w:t>
      </w:r>
      <w:r w:rsidR="009A5E50" w:rsidRPr="00ED38E9">
        <w:rPr>
          <w:rFonts w:cs="Arial"/>
        </w:rPr>
        <w:t>y.</w:t>
      </w:r>
    </w:p>
    <w:p w:rsidR="006360CC" w:rsidRPr="00ED38E9" w:rsidRDefault="006360CC" w:rsidP="00F97AF3">
      <w:pPr>
        <w:pStyle w:val="Nadpis3"/>
      </w:pPr>
      <w:r w:rsidRPr="00ED38E9">
        <w:t>Zhodnocení rizika</w:t>
      </w:r>
    </w:p>
    <w:p w:rsidR="001471B0" w:rsidRPr="00ED38E9" w:rsidRDefault="00F66B49" w:rsidP="001471B0">
      <w:pPr>
        <w:rPr>
          <w:rFonts w:cs="Arial"/>
        </w:rPr>
      </w:pPr>
      <w:r w:rsidRPr="00ED38E9">
        <w:rPr>
          <w:rFonts w:cs="Arial"/>
        </w:rPr>
        <w:t xml:space="preserve">Mezi rizika řadíme </w:t>
      </w:r>
      <w:r w:rsidR="001471B0" w:rsidRPr="00ED38E9">
        <w:rPr>
          <w:rFonts w:cs="Arial"/>
        </w:rPr>
        <w:t>vysok</w:t>
      </w:r>
      <w:r w:rsidRPr="00ED38E9">
        <w:rPr>
          <w:rFonts w:cs="Arial"/>
        </w:rPr>
        <w:t>ou</w:t>
      </w:r>
      <w:r w:rsidR="001471B0" w:rsidRPr="00ED38E9">
        <w:rPr>
          <w:rFonts w:cs="Arial"/>
        </w:rPr>
        <w:t xml:space="preserve"> mír</w:t>
      </w:r>
      <w:r w:rsidRPr="00ED38E9">
        <w:rPr>
          <w:rFonts w:cs="Arial"/>
        </w:rPr>
        <w:t>u</w:t>
      </w:r>
      <w:r w:rsidR="001471B0" w:rsidRPr="00ED38E9">
        <w:rPr>
          <w:rFonts w:cs="Arial"/>
        </w:rPr>
        <w:t xml:space="preserve"> tzv. freeridengu </w:t>
      </w:r>
      <w:r w:rsidRPr="00ED38E9">
        <w:rPr>
          <w:rFonts w:cs="Arial"/>
        </w:rPr>
        <w:t xml:space="preserve">a </w:t>
      </w:r>
      <w:r w:rsidR="001471B0" w:rsidRPr="00ED38E9">
        <w:rPr>
          <w:rFonts w:cs="Arial"/>
        </w:rPr>
        <w:t>riziko navýšení administrativní zátěže kontrolních subjektů</w:t>
      </w:r>
      <w:r w:rsidRPr="00ED38E9">
        <w:rPr>
          <w:rFonts w:cs="Arial"/>
        </w:rPr>
        <w:t>.</w:t>
      </w:r>
    </w:p>
    <w:p w:rsidR="006360CC" w:rsidRPr="00ED38E9" w:rsidRDefault="006360CC" w:rsidP="006360CC">
      <w:pPr>
        <w:rPr>
          <w:rFonts w:cs="Arial"/>
        </w:rPr>
      </w:pPr>
    </w:p>
    <w:p w:rsidR="006360CC" w:rsidRPr="00ED38E9" w:rsidRDefault="006360CC" w:rsidP="00F97AF3">
      <w:pPr>
        <w:pStyle w:val="Nadpis2"/>
      </w:pPr>
      <w:bookmarkStart w:id="141" w:name="_Toc441759912"/>
      <w:r w:rsidRPr="00ED38E9">
        <w:lastRenderedPageBreak/>
        <w:t>Návrh variant řešení</w:t>
      </w:r>
      <w:bookmarkEnd w:id="141"/>
    </w:p>
    <w:p w:rsidR="006360CC" w:rsidRPr="00ED38E9" w:rsidRDefault="006360CC" w:rsidP="00F97AF3">
      <w:pPr>
        <w:pStyle w:val="Nadpis3"/>
      </w:pPr>
      <w:r w:rsidRPr="00ED38E9">
        <w:t>Varianta 0</w:t>
      </w:r>
    </w:p>
    <w:p w:rsidR="006360CC" w:rsidRPr="00ED38E9" w:rsidRDefault="006360CC" w:rsidP="006360CC">
      <w:pPr>
        <w:rPr>
          <w:rFonts w:cs="Arial"/>
        </w:rPr>
      </w:pPr>
      <w:r w:rsidRPr="00ED38E9">
        <w:rPr>
          <w:rFonts w:cs="Arial"/>
        </w:rPr>
        <w:t>Ponechání současného stavu, tj. kdy výrobce může mít na každou podskupinu EEZ smlouvu s jiným KS.</w:t>
      </w:r>
    </w:p>
    <w:p w:rsidR="006360CC" w:rsidRPr="00ED38E9" w:rsidRDefault="006360CC" w:rsidP="00F97AF3">
      <w:pPr>
        <w:pStyle w:val="Nadpis3"/>
      </w:pPr>
      <w:r w:rsidRPr="00ED38E9">
        <w:t>Varianta 1</w:t>
      </w:r>
    </w:p>
    <w:p w:rsidR="006360CC" w:rsidRPr="00ED38E9" w:rsidRDefault="006360CC" w:rsidP="006360CC">
      <w:pPr>
        <w:rPr>
          <w:rFonts w:cs="Arial"/>
        </w:rPr>
      </w:pPr>
      <w:r w:rsidRPr="00ED38E9">
        <w:rPr>
          <w:rFonts w:cs="Arial"/>
        </w:rPr>
        <w:t>Zavedení možnosti mít smlouvu s kolektivním systémem pouze pro celou skupinu EEZ vyjma solárních panelů.</w:t>
      </w:r>
    </w:p>
    <w:p w:rsidR="006360CC" w:rsidRPr="00ED38E9" w:rsidRDefault="006360CC" w:rsidP="00F97AF3">
      <w:pPr>
        <w:pStyle w:val="Nadpis2"/>
      </w:pPr>
      <w:bookmarkStart w:id="142" w:name="_Toc441759913"/>
      <w:r w:rsidRPr="00ED38E9">
        <w:t>Vyhodnocení nákladů a přínosů</w:t>
      </w:r>
      <w:bookmarkEnd w:id="142"/>
    </w:p>
    <w:p w:rsidR="006360CC" w:rsidRPr="00ED38E9" w:rsidRDefault="006360CC" w:rsidP="00F97AF3">
      <w:pPr>
        <w:pStyle w:val="Nadpis3"/>
      </w:pPr>
      <w:r w:rsidRPr="00ED38E9">
        <w:t>Identifikace nákladů a přínosů</w:t>
      </w:r>
    </w:p>
    <w:p w:rsidR="006360CC" w:rsidRPr="00ED38E9" w:rsidRDefault="006360CC" w:rsidP="002D66F0">
      <w:pPr>
        <w:pStyle w:val="Odstavecseseznamem"/>
        <w:keepNext/>
        <w:numPr>
          <w:ilvl w:val="0"/>
          <w:numId w:val="119"/>
        </w:numPr>
        <w:spacing w:before="240" w:after="120"/>
        <w:contextualSpacing w:val="0"/>
        <w:rPr>
          <w:rFonts w:cs="Arial"/>
        </w:rPr>
      </w:pPr>
      <w:r w:rsidRPr="00ED38E9">
        <w:rPr>
          <w:rFonts w:cs="Arial"/>
        </w:rPr>
        <w:t>Varianta 0</w:t>
      </w:r>
    </w:p>
    <w:p w:rsidR="006360CC" w:rsidRPr="00ED38E9" w:rsidRDefault="006360CC" w:rsidP="006360CC">
      <w:pPr>
        <w:pStyle w:val="Normlntun"/>
        <w:rPr>
          <w:rFonts w:cs="Arial"/>
        </w:rPr>
      </w:pPr>
      <w:r w:rsidRPr="00ED38E9">
        <w:rPr>
          <w:rFonts w:cs="Arial"/>
        </w:rPr>
        <w:t>Dopady na státní rozpočet a ostatní veřejné rozpočty</w:t>
      </w:r>
    </w:p>
    <w:p w:rsidR="006360CC" w:rsidRPr="00ED38E9" w:rsidRDefault="00013687" w:rsidP="006360CC">
      <w:pPr>
        <w:rPr>
          <w:rFonts w:cs="Arial"/>
        </w:rPr>
      </w:pPr>
      <w:r w:rsidRPr="00ED38E9">
        <w:rPr>
          <w:rFonts w:cs="Arial"/>
        </w:rPr>
        <w:t xml:space="preserve">Mezi dopady řadíme administrativní zátěž </w:t>
      </w:r>
      <w:r w:rsidR="006360CC" w:rsidRPr="00ED38E9">
        <w:rPr>
          <w:rFonts w:cs="Arial"/>
        </w:rPr>
        <w:t>spojen</w:t>
      </w:r>
      <w:r w:rsidRPr="00ED38E9">
        <w:rPr>
          <w:rFonts w:cs="Arial"/>
        </w:rPr>
        <w:t>ou se složitou kontrolní činností.</w:t>
      </w:r>
    </w:p>
    <w:p w:rsidR="006360CC" w:rsidRPr="00ED38E9" w:rsidRDefault="006360CC" w:rsidP="006360CC">
      <w:pPr>
        <w:pStyle w:val="Normlntun"/>
        <w:rPr>
          <w:rFonts w:cs="Arial"/>
        </w:rPr>
      </w:pPr>
      <w:r w:rsidRPr="00ED38E9">
        <w:rPr>
          <w:rFonts w:cs="Arial"/>
        </w:rPr>
        <w:t>Dopady na podnikatelské subjekty</w:t>
      </w:r>
    </w:p>
    <w:p w:rsidR="001471B0" w:rsidRPr="00ED38E9" w:rsidRDefault="00AA09D3" w:rsidP="001471B0">
      <w:pPr>
        <w:rPr>
          <w:rFonts w:cs="Arial"/>
        </w:rPr>
      </w:pPr>
      <w:r w:rsidRPr="00ED38E9">
        <w:rPr>
          <w:rFonts w:cs="Arial"/>
        </w:rPr>
        <w:t>Současný stav umožňuje subjektům plnit své povinnosti pr</w:t>
      </w:r>
      <w:r w:rsidR="001471B0" w:rsidRPr="00ED38E9">
        <w:rPr>
          <w:rFonts w:cs="Arial"/>
        </w:rPr>
        <w:t>o jednotlivé typy výrobk</w:t>
      </w:r>
      <w:r w:rsidRPr="00ED38E9">
        <w:rPr>
          <w:rFonts w:cs="Arial"/>
        </w:rPr>
        <w:t>ů</w:t>
      </w:r>
      <w:r w:rsidR="001471B0" w:rsidRPr="00ED38E9">
        <w:rPr>
          <w:rFonts w:cs="Arial"/>
        </w:rPr>
        <w:t xml:space="preserve"> napříč všemi KS podle toho, který KS nabídne nejnižší cenu</w:t>
      </w:r>
      <w:r w:rsidRPr="00ED38E9">
        <w:rPr>
          <w:rFonts w:cs="Arial"/>
        </w:rPr>
        <w:t xml:space="preserve"> a tím pak vzniká riziko freeridingu</w:t>
      </w:r>
      <w:r w:rsidR="001471B0" w:rsidRPr="00ED38E9">
        <w:rPr>
          <w:rFonts w:cs="Arial"/>
        </w:rPr>
        <w:t>. Navýšení nákladů na zpětný odběr OEEZ z důvodu sběru elektrozařízení, za které nebyl uhrazen recyklační příspěvek.</w:t>
      </w:r>
    </w:p>
    <w:p w:rsidR="006360CC" w:rsidRPr="00ED38E9" w:rsidRDefault="006360CC" w:rsidP="006360CC">
      <w:pPr>
        <w:pStyle w:val="Normlntun"/>
        <w:rPr>
          <w:rFonts w:cs="Arial"/>
        </w:rPr>
      </w:pPr>
      <w:r w:rsidRPr="00ED38E9">
        <w:rPr>
          <w:rFonts w:cs="Arial"/>
        </w:rPr>
        <w:t>Dopady na územní samosprávné celky (obce, kraje)</w:t>
      </w:r>
    </w:p>
    <w:p w:rsidR="001471B0" w:rsidRPr="00ED38E9" w:rsidRDefault="001471B0" w:rsidP="001471B0">
      <w:pPr>
        <w:rPr>
          <w:rFonts w:cs="Arial"/>
        </w:rPr>
      </w:pPr>
      <w:r w:rsidRPr="00ED38E9">
        <w:rPr>
          <w:rFonts w:cs="Arial"/>
        </w:rPr>
        <w:t>Nepředpokládáme dopady na USC.</w:t>
      </w:r>
    </w:p>
    <w:p w:rsidR="006360CC" w:rsidRPr="00ED38E9" w:rsidRDefault="006360CC" w:rsidP="006360CC">
      <w:pPr>
        <w:pStyle w:val="Normlntun"/>
        <w:rPr>
          <w:rFonts w:cs="Arial"/>
        </w:rPr>
      </w:pPr>
      <w:r w:rsidRPr="00ED38E9">
        <w:rPr>
          <w:rFonts w:cs="Arial"/>
        </w:rPr>
        <w:t>Sociální dopady</w:t>
      </w:r>
    </w:p>
    <w:p w:rsidR="001471B0" w:rsidRPr="00ED38E9" w:rsidRDefault="001471B0" w:rsidP="001471B0">
      <w:pPr>
        <w:rPr>
          <w:rFonts w:cs="Arial"/>
        </w:rPr>
      </w:pPr>
      <w:r w:rsidRPr="00ED38E9">
        <w:rPr>
          <w:rFonts w:cs="Arial"/>
        </w:rPr>
        <w:t xml:space="preserve">Nepředpokládáme </w:t>
      </w:r>
      <w:r w:rsidR="00013687" w:rsidRPr="00ED38E9">
        <w:rPr>
          <w:rFonts w:cs="Arial"/>
        </w:rPr>
        <w:t>dopady v sociální oblasti.</w:t>
      </w:r>
    </w:p>
    <w:p w:rsidR="006360CC" w:rsidRPr="00ED38E9" w:rsidRDefault="006360CC" w:rsidP="006360CC">
      <w:pPr>
        <w:pStyle w:val="Normlntun"/>
        <w:rPr>
          <w:rFonts w:cs="Arial"/>
        </w:rPr>
      </w:pPr>
      <w:r w:rsidRPr="00ED38E9">
        <w:rPr>
          <w:rFonts w:cs="Arial"/>
        </w:rPr>
        <w:t>Dopady na životní prostředí</w:t>
      </w:r>
    </w:p>
    <w:p w:rsidR="006360CC" w:rsidRPr="00ED38E9" w:rsidRDefault="00013687" w:rsidP="006360CC">
      <w:pPr>
        <w:rPr>
          <w:rFonts w:cs="Arial"/>
        </w:rPr>
      </w:pPr>
      <w:r w:rsidRPr="00ED38E9">
        <w:rPr>
          <w:rFonts w:cs="Arial"/>
        </w:rPr>
        <w:t xml:space="preserve">Mezi dopady na životní prostředí řadíme </w:t>
      </w:r>
      <w:r w:rsidR="001471B0" w:rsidRPr="00ED38E9">
        <w:rPr>
          <w:rFonts w:cs="Arial"/>
        </w:rPr>
        <w:t>riziko omezení sběru OEEZ</w:t>
      </w:r>
      <w:r w:rsidR="00AA09D3" w:rsidRPr="00ED38E9">
        <w:rPr>
          <w:rFonts w:cs="Arial"/>
        </w:rPr>
        <w:t>.</w:t>
      </w:r>
    </w:p>
    <w:p w:rsidR="006360CC" w:rsidRPr="00ED38E9" w:rsidRDefault="006360CC" w:rsidP="002D66F0">
      <w:pPr>
        <w:pStyle w:val="Odstavecseseznamem"/>
        <w:keepNext/>
        <w:numPr>
          <w:ilvl w:val="0"/>
          <w:numId w:val="119"/>
        </w:numPr>
        <w:spacing w:before="240" w:after="120"/>
        <w:contextualSpacing w:val="0"/>
        <w:rPr>
          <w:rFonts w:cs="Arial"/>
        </w:rPr>
      </w:pPr>
      <w:r w:rsidRPr="00ED38E9">
        <w:rPr>
          <w:rFonts w:cs="Arial"/>
        </w:rPr>
        <w:t>Varianta 1</w:t>
      </w:r>
    </w:p>
    <w:p w:rsidR="006360CC" w:rsidRPr="00ED38E9" w:rsidRDefault="006360CC" w:rsidP="006360CC">
      <w:pPr>
        <w:pStyle w:val="Normlntun"/>
        <w:rPr>
          <w:rFonts w:cs="Arial"/>
        </w:rPr>
      </w:pPr>
      <w:r w:rsidRPr="00ED38E9">
        <w:rPr>
          <w:rFonts w:cs="Arial"/>
        </w:rPr>
        <w:t>Dopady na státní rozpočet a ostatní veřejné rozpočty</w:t>
      </w:r>
    </w:p>
    <w:p w:rsidR="006360CC" w:rsidRPr="00ED38E9" w:rsidRDefault="00AA09D3" w:rsidP="006360CC">
      <w:pPr>
        <w:rPr>
          <w:rFonts w:cs="Arial"/>
        </w:rPr>
      </w:pPr>
      <w:r w:rsidRPr="00ED38E9">
        <w:rPr>
          <w:rFonts w:cs="Arial"/>
        </w:rPr>
        <w:t>Předpokládáme snížení administrativní zátěže</w:t>
      </w:r>
      <w:r w:rsidR="006360CC" w:rsidRPr="00ED38E9">
        <w:rPr>
          <w:rFonts w:cs="Arial"/>
        </w:rPr>
        <w:t xml:space="preserve"> v souvislosti se zjednodušením kontrolní činnosti</w:t>
      </w:r>
      <w:r w:rsidRPr="00ED38E9">
        <w:rPr>
          <w:rFonts w:cs="Arial"/>
        </w:rPr>
        <w:t>.</w:t>
      </w:r>
    </w:p>
    <w:p w:rsidR="006360CC" w:rsidRPr="00ED38E9" w:rsidRDefault="006360CC" w:rsidP="006360CC">
      <w:pPr>
        <w:pStyle w:val="Normlntun"/>
        <w:rPr>
          <w:rFonts w:cs="Arial"/>
        </w:rPr>
      </w:pPr>
      <w:r w:rsidRPr="00ED38E9">
        <w:rPr>
          <w:rFonts w:cs="Arial"/>
        </w:rPr>
        <w:t>Dopady na podnikatelské subjekty</w:t>
      </w:r>
    </w:p>
    <w:p w:rsidR="006360CC" w:rsidRPr="00ED38E9" w:rsidRDefault="00AA09D3" w:rsidP="006360CC">
      <w:pPr>
        <w:rPr>
          <w:rFonts w:cs="Arial"/>
        </w:rPr>
      </w:pPr>
      <w:r w:rsidRPr="00ED38E9">
        <w:rPr>
          <w:rFonts w:cs="Arial"/>
        </w:rPr>
        <w:t>O</w:t>
      </w:r>
      <w:r w:rsidR="001471B0" w:rsidRPr="00ED38E9">
        <w:rPr>
          <w:rFonts w:cs="Arial"/>
        </w:rPr>
        <w:t>mezení plnění povinností zpětného odběru pro jednotlivé skupiny ele</w:t>
      </w:r>
      <w:r w:rsidRPr="00ED38E9">
        <w:rPr>
          <w:rFonts w:cs="Arial"/>
        </w:rPr>
        <w:t xml:space="preserve">ktrozařízení v rámci jednoho KS a tím reálné využití </w:t>
      </w:r>
      <w:r w:rsidR="00B76B27" w:rsidRPr="00ED38E9">
        <w:rPr>
          <w:rFonts w:cs="Arial"/>
        </w:rPr>
        <w:t>recyklační</w:t>
      </w:r>
      <w:r w:rsidR="00B76B27">
        <w:rPr>
          <w:rFonts w:cs="Arial"/>
        </w:rPr>
        <w:t>ch</w:t>
      </w:r>
      <w:r w:rsidR="00B76B27" w:rsidRPr="00ED38E9">
        <w:rPr>
          <w:rFonts w:cs="Arial"/>
        </w:rPr>
        <w:t xml:space="preserve"> příspěvk</w:t>
      </w:r>
      <w:r w:rsidR="00B76B27">
        <w:rPr>
          <w:rFonts w:cs="Arial"/>
        </w:rPr>
        <w:t>ů</w:t>
      </w:r>
      <w:r w:rsidRPr="00ED38E9">
        <w:rPr>
          <w:rFonts w:cs="Arial"/>
        </w:rPr>
        <w:t>.</w:t>
      </w:r>
    </w:p>
    <w:p w:rsidR="006360CC" w:rsidRPr="00ED38E9" w:rsidRDefault="006360CC" w:rsidP="006360CC">
      <w:pPr>
        <w:pStyle w:val="Normlntun"/>
        <w:rPr>
          <w:rFonts w:cs="Arial"/>
        </w:rPr>
      </w:pPr>
      <w:r w:rsidRPr="00ED38E9">
        <w:rPr>
          <w:rFonts w:cs="Arial"/>
        </w:rPr>
        <w:t>Dopady na územní samosprávné celky (obce, kraje)</w:t>
      </w:r>
    </w:p>
    <w:p w:rsidR="006360CC" w:rsidRPr="00ED38E9" w:rsidRDefault="001471B0" w:rsidP="006360CC">
      <w:pPr>
        <w:rPr>
          <w:rFonts w:cs="Arial"/>
        </w:rPr>
      </w:pPr>
      <w:r w:rsidRPr="00ED38E9">
        <w:rPr>
          <w:rFonts w:cs="Arial"/>
        </w:rPr>
        <w:t>Nepředpokládáme dopady na USC.</w:t>
      </w:r>
    </w:p>
    <w:p w:rsidR="006360CC" w:rsidRPr="00ED38E9" w:rsidRDefault="006360CC" w:rsidP="006360CC">
      <w:pPr>
        <w:pStyle w:val="Normlntun"/>
        <w:rPr>
          <w:rFonts w:cs="Arial"/>
        </w:rPr>
      </w:pPr>
      <w:r w:rsidRPr="00ED38E9">
        <w:rPr>
          <w:rFonts w:cs="Arial"/>
        </w:rPr>
        <w:t>Sociální dopady</w:t>
      </w:r>
    </w:p>
    <w:p w:rsidR="006360CC" w:rsidRPr="00ED38E9" w:rsidRDefault="001471B0" w:rsidP="006360CC">
      <w:pPr>
        <w:rPr>
          <w:rFonts w:cs="Arial"/>
        </w:rPr>
      </w:pPr>
      <w:r w:rsidRPr="00ED38E9">
        <w:rPr>
          <w:rFonts w:cs="Arial"/>
        </w:rPr>
        <w:t xml:space="preserve">Nepředpokládáme </w:t>
      </w:r>
      <w:r w:rsidR="00CD4A58" w:rsidRPr="00ED38E9">
        <w:rPr>
          <w:rFonts w:cs="Arial"/>
        </w:rPr>
        <w:t>sociáln</w:t>
      </w:r>
      <w:r w:rsidR="00CD4A58">
        <w:rPr>
          <w:rFonts w:cs="Arial"/>
        </w:rPr>
        <w:t>í</w:t>
      </w:r>
      <w:r w:rsidR="00CD4A58" w:rsidRPr="00ED38E9">
        <w:rPr>
          <w:rFonts w:cs="Arial"/>
        </w:rPr>
        <w:t xml:space="preserve"> </w:t>
      </w:r>
      <w:r w:rsidRPr="00ED38E9">
        <w:rPr>
          <w:rFonts w:cs="Arial"/>
        </w:rPr>
        <w:t>dopady.</w:t>
      </w:r>
    </w:p>
    <w:p w:rsidR="006360CC" w:rsidRPr="00ED38E9" w:rsidRDefault="006360CC" w:rsidP="006360CC">
      <w:pPr>
        <w:pStyle w:val="Normlntun"/>
        <w:rPr>
          <w:rFonts w:cs="Arial"/>
        </w:rPr>
      </w:pPr>
      <w:r w:rsidRPr="00ED38E9">
        <w:rPr>
          <w:rFonts w:cs="Arial"/>
        </w:rPr>
        <w:lastRenderedPageBreak/>
        <w:t>Dopady na životní prostředí</w:t>
      </w:r>
    </w:p>
    <w:p w:rsidR="006360CC" w:rsidRPr="00ED38E9" w:rsidRDefault="001471B0" w:rsidP="006360CC">
      <w:pPr>
        <w:rPr>
          <w:rFonts w:cs="Arial"/>
        </w:rPr>
      </w:pPr>
      <w:r w:rsidRPr="00ED38E9">
        <w:rPr>
          <w:rFonts w:cs="Arial"/>
        </w:rPr>
        <w:t>Nepředpokládáme dopady na životní prostředí.</w:t>
      </w:r>
    </w:p>
    <w:p w:rsidR="006360CC" w:rsidRPr="00ED38E9" w:rsidRDefault="006360CC" w:rsidP="00F97AF3">
      <w:pPr>
        <w:pStyle w:val="Nadpis3"/>
      </w:pPr>
      <w:r w:rsidRPr="00ED38E9">
        <w:t>Vyhodnocení nákladů a přínosů variant</w:t>
      </w:r>
    </w:p>
    <w:p w:rsidR="006360CC" w:rsidRPr="00ED38E9" w:rsidRDefault="006360CC" w:rsidP="006360CC">
      <w:pPr>
        <w:pStyle w:val="Titulek"/>
        <w:rPr>
          <w:rFonts w:cs="Arial"/>
        </w:rPr>
      </w:pPr>
      <w:r w:rsidRPr="00ED38E9">
        <w:rPr>
          <w:rFonts w:cs="Arial"/>
        </w:rPr>
        <w:t xml:space="preserve">Tabulka </w:t>
      </w:r>
      <w:r w:rsidR="00381FB7" w:rsidRPr="00ED38E9">
        <w:rPr>
          <w:rFonts w:cs="Arial"/>
          <w:noProof w:val="0"/>
        </w:rPr>
        <w:fldChar w:fldCharType="begin"/>
      </w:r>
      <w:r w:rsidRPr="00ED38E9">
        <w:rPr>
          <w:rFonts w:cs="Arial"/>
        </w:rPr>
        <w:instrText xml:space="preserve"> SEQ Tabulka \* ARABIC </w:instrText>
      </w:r>
      <w:r w:rsidR="00381FB7" w:rsidRPr="00ED38E9">
        <w:rPr>
          <w:rFonts w:cs="Arial"/>
          <w:noProof w:val="0"/>
        </w:rPr>
        <w:fldChar w:fldCharType="separate"/>
      </w:r>
      <w:r w:rsidR="00FD5E92">
        <w:rPr>
          <w:rFonts w:cs="Arial"/>
        </w:rPr>
        <w:t>48</w:t>
      </w:r>
      <w:r w:rsidR="00381FB7" w:rsidRPr="00ED38E9">
        <w:rPr>
          <w:rFonts w:cs="Arial"/>
        </w:rPr>
        <w:fldChar w:fldCharType="end"/>
      </w:r>
      <w:r w:rsidRPr="00ED38E9">
        <w:rPr>
          <w:rFonts w:cs="Arial"/>
        </w:rPr>
        <w:t>: Porovnání nákladů a přínosů</w:t>
      </w:r>
    </w:p>
    <w:p w:rsidR="006360CC" w:rsidRPr="00ED38E9" w:rsidRDefault="003D34D6" w:rsidP="006360CC">
      <w:pPr>
        <w:rPr>
          <w:rFonts w:cs="Arial"/>
        </w:rPr>
      </w:pPr>
      <w:r w:rsidRPr="00ED38E9">
        <w:rPr>
          <w:rFonts w:cs="Arial"/>
          <w:lang w:eastAsia="cs-CZ" w:bidi="ar-SA"/>
        </w:rPr>
        <w:drawing>
          <wp:inline distT="0" distB="0" distL="0" distR="0" wp14:anchorId="01A1F39E" wp14:editId="3D0BA5A0">
            <wp:extent cx="5760720" cy="6854198"/>
            <wp:effectExtent l="0" t="0" r="0" b="3810"/>
            <wp:docPr id="797" name="Obráze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720" cy="6854198"/>
                    </a:xfrm>
                    <a:prstGeom prst="rect">
                      <a:avLst/>
                    </a:prstGeom>
                    <a:noFill/>
                    <a:ln>
                      <a:noFill/>
                    </a:ln>
                  </pic:spPr>
                </pic:pic>
              </a:graphicData>
            </a:graphic>
          </wp:inline>
        </w:drawing>
      </w:r>
    </w:p>
    <w:p w:rsidR="006360CC" w:rsidRPr="00ED38E9" w:rsidRDefault="006360CC" w:rsidP="00F97AF3">
      <w:pPr>
        <w:pStyle w:val="Nadpis2"/>
      </w:pPr>
      <w:bookmarkStart w:id="143" w:name="_Toc441759914"/>
      <w:r w:rsidRPr="00ED38E9">
        <w:t>Návrh řešení</w:t>
      </w:r>
      <w:bookmarkEnd w:id="143"/>
    </w:p>
    <w:p w:rsidR="006360CC" w:rsidRPr="00ED38E9" w:rsidRDefault="006360CC" w:rsidP="00F97AF3">
      <w:pPr>
        <w:pStyle w:val="Nadpis3"/>
      </w:pPr>
      <w:r w:rsidRPr="00ED38E9">
        <w:t>Stanovení pořadí variant a výběr nejvhodnějšího řešení</w:t>
      </w:r>
    </w:p>
    <w:p w:rsidR="006360CC" w:rsidRPr="00ED38E9" w:rsidRDefault="006360CC" w:rsidP="002D66F0">
      <w:pPr>
        <w:pStyle w:val="Odstavecseseznamem"/>
        <w:numPr>
          <w:ilvl w:val="0"/>
          <w:numId w:val="120"/>
        </w:numPr>
        <w:spacing w:after="120"/>
        <w:rPr>
          <w:rFonts w:cs="Arial"/>
          <w:b/>
          <w:bCs/>
        </w:rPr>
      </w:pPr>
      <w:r w:rsidRPr="00ED38E9">
        <w:rPr>
          <w:rFonts w:cs="Arial"/>
          <w:b/>
          <w:bCs/>
        </w:rPr>
        <w:t xml:space="preserve">Varianta </w:t>
      </w:r>
      <w:r w:rsidR="003D34D6" w:rsidRPr="00ED38E9">
        <w:rPr>
          <w:rFonts w:cs="Arial"/>
          <w:b/>
          <w:bCs/>
        </w:rPr>
        <w:t>1</w:t>
      </w:r>
    </w:p>
    <w:p w:rsidR="006360CC" w:rsidRPr="00ED38E9" w:rsidRDefault="006360CC" w:rsidP="002D66F0">
      <w:pPr>
        <w:pStyle w:val="Odstavecseseznamem"/>
        <w:numPr>
          <w:ilvl w:val="0"/>
          <w:numId w:val="120"/>
        </w:numPr>
        <w:spacing w:after="120"/>
        <w:ind w:left="714" w:hanging="357"/>
        <w:rPr>
          <w:rFonts w:cs="Arial"/>
        </w:rPr>
      </w:pPr>
      <w:r w:rsidRPr="00ED38E9">
        <w:rPr>
          <w:rFonts w:cs="Arial"/>
        </w:rPr>
        <w:lastRenderedPageBreak/>
        <w:t xml:space="preserve">Varianta </w:t>
      </w:r>
      <w:r w:rsidR="003D34D6" w:rsidRPr="00ED38E9">
        <w:rPr>
          <w:rFonts w:cs="Arial"/>
        </w:rPr>
        <w:t>0</w:t>
      </w:r>
    </w:p>
    <w:p w:rsidR="003D34D6" w:rsidRPr="00ED38E9" w:rsidRDefault="003D34D6" w:rsidP="003D34D6">
      <w:pPr>
        <w:rPr>
          <w:rFonts w:cs="Arial"/>
        </w:rPr>
      </w:pPr>
      <w:r w:rsidRPr="00ED38E9">
        <w:rPr>
          <w:rFonts w:cs="Arial"/>
        </w:rPr>
        <w:t>Dopo</w:t>
      </w:r>
      <w:r w:rsidR="00925D58">
        <w:rPr>
          <w:rFonts w:cs="Arial"/>
        </w:rPr>
        <w:t>r</w:t>
      </w:r>
      <w:r w:rsidRPr="00ED38E9">
        <w:rPr>
          <w:rFonts w:cs="Arial"/>
        </w:rPr>
        <w:t>učujeme přijmout Variantu 1, protože představuje snížení administrativní zátěže kontrolních subjektů a dále pak lepší pozici KS na trhu v oblasti plánování financování nakládání s výrobky s ukončenou životností.</w:t>
      </w:r>
    </w:p>
    <w:p w:rsidR="006360CC" w:rsidRPr="00ED38E9" w:rsidRDefault="006360CC" w:rsidP="00F97AF3">
      <w:pPr>
        <w:pStyle w:val="Nadpis1"/>
      </w:pPr>
      <w:bookmarkStart w:id="144" w:name="_Toc441759915"/>
      <w:bookmarkStart w:id="145" w:name="_Toc441760194"/>
      <w:r w:rsidRPr="00ED38E9">
        <w:t>Hustota sběrné sítě</w:t>
      </w:r>
      <w:r w:rsidR="00B76B27">
        <w:t xml:space="preserve"> pro OEEZ pocházející z domácností</w:t>
      </w:r>
      <w:bookmarkEnd w:id="144"/>
      <w:bookmarkEnd w:id="145"/>
    </w:p>
    <w:p w:rsidR="006360CC" w:rsidRPr="00ED38E9" w:rsidRDefault="006360CC" w:rsidP="00F97AF3">
      <w:pPr>
        <w:pStyle w:val="Nadpis2"/>
      </w:pPr>
      <w:bookmarkStart w:id="146" w:name="_Toc441759916"/>
      <w:r w:rsidRPr="00ED38E9">
        <w:t>Důvod předložení a cíle</w:t>
      </w:r>
      <w:bookmarkEnd w:id="146"/>
    </w:p>
    <w:p w:rsidR="006360CC" w:rsidRPr="00ED38E9" w:rsidRDefault="006360CC" w:rsidP="00F97AF3">
      <w:pPr>
        <w:pStyle w:val="Nadpis3"/>
      </w:pPr>
      <w:r w:rsidRPr="00ED38E9">
        <w:t>Definice problému</w:t>
      </w:r>
    </w:p>
    <w:p w:rsidR="00DF08CE" w:rsidRPr="00ED38E9" w:rsidRDefault="00DF08CE" w:rsidP="00DF08CE">
      <w:pPr>
        <w:rPr>
          <w:rFonts w:cs="Arial"/>
        </w:rPr>
      </w:pPr>
      <w:r w:rsidRPr="00ED38E9">
        <w:rPr>
          <w:rFonts w:cs="Arial"/>
        </w:rPr>
        <w:t>Nastavení hustoty sběrné sítě má nezastupitelnou roli v celém procesu nakládání s odpadními elektrozařízeními. Bez jejího jasného stanovení není možné zajistit správné fungování zpětného odběru, navýšit množství sebraných elektrozařízení, minimalizovat odkládání odpadních elektrozaříz</w:t>
      </w:r>
      <w:r w:rsidR="008339AE" w:rsidRPr="00ED38E9">
        <w:rPr>
          <w:rFonts w:cs="Arial"/>
        </w:rPr>
        <w:t>ení mimo režim zpětného odběru.</w:t>
      </w:r>
    </w:p>
    <w:p w:rsidR="006360CC" w:rsidRPr="00ED38E9" w:rsidRDefault="006360CC" w:rsidP="00F97AF3">
      <w:pPr>
        <w:pStyle w:val="Nadpis3"/>
      </w:pPr>
      <w:r w:rsidRPr="00ED38E9">
        <w:t>Popis existujícího právního stavu v dané oblasti</w:t>
      </w:r>
    </w:p>
    <w:p w:rsidR="00DF08CE" w:rsidRPr="00ED38E9" w:rsidRDefault="00DF08CE" w:rsidP="00DF08CE">
      <w:pPr>
        <w:rPr>
          <w:rFonts w:cs="Arial"/>
        </w:rPr>
      </w:pPr>
      <w:r w:rsidRPr="00ED38E9">
        <w:rPr>
          <w:rFonts w:cs="Arial"/>
        </w:rPr>
        <w:t>Zákon o odpadech do nabytí účinnosti zákona č. 184/2014 Sb., kterým se mění zákon o</w:t>
      </w:r>
      <w:r w:rsidR="00135E91" w:rsidRPr="00ED38E9">
        <w:rPr>
          <w:rFonts w:cs="Arial"/>
        </w:rPr>
        <w:t> </w:t>
      </w:r>
      <w:r w:rsidRPr="00ED38E9">
        <w:rPr>
          <w:rFonts w:cs="Arial"/>
        </w:rPr>
        <w:t>odpadech, nestanovoval požadavky na hustotu sběrné sítě. Tento požadavek obsahovala pouze vyhláška č. 237/2002 Sb., o podrobnostech způsobu provedení zpětného odběru některých výrobků, kde § 3 v odst. 4 stanovoval, že místa zpětného odběru výrobků se považují za stejně dostupná jako místa prodeje, pokud je stanoveno minimálně jedno místo zpětného odběru v každé obci nebo v každém městském obvodě nebo městské části (pokud jsou zřízeny), kde se nachází prodejny těchto výrobků. V požadavcích uvedených v příloze č.</w:t>
      </w:r>
      <w:r w:rsidR="00286BBA" w:rsidRPr="00ED38E9">
        <w:rPr>
          <w:rFonts w:cs="Arial"/>
        </w:rPr>
        <w:t> </w:t>
      </w:r>
      <w:r w:rsidRPr="00ED38E9">
        <w:rPr>
          <w:rFonts w:cs="Arial"/>
        </w:rPr>
        <w:t xml:space="preserve">2 vyhlášky č. 352/2005 Sb., o nakládání s elektrozařízeními a elektroodpady pro zápis kolektivního systému do Seznamu výrobců elektrozařízení bylo zároveň stanoveno, že subjekty doloží předpokládaný seznam míst zpětného odběru. </w:t>
      </w:r>
    </w:p>
    <w:p w:rsidR="00DF08CE" w:rsidRPr="00ED38E9" w:rsidRDefault="00DF08CE" w:rsidP="00620E6B">
      <w:pPr>
        <w:spacing w:before="120"/>
        <w:rPr>
          <w:rFonts w:cs="Arial"/>
        </w:rPr>
      </w:pPr>
      <w:r w:rsidRPr="00ED38E9">
        <w:rPr>
          <w:rFonts w:cs="Arial"/>
        </w:rPr>
        <w:t>Výše uvedený stav do nabytí účinnosti zákona č. 184/2014 Sb., dal vzniknout řadě kolektivní</w:t>
      </w:r>
      <w:r w:rsidR="009B5E32">
        <w:rPr>
          <w:rFonts w:cs="Arial"/>
        </w:rPr>
        <w:t>ch</w:t>
      </w:r>
      <w:r w:rsidRPr="00ED38E9">
        <w:rPr>
          <w:rFonts w:cs="Arial"/>
        </w:rPr>
        <w:t xml:space="preserve"> systémů bez fungující sběrné sítě. Sběrná síť těchto subjektů buď vůbec neexistovala, nebo byla tvořena jen místy zpětného odběru v lokalitách s dobrou dostupností a možností sběru velkého množství odpadních elektrozařízení. Takováto sběrná síť zároveň vykazovala potřebu nižších nákladů na jejich provoz, čímž jednotlivé kolektivní systémy </w:t>
      </w:r>
      <w:r w:rsidR="00925D58" w:rsidRPr="00ED38E9">
        <w:rPr>
          <w:rFonts w:cs="Arial"/>
        </w:rPr>
        <w:t>mohl</w:t>
      </w:r>
      <w:r w:rsidR="00925D58">
        <w:rPr>
          <w:rFonts w:cs="Arial"/>
        </w:rPr>
        <w:t>y</w:t>
      </w:r>
      <w:r w:rsidR="00925D58" w:rsidRPr="00ED38E9">
        <w:rPr>
          <w:rFonts w:cs="Arial"/>
        </w:rPr>
        <w:t xml:space="preserve"> </w:t>
      </w:r>
      <w:r w:rsidRPr="00ED38E9">
        <w:rPr>
          <w:rFonts w:cs="Arial"/>
        </w:rPr>
        <w:t>získáv</w:t>
      </w:r>
      <w:r w:rsidR="00925D58">
        <w:rPr>
          <w:rFonts w:cs="Arial"/>
        </w:rPr>
        <w:t>a</w:t>
      </w:r>
      <w:r w:rsidRPr="00ED38E9">
        <w:rPr>
          <w:rFonts w:cs="Arial"/>
        </w:rPr>
        <w:t xml:space="preserve">t konkureční výhodu. </w:t>
      </w:r>
    </w:p>
    <w:p w:rsidR="006360CC" w:rsidRPr="00ED38E9" w:rsidRDefault="006360CC" w:rsidP="00F97AF3">
      <w:pPr>
        <w:pStyle w:val="Nadpis3"/>
      </w:pPr>
      <w:r w:rsidRPr="00ED38E9">
        <w:t>Identifikace dotčených subjektů</w:t>
      </w:r>
    </w:p>
    <w:p w:rsidR="006360CC" w:rsidRPr="00ED38E9" w:rsidRDefault="006360CC" w:rsidP="002D66F0">
      <w:pPr>
        <w:pStyle w:val="Odstavecseseznamem"/>
        <w:numPr>
          <w:ilvl w:val="0"/>
          <w:numId w:val="83"/>
        </w:numPr>
        <w:spacing w:after="120"/>
        <w:rPr>
          <w:rFonts w:cs="Arial"/>
        </w:rPr>
      </w:pPr>
      <w:r w:rsidRPr="00ED38E9">
        <w:rPr>
          <w:rFonts w:cs="Arial"/>
        </w:rPr>
        <w:t>výrobci, kolektivní systémy,</w:t>
      </w:r>
    </w:p>
    <w:p w:rsidR="006360CC" w:rsidRPr="00ED38E9" w:rsidRDefault="006360CC" w:rsidP="002D66F0">
      <w:pPr>
        <w:pStyle w:val="Odstavecseseznamem"/>
        <w:numPr>
          <w:ilvl w:val="0"/>
          <w:numId w:val="83"/>
        </w:numPr>
        <w:spacing w:after="120"/>
        <w:rPr>
          <w:rFonts w:cs="Arial"/>
        </w:rPr>
      </w:pPr>
      <w:r w:rsidRPr="00ED38E9">
        <w:rPr>
          <w:rFonts w:cs="Arial"/>
        </w:rPr>
        <w:t>obce</w:t>
      </w:r>
      <w:r w:rsidR="00620E6B" w:rsidRPr="00ED38E9">
        <w:rPr>
          <w:rFonts w:cs="Arial"/>
        </w:rPr>
        <w:t>,</w:t>
      </w:r>
    </w:p>
    <w:p w:rsidR="006360CC" w:rsidRPr="00ED38E9" w:rsidRDefault="00DF08CE" w:rsidP="002D66F0">
      <w:pPr>
        <w:pStyle w:val="Odstavecseseznamem"/>
        <w:numPr>
          <w:ilvl w:val="0"/>
          <w:numId w:val="83"/>
        </w:numPr>
        <w:spacing w:after="120"/>
        <w:ind w:left="714" w:hanging="357"/>
        <w:rPr>
          <w:rFonts w:cs="Arial"/>
        </w:rPr>
      </w:pPr>
      <w:r w:rsidRPr="00ED38E9">
        <w:rPr>
          <w:rFonts w:cs="Arial"/>
        </w:rPr>
        <w:t>provozovatelé sběrných dvorů</w:t>
      </w:r>
      <w:r w:rsidR="00620E6B" w:rsidRPr="00ED38E9">
        <w:rPr>
          <w:rFonts w:cs="Arial"/>
        </w:rPr>
        <w:t>,</w:t>
      </w:r>
    </w:p>
    <w:p w:rsidR="00DF08CE" w:rsidRPr="00ED38E9" w:rsidRDefault="00DF08CE" w:rsidP="002D66F0">
      <w:pPr>
        <w:pStyle w:val="Odstavecseseznamem"/>
        <w:numPr>
          <w:ilvl w:val="0"/>
          <w:numId w:val="83"/>
        </w:numPr>
        <w:spacing w:after="120"/>
        <w:ind w:left="714" w:hanging="357"/>
        <w:rPr>
          <w:rFonts w:cs="Arial"/>
        </w:rPr>
      </w:pPr>
      <w:r w:rsidRPr="00ED38E9">
        <w:rPr>
          <w:rFonts w:cs="Arial"/>
        </w:rPr>
        <w:t>zařízení pro sběr a výkup odpadů</w:t>
      </w:r>
      <w:r w:rsidR="00620E6B" w:rsidRPr="00ED38E9">
        <w:rPr>
          <w:rFonts w:cs="Arial"/>
        </w:rPr>
        <w:t>,</w:t>
      </w:r>
    </w:p>
    <w:p w:rsidR="00DF08CE" w:rsidRPr="00ED38E9" w:rsidRDefault="00DF08CE" w:rsidP="002D66F0">
      <w:pPr>
        <w:pStyle w:val="Odstavecseseznamem"/>
        <w:numPr>
          <w:ilvl w:val="0"/>
          <w:numId w:val="83"/>
        </w:numPr>
        <w:spacing w:after="120"/>
        <w:ind w:left="714" w:hanging="357"/>
        <w:rPr>
          <w:rFonts w:cs="Arial"/>
        </w:rPr>
      </w:pPr>
      <w:r w:rsidRPr="00ED38E9">
        <w:rPr>
          <w:rFonts w:cs="Arial"/>
        </w:rPr>
        <w:t>poslední prodejci elektrozařízení</w:t>
      </w:r>
      <w:r w:rsidR="00620E6B" w:rsidRPr="00ED38E9">
        <w:rPr>
          <w:rFonts w:cs="Arial"/>
        </w:rPr>
        <w:t>,</w:t>
      </w:r>
    </w:p>
    <w:p w:rsidR="00DF08CE" w:rsidRPr="00ED38E9" w:rsidRDefault="00DF08CE" w:rsidP="002D66F0">
      <w:pPr>
        <w:pStyle w:val="Odstavecseseznamem"/>
        <w:numPr>
          <w:ilvl w:val="0"/>
          <w:numId w:val="83"/>
        </w:numPr>
        <w:spacing w:after="120"/>
        <w:ind w:left="714" w:hanging="357"/>
        <w:rPr>
          <w:rFonts w:cs="Arial"/>
        </w:rPr>
      </w:pPr>
      <w:r w:rsidRPr="00ED38E9">
        <w:rPr>
          <w:rFonts w:cs="Arial"/>
        </w:rPr>
        <w:t>svozové společnosti</w:t>
      </w:r>
      <w:r w:rsidR="00620E6B" w:rsidRPr="00ED38E9">
        <w:rPr>
          <w:rFonts w:cs="Arial"/>
        </w:rPr>
        <w:t>.</w:t>
      </w:r>
    </w:p>
    <w:p w:rsidR="006360CC" w:rsidRPr="00ED38E9" w:rsidRDefault="006360CC" w:rsidP="00F97AF3">
      <w:pPr>
        <w:pStyle w:val="Nadpis3"/>
      </w:pPr>
      <w:r w:rsidRPr="00ED38E9">
        <w:t>Popis cílového stavu</w:t>
      </w:r>
    </w:p>
    <w:p w:rsidR="00DF08CE" w:rsidRPr="00ED38E9" w:rsidRDefault="00DF08CE" w:rsidP="00DF08CE">
      <w:pPr>
        <w:rPr>
          <w:rFonts w:cs="Arial"/>
        </w:rPr>
      </w:pPr>
      <w:r w:rsidRPr="00ED38E9">
        <w:rPr>
          <w:rFonts w:cs="Arial"/>
        </w:rPr>
        <w:t>Nastavení funkční sběrné sítě tak, aby byla pro konečné uživatele co nejvíce dostupná a</w:t>
      </w:r>
      <w:r w:rsidR="00135E91" w:rsidRPr="00ED38E9">
        <w:rPr>
          <w:rFonts w:cs="Arial"/>
        </w:rPr>
        <w:t> </w:t>
      </w:r>
      <w:r w:rsidRPr="00ED38E9">
        <w:rPr>
          <w:rFonts w:cs="Arial"/>
        </w:rPr>
        <w:t>zákon ne</w:t>
      </w:r>
      <w:r w:rsidR="00135E91" w:rsidRPr="00ED38E9">
        <w:rPr>
          <w:rFonts w:cs="Arial"/>
        </w:rPr>
        <w:t>u</w:t>
      </w:r>
      <w:r w:rsidRPr="00ED38E9">
        <w:rPr>
          <w:rFonts w:cs="Arial"/>
        </w:rPr>
        <w:t>m</w:t>
      </w:r>
      <w:r w:rsidR="002907BD">
        <w:rPr>
          <w:rFonts w:cs="Arial"/>
        </w:rPr>
        <w:t>o</w:t>
      </w:r>
      <w:r w:rsidRPr="00ED38E9">
        <w:rPr>
          <w:rFonts w:cs="Arial"/>
        </w:rPr>
        <w:t>žňoval poskytování konkurenční výhody těm výrobcům, kteří síť míst zpětného odběru nevytváří, nebo ji provozují pouze v pro ně finančně výhodných lokalitách.</w:t>
      </w:r>
    </w:p>
    <w:p w:rsidR="006360CC" w:rsidRPr="00ED38E9" w:rsidRDefault="006360CC" w:rsidP="006360CC">
      <w:pPr>
        <w:rPr>
          <w:rFonts w:cs="Arial"/>
        </w:rPr>
      </w:pPr>
    </w:p>
    <w:p w:rsidR="006360CC" w:rsidRPr="00ED38E9" w:rsidRDefault="006360CC" w:rsidP="00F97AF3">
      <w:pPr>
        <w:pStyle w:val="Nadpis3"/>
      </w:pPr>
      <w:r w:rsidRPr="00ED38E9">
        <w:t>Zhodnocení rizika</w:t>
      </w:r>
    </w:p>
    <w:p w:rsidR="00135E91" w:rsidRPr="00ED38E9" w:rsidRDefault="00135E91" w:rsidP="00DF08CE">
      <w:pPr>
        <w:rPr>
          <w:rFonts w:cs="Arial"/>
        </w:rPr>
      </w:pPr>
      <w:r w:rsidRPr="00ED38E9">
        <w:rPr>
          <w:rFonts w:cs="Arial"/>
        </w:rPr>
        <w:t>Současný stav představuje tato rizika:</w:t>
      </w:r>
    </w:p>
    <w:p w:rsidR="00DF08CE" w:rsidRPr="00ED38E9" w:rsidRDefault="00DF08CE" w:rsidP="002D66F0">
      <w:pPr>
        <w:pStyle w:val="Odstavecseseznamem"/>
        <w:numPr>
          <w:ilvl w:val="0"/>
          <w:numId w:val="122"/>
        </w:numPr>
        <w:rPr>
          <w:rFonts w:cs="Arial"/>
        </w:rPr>
      </w:pPr>
      <w:r w:rsidRPr="00ED38E9">
        <w:rPr>
          <w:rFonts w:cs="Arial"/>
        </w:rPr>
        <w:t>nesnižování množství OEEZ v netříděném komunálním odpadu,</w:t>
      </w:r>
    </w:p>
    <w:p w:rsidR="00DF08CE" w:rsidRPr="00ED38E9" w:rsidRDefault="00DF08CE" w:rsidP="002D66F0">
      <w:pPr>
        <w:pStyle w:val="Odstavecseseznamem"/>
        <w:numPr>
          <w:ilvl w:val="0"/>
          <w:numId w:val="122"/>
        </w:numPr>
        <w:rPr>
          <w:rFonts w:cs="Arial"/>
        </w:rPr>
      </w:pPr>
      <w:r w:rsidRPr="00ED38E9">
        <w:rPr>
          <w:rFonts w:cs="Arial"/>
        </w:rPr>
        <w:t>riziko navýšení nákladů spojených se zajištěním sběru na straně měst a obcí</w:t>
      </w:r>
      <w:r w:rsidR="00135E91" w:rsidRPr="00ED38E9">
        <w:rPr>
          <w:rFonts w:cs="Arial"/>
        </w:rPr>
        <w:t>,</w:t>
      </w:r>
    </w:p>
    <w:p w:rsidR="00DF08CE" w:rsidRPr="00ED38E9" w:rsidRDefault="00DF08CE" w:rsidP="002D66F0">
      <w:pPr>
        <w:pStyle w:val="Odstavecseseznamem"/>
        <w:numPr>
          <w:ilvl w:val="0"/>
          <w:numId w:val="122"/>
        </w:numPr>
        <w:rPr>
          <w:rFonts w:cs="Arial"/>
        </w:rPr>
      </w:pPr>
      <w:r w:rsidRPr="00ED38E9">
        <w:rPr>
          <w:rFonts w:cs="Arial"/>
        </w:rPr>
        <w:t>poskytování konkurenční výhody kolektivním systémům, kteří sběrnou sítí nedisponují a sbírají elektrozařízení pouze v pro ně výhodných loka</w:t>
      </w:r>
      <w:r w:rsidR="00135E91" w:rsidRPr="00ED38E9">
        <w:rPr>
          <w:rFonts w:cs="Arial"/>
        </w:rPr>
        <w:t xml:space="preserve">litách </w:t>
      </w:r>
      <w:r w:rsidRPr="00ED38E9">
        <w:rPr>
          <w:rFonts w:cs="Arial"/>
        </w:rPr>
        <w:t>s nízkými náklady s cílem zvýhodnění svého postavení na trhu.</w:t>
      </w:r>
    </w:p>
    <w:p w:rsidR="006360CC" w:rsidRPr="00ED38E9" w:rsidRDefault="006360CC" w:rsidP="00F97AF3">
      <w:pPr>
        <w:pStyle w:val="Nadpis2"/>
      </w:pPr>
      <w:bookmarkStart w:id="147" w:name="_Toc441759917"/>
      <w:r w:rsidRPr="00ED38E9">
        <w:t>Návrh variant řešení</w:t>
      </w:r>
      <w:bookmarkEnd w:id="147"/>
    </w:p>
    <w:p w:rsidR="006360CC" w:rsidRPr="00ED38E9" w:rsidRDefault="006360CC" w:rsidP="00F97AF3">
      <w:pPr>
        <w:pStyle w:val="Nadpis3"/>
      </w:pPr>
      <w:r w:rsidRPr="00ED38E9">
        <w:t>Varianta 0</w:t>
      </w:r>
    </w:p>
    <w:p w:rsidR="00DF08CE" w:rsidRPr="00ED38E9" w:rsidRDefault="006360CC" w:rsidP="006360CC">
      <w:pPr>
        <w:rPr>
          <w:rFonts w:cs="Arial"/>
        </w:rPr>
      </w:pPr>
      <w:r w:rsidRPr="00ED38E9">
        <w:rPr>
          <w:rFonts w:cs="Arial"/>
        </w:rPr>
        <w:t xml:space="preserve">Ponechání současného stavu, kdy výrobce </w:t>
      </w:r>
      <w:r w:rsidR="00DF08CE" w:rsidRPr="00ED38E9">
        <w:rPr>
          <w:rFonts w:cs="Arial"/>
        </w:rPr>
        <w:t>elektrozařízení určených k použití v domácnosti je povinen zřídit minimálně jedno místo zpětného odběru v každé obci, městském obvodě nebo městské části s počtem více než 2 000 obyvatel, kde se nachází prodejna elektrozařízení nebo v nichž jsou elektrozařízení, která uvádí na trh, dodávána konečnému uživateli při prodeji prostřednictvím</w:t>
      </w:r>
      <w:r w:rsidR="00286BBA" w:rsidRPr="00ED38E9">
        <w:rPr>
          <w:rFonts w:cs="Arial"/>
        </w:rPr>
        <w:t xml:space="preserve"> prostředků komunikace na dálku </w:t>
      </w:r>
      <w:r w:rsidR="00DF08CE" w:rsidRPr="00ED38E9">
        <w:rPr>
          <w:rFonts w:cs="Arial"/>
        </w:rPr>
        <w:t>a dále uzavřít smlouvu o</w:t>
      </w:r>
      <w:r w:rsidR="00620E6B" w:rsidRPr="00ED38E9">
        <w:rPr>
          <w:rFonts w:cs="Arial"/>
        </w:rPr>
        <w:t> </w:t>
      </w:r>
      <w:r w:rsidR="00DF08CE" w:rsidRPr="00ED38E9">
        <w:rPr>
          <w:rFonts w:cs="Arial"/>
        </w:rPr>
        <w:t>využití systému sběru a třídění komunálních odpadů stanovených obcí s každou obcí, která o její uzavření projeví zájem</w:t>
      </w:r>
      <w:r w:rsidR="002907BD">
        <w:rPr>
          <w:rFonts w:cs="Arial"/>
        </w:rPr>
        <w:t>,</w:t>
      </w:r>
      <w:r w:rsidR="00DF08CE" w:rsidRPr="00ED38E9">
        <w:rPr>
          <w:rFonts w:cs="Arial"/>
        </w:rPr>
        <w:t xml:space="preserve"> a ve které jsou elektrozařízení určená k použití v</w:t>
      </w:r>
      <w:r w:rsidR="00620E6B" w:rsidRPr="00ED38E9">
        <w:rPr>
          <w:rFonts w:cs="Arial"/>
        </w:rPr>
        <w:t> </w:t>
      </w:r>
      <w:r w:rsidR="00DF08CE" w:rsidRPr="00ED38E9">
        <w:rPr>
          <w:rFonts w:cs="Arial"/>
        </w:rPr>
        <w:t>domácnostech, která uvádí na trh, prodávána, za podmínek obd</w:t>
      </w:r>
      <w:r w:rsidR="00620E6B" w:rsidRPr="00ED38E9">
        <w:rPr>
          <w:rFonts w:cs="Arial"/>
        </w:rPr>
        <w:t>obných jako s ostatními obcemi.</w:t>
      </w:r>
    </w:p>
    <w:p w:rsidR="006360CC" w:rsidRPr="00ED38E9" w:rsidRDefault="006360CC" w:rsidP="00F97AF3">
      <w:pPr>
        <w:pStyle w:val="Nadpis3"/>
      </w:pPr>
      <w:r w:rsidRPr="00ED38E9">
        <w:t>Varianta 1</w:t>
      </w:r>
    </w:p>
    <w:p w:rsidR="001952A3" w:rsidRPr="00ED38E9" w:rsidRDefault="006360CC" w:rsidP="001952A3">
      <w:pPr>
        <w:rPr>
          <w:rFonts w:cs="Arial"/>
        </w:rPr>
      </w:pPr>
      <w:r w:rsidRPr="00ED38E9">
        <w:rPr>
          <w:rFonts w:cs="Arial"/>
        </w:rPr>
        <w:t xml:space="preserve">Zavedení povinnosti, kdy výrobce </w:t>
      </w:r>
      <w:r w:rsidR="00DF08CE" w:rsidRPr="00ED38E9">
        <w:rPr>
          <w:rFonts w:cs="Arial"/>
        </w:rPr>
        <w:t xml:space="preserve">elektrozařízení určených k použití v domácnosti </w:t>
      </w:r>
      <w:r w:rsidRPr="00ED38E9">
        <w:rPr>
          <w:rFonts w:cs="Arial"/>
        </w:rPr>
        <w:t xml:space="preserve">má povinnost </w:t>
      </w:r>
      <w:r w:rsidR="00DF08CE" w:rsidRPr="00ED38E9">
        <w:rPr>
          <w:rFonts w:cs="Arial"/>
        </w:rPr>
        <w:t xml:space="preserve">od 15. srpna 2018 </w:t>
      </w:r>
      <w:r w:rsidRPr="00ED38E9">
        <w:rPr>
          <w:rFonts w:cs="Arial"/>
        </w:rPr>
        <w:t>zajistit místo zpětného odběru v každé obci</w:t>
      </w:r>
      <w:r w:rsidR="00D10140" w:rsidRPr="00ED38E9">
        <w:rPr>
          <w:rFonts w:cs="Arial"/>
        </w:rPr>
        <w:t>, městském obvodě nebo městské části</w:t>
      </w:r>
      <w:r w:rsidRPr="00ED38E9">
        <w:rPr>
          <w:rFonts w:cs="Arial"/>
        </w:rPr>
        <w:t xml:space="preserve"> s počtem více jako 1 500 obyvatel</w:t>
      </w:r>
      <w:r w:rsidR="00D10140" w:rsidRPr="00ED38E9">
        <w:rPr>
          <w:rFonts w:cs="Arial"/>
        </w:rPr>
        <w:t xml:space="preserve"> </w:t>
      </w:r>
      <w:r w:rsidR="00DF08CE" w:rsidRPr="00ED38E9">
        <w:rPr>
          <w:rFonts w:cs="Arial"/>
        </w:rPr>
        <w:t xml:space="preserve"> a dále s každou obcí, která o zřízení místa zpětného odběru projeví zájem, pokud jsou zde elektrozařízení prodávána nebo dodávána prostřednictvím prostředků komunikace na dálku</w:t>
      </w:r>
      <w:r w:rsidRPr="00ED38E9">
        <w:rPr>
          <w:rFonts w:cs="Arial"/>
        </w:rPr>
        <w:t>. Vazba</w:t>
      </w:r>
      <w:r w:rsidR="001952A3" w:rsidRPr="00ED38E9">
        <w:rPr>
          <w:rFonts w:cs="Arial"/>
        </w:rPr>
        <w:t xml:space="preserve"> vytváření míst zpětného odběru na místa prodeje nebo dodávky je zrušena, neboť daná elektrozařízení se stávají odpadem bez vazby na  místa prodeje těchto elektrozařízení Samotný kolektivní systém zároveň nemá přehled o tom, kde všude jsou výrobky výrobců zapojených do kolektivního systému prodávány, nebo dodávány konečným uživatelům.</w:t>
      </w:r>
    </w:p>
    <w:p w:rsidR="001952A3" w:rsidRPr="00ED38E9" w:rsidRDefault="001952A3" w:rsidP="00F97AF3">
      <w:pPr>
        <w:pStyle w:val="Nadpis3"/>
      </w:pPr>
      <w:r w:rsidRPr="00ED38E9">
        <w:t>Varianta 2</w:t>
      </w:r>
    </w:p>
    <w:p w:rsidR="001952A3" w:rsidRPr="00ED38E9" w:rsidRDefault="001952A3" w:rsidP="001952A3">
      <w:pPr>
        <w:rPr>
          <w:rFonts w:cs="Arial"/>
        </w:rPr>
      </w:pPr>
      <w:r w:rsidRPr="00ED38E9">
        <w:rPr>
          <w:rFonts w:cs="Arial"/>
        </w:rPr>
        <w:t>Nestanovení hustoty sběrné sítě. Je tak pouze na výrobci, kde bude vytvářet místa zpětného odběru. Výrobce by tak místa zpětného odběru vytvářel pouze za účelem splnění požadavku cílů sběru.</w:t>
      </w:r>
    </w:p>
    <w:p w:rsidR="006360CC" w:rsidRPr="00ED38E9" w:rsidRDefault="006360CC" w:rsidP="00F97AF3">
      <w:pPr>
        <w:pStyle w:val="Nadpis2"/>
      </w:pPr>
      <w:bookmarkStart w:id="148" w:name="_Toc441759918"/>
      <w:r w:rsidRPr="00ED38E9">
        <w:t>Vyhodnocení nákladů a přínosů</w:t>
      </w:r>
      <w:bookmarkEnd w:id="148"/>
    </w:p>
    <w:p w:rsidR="006360CC" w:rsidRPr="00ED38E9" w:rsidRDefault="006360CC" w:rsidP="00F97AF3">
      <w:pPr>
        <w:pStyle w:val="Nadpis3"/>
      </w:pPr>
      <w:r w:rsidRPr="00ED38E9">
        <w:t>Identifikace nákladů a přínosů</w:t>
      </w:r>
    </w:p>
    <w:p w:rsidR="006360CC" w:rsidRPr="00ED38E9" w:rsidRDefault="006360CC" w:rsidP="002D66F0">
      <w:pPr>
        <w:pStyle w:val="Odstavecseseznamem"/>
        <w:keepNext/>
        <w:numPr>
          <w:ilvl w:val="0"/>
          <w:numId w:val="82"/>
        </w:numPr>
        <w:spacing w:before="240" w:after="120"/>
        <w:contextualSpacing w:val="0"/>
        <w:rPr>
          <w:rFonts w:cs="Arial"/>
        </w:rPr>
      </w:pPr>
      <w:r w:rsidRPr="00ED38E9">
        <w:rPr>
          <w:rFonts w:cs="Arial"/>
        </w:rPr>
        <w:t>Varianta 0</w:t>
      </w:r>
    </w:p>
    <w:p w:rsidR="006360CC" w:rsidRPr="00ED38E9" w:rsidRDefault="006360CC" w:rsidP="006360CC">
      <w:pPr>
        <w:pStyle w:val="Normlntun"/>
        <w:rPr>
          <w:rFonts w:cs="Arial"/>
        </w:rPr>
      </w:pPr>
      <w:r w:rsidRPr="00ED38E9">
        <w:rPr>
          <w:rFonts w:cs="Arial"/>
        </w:rPr>
        <w:t>Dopady na státní rozpočet a ostatní veřejné rozpočty</w:t>
      </w:r>
    </w:p>
    <w:p w:rsidR="006360CC" w:rsidRPr="00ED38E9" w:rsidRDefault="00B4762C" w:rsidP="006360CC">
      <w:pPr>
        <w:rPr>
          <w:rFonts w:cs="Arial"/>
        </w:rPr>
      </w:pPr>
      <w:r w:rsidRPr="00ED38E9">
        <w:rPr>
          <w:rFonts w:cs="Arial"/>
        </w:rPr>
        <w:t>Současný stav nepředstavuje dopady na státní rozpočet a ostatní veřejné rozpočty.</w:t>
      </w:r>
    </w:p>
    <w:p w:rsidR="006360CC" w:rsidRPr="00ED38E9" w:rsidRDefault="006360CC" w:rsidP="006360CC">
      <w:pPr>
        <w:pStyle w:val="Normlntun"/>
        <w:rPr>
          <w:rFonts w:cs="Arial"/>
        </w:rPr>
      </w:pPr>
      <w:r w:rsidRPr="00ED38E9">
        <w:rPr>
          <w:rFonts w:cs="Arial"/>
        </w:rPr>
        <w:lastRenderedPageBreak/>
        <w:t>Dopady na podnikatelské subjekty</w:t>
      </w:r>
    </w:p>
    <w:p w:rsidR="006360CC" w:rsidRPr="00ED38E9" w:rsidRDefault="00286BBA" w:rsidP="006360CC">
      <w:pPr>
        <w:rPr>
          <w:rFonts w:cs="Arial"/>
        </w:rPr>
      </w:pPr>
      <w:r w:rsidRPr="00ED38E9">
        <w:rPr>
          <w:rFonts w:cs="Arial"/>
        </w:rPr>
        <w:t xml:space="preserve">Náklady podnikatelských subjektů jsou spojené s vytvářením míst zpětného odběru v obcích, městské části či městském obvodě s početem více než 2 000 obyvatel. Celkové náklady však nejsme schopni odhadnout, protože záleží na způsobu plnění, jestli se jedná o kontejner na veřejně dostupném místě, nebo o kontejner ve sběrném </w:t>
      </w:r>
      <w:r w:rsidR="00F94CE8">
        <w:rPr>
          <w:rFonts w:cs="Arial"/>
        </w:rPr>
        <w:t>dvoře nebo o nádobu umístěnou u </w:t>
      </w:r>
      <w:r w:rsidRPr="00ED38E9">
        <w:rPr>
          <w:rFonts w:cs="Arial"/>
        </w:rPr>
        <w:t>konečného prodejce apod.</w:t>
      </w:r>
    </w:p>
    <w:p w:rsidR="006360CC" w:rsidRPr="00ED38E9" w:rsidRDefault="006360CC" w:rsidP="006360CC">
      <w:pPr>
        <w:pStyle w:val="Normlntun"/>
        <w:rPr>
          <w:rFonts w:cs="Arial"/>
        </w:rPr>
      </w:pPr>
      <w:r w:rsidRPr="00ED38E9">
        <w:rPr>
          <w:rFonts w:cs="Arial"/>
        </w:rPr>
        <w:t>Dopady na územní samosprávné celky (obce, kraje)</w:t>
      </w:r>
    </w:p>
    <w:p w:rsidR="006360CC" w:rsidRPr="00ED38E9" w:rsidRDefault="00286BBA" w:rsidP="006360CC">
      <w:pPr>
        <w:rPr>
          <w:rFonts w:cs="Arial"/>
        </w:rPr>
      </w:pPr>
      <w:r w:rsidRPr="00ED38E9">
        <w:rPr>
          <w:rFonts w:cs="Arial"/>
        </w:rPr>
        <w:t>Současný stav představuje náklady spojené s uzavřením smlouvy s obcí, která o místo zpětného odběru projeví zájem. Celkové náklady není možné stanovit, předpokládáme však, že se jedná o minimální náklady.</w:t>
      </w:r>
    </w:p>
    <w:p w:rsidR="006360CC" w:rsidRPr="00ED38E9" w:rsidRDefault="006360CC" w:rsidP="006360CC">
      <w:pPr>
        <w:pStyle w:val="Normlntun"/>
        <w:rPr>
          <w:rFonts w:cs="Arial"/>
        </w:rPr>
      </w:pPr>
      <w:r w:rsidRPr="00ED38E9">
        <w:rPr>
          <w:rFonts w:cs="Arial"/>
        </w:rPr>
        <w:t>Sociální dopady</w:t>
      </w:r>
    </w:p>
    <w:p w:rsidR="001952A3" w:rsidRPr="00ED38E9" w:rsidRDefault="00A72096" w:rsidP="001952A3">
      <w:pPr>
        <w:rPr>
          <w:rFonts w:cs="Arial"/>
        </w:rPr>
      </w:pPr>
      <w:r w:rsidRPr="00ED38E9">
        <w:rPr>
          <w:rFonts w:cs="Arial"/>
        </w:rPr>
        <w:t>Současný stav představuje méně míst zpětného odběru a tím horší dostupnost pro občany.</w:t>
      </w:r>
    </w:p>
    <w:p w:rsidR="006360CC" w:rsidRPr="00ED38E9" w:rsidRDefault="006360CC" w:rsidP="006360CC">
      <w:pPr>
        <w:pStyle w:val="Normlntun"/>
        <w:rPr>
          <w:rFonts w:cs="Arial"/>
        </w:rPr>
      </w:pPr>
      <w:r w:rsidRPr="00ED38E9">
        <w:rPr>
          <w:rFonts w:cs="Arial"/>
        </w:rPr>
        <w:t>Dopady na životní prostředí</w:t>
      </w:r>
    </w:p>
    <w:p w:rsidR="006360CC" w:rsidRPr="00ED38E9" w:rsidRDefault="00286BBA" w:rsidP="006360CC">
      <w:pPr>
        <w:rPr>
          <w:rFonts w:cs="Arial"/>
        </w:rPr>
      </w:pPr>
      <w:r w:rsidRPr="00ED38E9">
        <w:rPr>
          <w:rFonts w:cs="Arial"/>
        </w:rPr>
        <w:t>S</w:t>
      </w:r>
      <w:r w:rsidR="001952A3" w:rsidRPr="00ED38E9">
        <w:rPr>
          <w:rFonts w:cs="Arial"/>
        </w:rPr>
        <w:t xml:space="preserve"> nižší dostupností míst zpětného odběru může vzrůstat množství </w:t>
      </w:r>
      <w:r w:rsidR="00A72096" w:rsidRPr="00ED38E9">
        <w:rPr>
          <w:rFonts w:cs="Arial"/>
        </w:rPr>
        <w:t>O</w:t>
      </w:r>
      <w:r w:rsidR="001952A3" w:rsidRPr="00ED38E9">
        <w:rPr>
          <w:rFonts w:cs="Arial"/>
        </w:rPr>
        <w:t>EEZ mimo režim zpětného odběru</w:t>
      </w:r>
      <w:r w:rsidRPr="00ED38E9">
        <w:rPr>
          <w:rFonts w:cs="Arial"/>
        </w:rPr>
        <w:t>.</w:t>
      </w:r>
    </w:p>
    <w:p w:rsidR="006360CC" w:rsidRPr="00ED38E9" w:rsidRDefault="006360CC" w:rsidP="002D66F0">
      <w:pPr>
        <w:pStyle w:val="Odstavecseseznamem"/>
        <w:keepNext/>
        <w:numPr>
          <w:ilvl w:val="0"/>
          <w:numId w:val="82"/>
        </w:numPr>
        <w:spacing w:before="240" w:after="120"/>
        <w:ind w:left="714" w:hanging="357"/>
        <w:contextualSpacing w:val="0"/>
        <w:rPr>
          <w:rFonts w:cs="Arial"/>
        </w:rPr>
      </w:pPr>
      <w:r w:rsidRPr="00ED38E9">
        <w:rPr>
          <w:rFonts w:cs="Arial"/>
        </w:rPr>
        <w:t>Varianta 1</w:t>
      </w:r>
    </w:p>
    <w:p w:rsidR="006360CC" w:rsidRPr="00ED38E9" w:rsidRDefault="006360CC" w:rsidP="006360CC">
      <w:pPr>
        <w:pStyle w:val="Normlntun"/>
        <w:rPr>
          <w:rFonts w:cs="Arial"/>
        </w:rPr>
      </w:pPr>
      <w:r w:rsidRPr="00ED38E9">
        <w:rPr>
          <w:rFonts w:cs="Arial"/>
        </w:rPr>
        <w:t>Dopady na státní rozpočet a ostatní veřejné rozpočty</w:t>
      </w:r>
    </w:p>
    <w:p w:rsidR="00A72096" w:rsidRPr="00ED38E9" w:rsidRDefault="001212C3" w:rsidP="001212C3">
      <w:pPr>
        <w:rPr>
          <w:rFonts w:cs="Arial"/>
        </w:rPr>
      </w:pPr>
      <w:r w:rsidRPr="00ED38E9">
        <w:rPr>
          <w:rFonts w:cs="Arial"/>
        </w:rPr>
        <w:t>Nepředpokládáme dopady na státní rozpočet a územní samosprávné celky.</w:t>
      </w:r>
    </w:p>
    <w:p w:rsidR="006360CC" w:rsidRPr="00ED38E9" w:rsidRDefault="006360CC" w:rsidP="006360CC">
      <w:pPr>
        <w:pStyle w:val="Normlntun"/>
        <w:rPr>
          <w:rFonts w:cs="Arial"/>
        </w:rPr>
      </w:pPr>
      <w:r w:rsidRPr="00ED38E9">
        <w:rPr>
          <w:rFonts w:cs="Arial"/>
        </w:rPr>
        <w:t>Dopady na podnikatelské subjekty</w:t>
      </w:r>
    </w:p>
    <w:p w:rsidR="006360CC" w:rsidRPr="00ED38E9" w:rsidRDefault="001212C3" w:rsidP="006360CC">
      <w:pPr>
        <w:rPr>
          <w:rFonts w:cs="Arial"/>
          <w:color w:val="FF0000"/>
        </w:rPr>
      </w:pPr>
      <w:r w:rsidRPr="00ED38E9">
        <w:rPr>
          <w:rFonts w:cs="Arial"/>
        </w:rPr>
        <w:t>Se změnou zákona předpokládáme n</w:t>
      </w:r>
      <w:r w:rsidR="006360CC" w:rsidRPr="00ED38E9">
        <w:rPr>
          <w:rFonts w:cs="Arial"/>
        </w:rPr>
        <w:t>áklady spojené se zajištěním dalších míst</w:t>
      </w:r>
      <w:r w:rsidR="001952A3" w:rsidRPr="00ED38E9">
        <w:rPr>
          <w:rFonts w:cs="Arial"/>
        </w:rPr>
        <w:t xml:space="preserve"> zpětného odběru</w:t>
      </w:r>
      <w:r w:rsidR="006360CC" w:rsidRPr="00ED38E9">
        <w:rPr>
          <w:rFonts w:cs="Arial"/>
        </w:rPr>
        <w:t xml:space="preserve"> (smlouva </w:t>
      </w:r>
      <w:r w:rsidR="001952A3" w:rsidRPr="00ED38E9">
        <w:rPr>
          <w:rFonts w:cs="Arial"/>
        </w:rPr>
        <w:t>mezi</w:t>
      </w:r>
      <w:r w:rsidR="006360CC" w:rsidRPr="00ED38E9">
        <w:rPr>
          <w:rFonts w:cs="Arial"/>
        </w:rPr>
        <w:t> kolektivním</w:t>
      </w:r>
      <w:r w:rsidR="001952A3" w:rsidRPr="00ED38E9">
        <w:rPr>
          <w:rFonts w:cs="Arial"/>
        </w:rPr>
        <w:t>i</w:t>
      </w:r>
      <w:r w:rsidR="006360CC" w:rsidRPr="00ED38E9">
        <w:rPr>
          <w:rFonts w:cs="Arial"/>
        </w:rPr>
        <w:t xml:space="preserve"> systém</w:t>
      </w:r>
      <w:r w:rsidR="001952A3" w:rsidRPr="00ED38E9">
        <w:rPr>
          <w:rFonts w:cs="Arial"/>
        </w:rPr>
        <w:t>y</w:t>
      </w:r>
      <w:r w:rsidR="006360CC" w:rsidRPr="00ED38E9">
        <w:rPr>
          <w:rFonts w:cs="Arial"/>
        </w:rPr>
        <w:t xml:space="preserve">, změna smlouvy, dohoda s jinými subjekty, </w:t>
      </w:r>
      <w:r w:rsidR="001952A3" w:rsidRPr="00ED38E9">
        <w:rPr>
          <w:rFonts w:cs="Arial"/>
        </w:rPr>
        <w:t>potřeba nových sběrných nádob atd.</w:t>
      </w:r>
      <w:r w:rsidR="006360CC" w:rsidRPr="00ED38E9">
        <w:rPr>
          <w:rFonts w:cs="Arial"/>
        </w:rPr>
        <w:t>)</w:t>
      </w:r>
      <w:r w:rsidRPr="00ED38E9">
        <w:rPr>
          <w:rFonts w:cs="Arial"/>
        </w:rPr>
        <w:t>.</w:t>
      </w:r>
      <w:r w:rsidR="000C1BF0" w:rsidRPr="00ED38E9">
        <w:rPr>
          <w:rFonts w:cs="Arial"/>
        </w:rPr>
        <w:t xml:space="preserve"> Celkem se jedná o 246 obcí, kde výrobce musí nově povinně vytvářet místa zpětného odběru.</w:t>
      </w:r>
    </w:p>
    <w:p w:rsidR="006360CC" w:rsidRPr="00ED38E9" w:rsidRDefault="006360CC" w:rsidP="006360CC">
      <w:pPr>
        <w:pStyle w:val="Normlntun"/>
        <w:rPr>
          <w:rFonts w:cs="Arial"/>
        </w:rPr>
      </w:pPr>
      <w:r w:rsidRPr="00ED38E9">
        <w:rPr>
          <w:rFonts w:cs="Arial"/>
        </w:rPr>
        <w:t>Dopady na územní samosprávné celky (obce, kraje)</w:t>
      </w:r>
    </w:p>
    <w:p w:rsidR="006360CC" w:rsidRPr="00ED38E9" w:rsidRDefault="001212C3" w:rsidP="006360CC">
      <w:pPr>
        <w:rPr>
          <w:rFonts w:cs="Arial"/>
        </w:rPr>
      </w:pPr>
      <w:r w:rsidRPr="00ED38E9">
        <w:rPr>
          <w:rFonts w:cs="Arial"/>
        </w:rPr>
        <w:t>Můžeme očekávat</w:t>
      </w:r>
      <w:r w:rsidR="006360CC" w:rsidRPr="00ED38E9">
        <w:rPr>
          <w:rFonts w:cs="Arial"/>
        </w:rPr>
        <w:t xml:space="preserve"> mírné navýšení nákladů v případech, kdy výrobce nebo KS bude žádat obec o uzavření dohody a poté bude obec komunikovat průběžně s KS či výrobcem v případě, že je odpadní nádoba plná apod. (minimální náklady, řešeno v rámci aktuální agendy pracovníků)</w:t>
      </w:r>
      <w:r w:rsidRPr="00ED38E9">
        <w:rPr>
          <w:rFonts w:cs="Arial"/>
        </w:rPr>
        <w:t>.</w:t>
      </w:r>
    </w:p>
    <w:p w:rsidR="001212C3" w:rsidRPr="00ED38E9" w:rsidRDefault="001212C3" w:rsidP="001212C3">
      <w:pPr>
        <w:pStyle w:val="Normlntun"/>
        <w:rPr>
          <w:rFonts w:cs="Arial"/>
        </w:rPr>
      </w:pPr>
      <w:r w:rsidRPr="00ED38E9">
        <w:rPr>
          <w:rFonts w:cs="Arial"/>
        </w:rPr>
        <w:t>Sociální dopady</w:t>
      </w:r>
    </w:p>
    <w:p w:rsidR="001952A3" w:rsidRPr="00ED38E9" w:rsidRDefault="001212C3" w:rsidP="001212C3">
      <w:pPr>
        <w:rPr>
          <w:rFonts w:cs="Arial"/>
        </w:rPr>
      </w:pPr>
      <w:r w:rsidRPr="00ED38E9">
        <w:rPr>
          <w:rFonts w:cs="Arial"/>
        </w:rPr>
        <w:t xml:space="preserve">Návrh představuje zvýšení počtu míst ZO a tím </w:t>
      </w:r>
      <w:r w:rsidR="006360CC" w:rsidRPr="00ED38E9">
        <w:rPr>
          <w:rFonts w:cs="Arial"/>
        </w:rPr>
        <w:t>zlepšení dostupnosti míst zpětného odběru občanům,</w:t>
      </w:r>
      <w:r w:rsidR="001952A3" w:rsidRPr="00ED38E9">
        <w:rPr>
          <w:rFonts w:cs="Arial"/>
        </w:rPr>
        <w:t xml:space="preserve"> a to i v obcích s menším počtem obyvatel</w:t>
      </w:r>
      <w:r w:rsidRPr="00ED38E9">
        <w:rPr>
          <w:rFonts w:cs="Arial"/>
        </w:rPr>
        <w:t xml:space="preserve"> (zkrácení dojezdové vzálenosti).</w:t>
      </w:r>
    </w:p>
    <w:p w:rsidR="006360CC" w:rsidRPr="00ED38E9" w:rsidRDefault="006360CC" w:rsidP="006360CC">
      <w:pPr>
        <w:pStyle w:val="Normlntun"/>
        <w:rPr>
          <w:rFonts w:cs="Arial"/>
        </w:rPr>
      </w:pPr>
      <w:r w:rsidRPr="00ED38E9">
        <w:rPr>
          <w:rFonts w:cs="Arial"/>
        </w:rPr>
        <w:t>Dopady na životní prostředí</w:t>
      </w:r>
    </w:p>
    <w:p w:rsidR="006360CC" w:rsidRPr="00ED38E9" w:rsidRDefault="001212C3" w:rsidP="006360CC">
      <w:pPr>
        <w:rPr>
          <w:rFonts w:cs="Arial"/>
        </w:rPr>
      </w:pPr>
      <w:r w:rsidRPr="00ED38E9">
        <w:rPr>
          <w:rFonts w:cs="Arial"/>
        </w:rPr>
        <w:t>V případě navýšení počtu míst ZO a tím zjednodušení odevzdání OEEZ občanům představuje z</w:t>
      </w:r>
      <w:r w:rsidR="006360CC" w:rsidRPr="00ED38E9">
        <w:rPr>
          <w:rFonts w:cs="Arial"/>
        </w:rPr>
        <w:t xml:space="preserve">výšení množství </w:t>
      </w:r>
      <w:r w:rsidRPr="00ED38E9">
        <w:rPr>
          <w:rFonts w:cs="Arial"/>
        </w:rPr>
        <w:t>(zejména</w:t>
      </w:r>
      <w:r w:rsidR="001952A3" w:rsidRPr="00ED38E9">
        <w:rPr>
          <w:rFonts w:cs="Arial"/>
        </w:rPr>
        <w:t xml:space="preserve"> </w:t>
      </w:r>
      <w:r w:rsidR="006360CC" w:rsidRPr="00ED38E9">
        <w:rPr>
          <w:rFonts w:cs="Arial"/>
        </w:rPr>
        <w:t xml:space="preserve">drobného </w:t>
      </w:r>
      <w:r w:rsidRPr="00ED38E9">
        <w:rPr>
          <w:rFonts w:cs="Arial"/>
        </w:rPr>
        <w:t>O</w:t>
      </w:r>
      <w:r w:rsidR="006360CC" w:rsidRPr="00ED38E9">
        <w:rPr>
          <w:rFonts w:cs="Arial"/>
        </w:rPr>
        <w:t>EEZ</w:t>
      </w:r>
      <w:r w:rsidRPr="00ED38E9">
        <w:rPr>
          <w:rFonts w:cs="Arial"/>
        </w:rPr>
        <w:t>)</w:t>
      </w:r>
      <w:r w:rsidR="006360CC" w:rsidRPr="00ED38E9">
        <w:rPr>
          <w:rFonts w:cs="Arial"/>
        </w:rPr>
        <w:t xml:space="preserve">, které nebude končit v nádobách na komunální odpad, ale v nádobách na místech zpětného odběru a </w:t>
      </w:r>
      <w:r w:rsidRPr="00ED38E9">
        <w:rPr>
          <w:rFonts w:cs="Arial"/>
        </w:rPr>
        <w:t>bude provedena jejich recyklace.</w:t>
      </w:r>
    </w:p>
    <w:p w:rsidR="001952A3" w:rsidRPr="00ED38E9" w:rsidRDefault="001952A3" w:rsidP="001952A3">
      <w:pPr>
        <w:keepNext/>
        <w:spacing w:before="240" w:after="120"/>
        <w:ind w:left="360"/>
        <w:rPr>
          <w:rFonts w:cs="Arial"/>
        </w:rPr>
      </w:pPr>
      <w:r w:rsidRPr="00ED38E9">
        <w:rPr>
          <w:rFonts w:cs="Arial"/>
        </w:rPr>
        <w:lastRenderedPageBreak/>
        <w:t>c)  Varianta 2</w:t>
      </w:r>
    </w:p>
    <w:p w:rsidR="001952A3" w:rsidRPr="00ED38E9" w:rsidRDefault="001952A3" w:rsidP="001952A3">
      <w:pPr>
        <w:pStyle w:val="Normlntun"/>
        <w:rPr>
          <w:rFonts w:cs="Arial"/>
        </w:rPr>
      </w:pPr>
      <w:r w:rsidRPr="00ED38E9">
        <w:rPr>
          <w:rFonts w:cs="Arial"/>
        </w:rPr>
        <w:t>Dopady na státní rozpočet a ostatní veřejné rozpočty</w:t>
      </w:r>
    </w:p>
    <w:p w:rsidR="001952A3" w:rsidRPr="00ED38E9" w:rsidRDefault="001212C3" w:rsidP="001952A3">
      <w:pPr>
        <w:rPr>
          <w:rFonts w:cs="Arial"/>
        </w:rPr>
      </w:pPr>
      <w:r w:rsidRPr="00ED38E9">
        <w:rPr>
          <w:rFonts w:cs="Arial"/>
        </w:rPr>
        <w:t>Nepředpokládáme dopad na státní rozpočet a ostatní veřejné rozpočty.</w:t>
      </w:r>
    </w:p>
    <w:p w:rsidR="001952A3" w:rsidRPr="00ED38E9" w:rsidRDefault="001952A3" w:rsidP="001952A3">
      <w:pPr>
        <w:pStyle w:val="Normlntun"/>
        <w:rPr>
          <w:rFonts w:cs="Arial"/>
        </w:rPr>
      </w:pPr>
      <w:r w:rsidRPr="00ED38E9">
        <w:rPr>
          <w:rFonts w:cs="Arial"/>
        </w:rPr>
        <w:t>Dopady na podnikatelské subjekty</w:t>
      </w:r>
    </w:p>
    <w:p w:rsidR="001952A3" w:rsidRPr="00ED38E9" w:rsidRDefault="001212C3" w:rsidP="001952A3">
      <w:pPr>
        <w:rPr>
          <w:rFonts w:cs="Arial"/>
        </w:rPr>
      </w:pPr>
      <w:r w:rsidRPr="00ED38E9">
        <w:rPr>
          <w:rFonts w:cs="Arial"/>
        </w:rPr>
        <w:t>Tento návrh představuje</w:t>
      </w:r>
      <w:r w:rsidR="001952A3" w:rsidRPr="00ED38E9">
        <w:rPr>
          <w:rFonts w:cs="Arial"/>
        </w:rPr>
        <w:t xml:space="preserve"> </w:t>
      </w:r>
      <w:r w:rsidR="003A77C5" w:rsidRPr="00ED38E9">
        <w:rPr>
          <w:rFonts w:cs="Arial"/>
        </w:rPr>
        <w:t>konkru</w:t>
      </w:r>
      <w:r w:rsidR="003A77C5">
        <w:rPr>
          <w:rFonts w:cs="Arial"/>
        </w:rPr>
        <w:t>r</w:t>
      </w:r>
      <w:r w:rsidR="003A77C5" w:rsidRPr="00ED38E9">
        <w:rPr>
          <w:rFonts w:cs="Arial"/>
        </w:rPr>
        <w:t xml:space="preserve">enční </w:t>
      </w:r>
      <w:r w:rsidR="001952A3" w:rsidRPr="00ED38E9">
        <w:rPr>
          <w:rFonts w:cs="Arial"/>
        </w:rPr>
        <w:t>zvýhodnění výrobců elektrozařízení</w:t>
      </w:r>
      <w:r w:rsidR="008968AD">
        <w:rPr>
          <w:rFonts w:cs="Arial"/>
        </w:rPr>
        <w:t xml:space="preserve"> a</w:t>
      </w:r>
      <w:r w:rsidR="001952A3" w:rsidRPr="00ED38E9">
        <w:rPr>
          <w:rFonts w:cs="Arial"/>
        </w:rPr>
        <w:t xml:space="preserve"> KS, kteří vytvář</w:t>
      </w:r>
      <w:r w:rsidR="008968AD">
        <w:rPr>
          <w:rFonts w:cs="Arial"/>
        </w:rPr>
        <w:t>ej</w:t>
      </w:r>
      <w:r w:rsidR="001952A3" w:rsidRPr="00ED38E9">
        <w:rPr>
          <w:rFonts w:cs="Arial"/>
        </w:rPr>
        <w:t>í síť míst zpětného odběru pouze v pro ně výhodných loka</w:t>
      </w:r>
      <w:r w:rsidRPr="00ED38E9">
        <w:rPr>
          <w:rFonts w:cs="Arial"/>
        </w:rPr>
        <w:t>litách s co nejnižšími náklady.</w:t>
      </w:r>
    </w:p>
    <w:p w:rsidR="001952A3" w:rsidRPr="00ED38E9" w:rsidRDefault="001952A3" w:rsidP="001952A3">
      <w:pPr>
        <w:pStyle w:val="Normlntun"/>
        <w:rPr>
          <w:rFonts w:cs="Arial"/>
        </w:rPr>
      </w:pPr>
      <w:r w:rsidRPr="00ED38E9">
        <w:rPr>
          <w:rFonts w:cs="Arial"/>
        </w:rPr>
        <w:t>Dopady na územní samosprávné celky (obce, kraje)</w:t>
      </w:r>
    </w:p>
    <w:p w:rsidR="001952A3" w:rsidRPr="00ED38E9" w:rsidRDefault="001212C3" w:rsidP="001952A3">
      <w:pPr>
        <w:rPr>
          <w:rFonts w:cs="Arial"/>
        </w:rPr>
      </w:pPr>
      <w:r w:rsidRPr="00ED38E9">
        <w:rPr>
          <w:rFonts w:cs="Arial"/>
        </w:rPr>
        <w:t>V případě, že nebude tato oblast regulována, tak dojde k znevýhodnění obcí s menším počtem obyvatel, kde je to pro výrobce neekonomické a navýšení nákladů daných měst a obcí, kter</w:t>
      </w:r>
      <w:r w:rsidR="003A77C5">
        <w:rPr>
          <w:rFonts w:cs="Arial"/>
        </w:rPr>
        <w:t>á</w:t>
      </w:r>
      <w:r w:rsidRPr="00ED38E9">
        <w:rPr>
          <w:rFonts w:cs="Arial"/>
        </w:rPr>
        <w:t xml:space="preserve"> budou muset zajistit sběr a zpracování OEEZ.</w:t>
      </w:r>
      <w:r w:rsidR="001952A3" w:rsidRPr="00ED38E9">
        <w:rPr>
          <w:rFonts w:cs="Arial"/>
        </w:rPr>
        <w:t xml:space="preserve"> </w:t>
      </w:r>
    </w:p>
    <w:p w:rsidR="001952A3" w:rsidRPr="00ED38E9" w:rsidRDefault="001952A3" w:rsidP="001952A3">
      <w:pPr>
        <w:pStyle w:val="Normlntun"/>
        <w:rPr>
          <w:rFonts w:cs="Arial"/>
        </w:rPr>
      </w:pPr>
      <w:r w:rsidRPr="00ED38E9">
        <w:rPr>
          <w:rFonts w:cs="Arial"/>
        </w:rPr>
        <w:t>Sociální dopady</w:t>
      </w:r>
    </w:p>
    <w:p w:rsidR="001952A3" w:rsidRPr="00ED38E9" w:rsidRDefault="001212C3" w:rsidP="001952A3">
      <w:pPr>
        <w:rPr>
          <w:rFonts w:cs="Arial"/>
        </w:rPr>
      </w:pPr>
      <w:r w:rsidRPr="00ED38E9">
        <w:rPr>
          <w:rFonts w:cs="Arial"/>
        </w:rPr>
        <w:t>Z</w:t>
      </w:r>
      <w:r w:rsidR="001952A3" w:rsidRPr="00ED38E9">
        <w:rPr>
          <w:rFonts w:cs="Arial"/>
        </w:rPr>
        <w:t>horšení dostupnosti míst zpětného odběru občanů</w:t>
      </w:r>
      <w:r w:rsidRPr="00ED38E9">
        <w:rPr>
          <w:rFonts w:cs="Arial"/>
        </w:rPr>
        <w:t>m především menších obcí a měst.</w:t>
      </w:r>
    </w:p>
    <w:p w:rsidR="001952A3" w:rsidRPr="00ED38E9" w:rsidRDefault="001952A3" w:rsidP="001952A3">
      <w:pPr>
        <w:pStyle w:val="Normlntun"/>
        <w:rPr>
          <w:rFonts w:cs="Arial"/>
        </w:rPr>
      </w:pPr>
      <w:r w:rsidRPr="00ED38E9">
        <w:rPr>
          <w:rFonts w:cs="Arial"/>
        </w:rPr>
        <w:t>Dopady na životní prostředí</w:t>
      </w:r>
    </w:p>
    <w:p w:rsidR="001952A3" w:rsidRPr="00ED38E9" w:rsidRDefault="001212C3" w:rsidP="001952A3">
      <w:pPr>
        <w:rPr>
          <w:rFonts w:cs="Arial"/>
        </w:rPr>
      </w:pPr>
      <w:r w:rsidRPr="00ED38E9">
        <w:rPr>
          <w:rFonts w:cs="Arial"/>
        </w:rPr>
        <w:t>Z</w:t>
      </w:r>
      <w:r w:rsidR="001952A3" w:rsidRPr="00ED38E9">
        <w:rPr>
          <w:rFonts w:cs="Arial"/>
        </w:rPr>
        <w:t xml:space="preserve">výšení množství </w:t>
      </w:r>
      <w:r w:rsidRPr="00ED38E9">
        <w:rPr>
          <w:rFonts w:cs="Arial"/>
        </w:rPr>
        <w:t>O</w:t>
      </w:r>
      <w:r w:rsidR="001952A3" w:rsidRPr="00ED38E9">
        <w:rPr>
          <w:rFonts w:cs="Arial"/>
        </w:rPr>
        <w:t xml:space="preserve">EEZ, které </w:t>
      </w:r>
      <w:r w:rsidRPr="00ED38E9">
        <w:rPr>
          <w:rFonts w:cs="Arial"/>
        </w:rPr>
        <w:t xml:space="preserve">bude </w:t>
      </w:r>
      <w:r w:rsidR="001952A3" w:rsidRPr="00ED38E9">
        <w:rPr>
          <w:rFonts w:cs="Arial"/>
        </w:rPr>
        <w:t>k</w:t>
      </w:r>
      <w:r w:rsidRPr="00ED38E9">
        <w:rPr>
          <w:rFonts w:cs="Arial"/>
        </w:rPr>
        <w:t>ončit ve směsném komunálním odpadu, to znamená mimo režim zpětného odběru, a nedojde k jeho recyklaci.</w:t>
      </w:r>
    </w:p>
    <w:p w:rsidR="006360CC" w:rsidRPr="00ED38E9" w:rsidRDefault="006360CC" w:rsidP="00F97AF3">
      <w:pPr>
        <w:pStyle w:val="Nadpis3"/>
      </w:pPr>
      <w:r w:rsidRPr="00ED38E9">
        <w:t>Vyhodnocení nákladů a přínosů variant</w:t>
      </w:r>
    </w:p>
    <w:p w:rsidR="006360CC" w:rsidRPr="00ED38E9" w:rsidRDefault="006360CC" w:rsidP="006360CC">
      <w:pPr>
        <w:pStyle w:val="Titulek"/>
        <w:rPr>
          <w:rFonts w:cs="Arial"/>
        </w:rPr>
      </w:pPr>
      <w:r w:rsidRPr="00ED38E9">
        <w:rPr>
          <w:rFonts w:cs="Arial"/>
        </w:rPr>
        <w:t xml:space="preserve">Tabulka </w:t>
      </w:r>
      <w:r w:rsidR="00381FB7" w:rsidRPr="00ED38E9">
        <w:rPr>
          <w:rFonts w:cs="Arial"/>
          <w:noProof w:val="0"/>
        </w:rPr>
        <w:fldChar w:fldCharType="begin"/>
      </w:r>
      <w:r w:rsidRPr="00ED38E9">
        <w:rPr>
          <w:rFonts w:cs="Arial"/>
        </w:rPr>
        <w:instrText xml:space="preserve"> SEQ Tabulka \* ARABIC </w:instrText>
      </w:r>
      <w:r w:rsidR="00381FB7" w:rsidRPr="00ED38E9">
        <w:rPr>
          <w:rFonts w:cs="Arial"/>
          <w:noProof w:val="0"/>
        </w:rPr>
        <w:fldChar w:fldCharType="separate"/>
      </w:r>
      <w:r w:rsidR="00FD5E92">
        <w:rPr>
          <w:rFonts w:cs="Arial"/>
        </w:rPr>
        <w:t>49</w:t>
      </w:r>
      <w:r w:rsidR="00381FB7" w:rsidRPr="00ED38E9">
        <w:rPr>
          <w:rFonts w:cs="Arial"/>
        </w:rPr>
        <w:fldChar w:fldCharType="end"/>
      </w:r>
      <w:r w:rsidRPr="00ED38E9">
        <w:rPr>
          <w:rFonts w:cs="Arial"/>
        </w:rPr>
        <w:t>: Porovnání nákladů a přínosů</w:t>
      </w:r>
    </w:p>
    <w:p w:rsidR="006360CC" w:rsidRPr="00ED38E9" w:rsidRDefault="00D47567" w:rsidP="006360CC">
      <w:pPr>
        <w:rPr>
          <w:rFonts w:cs="Arial"/>
        </w:rPr>
      </w:pPr>
      <w:r w:rsidRPr="00ED38E9">
        <w:rPr>
          <w:rFonts w:cs="Arial"/>
          <w:lang w:eastAsia="cs-CZ" w:bidi="ar-SA"/>
        </w:rPr>
        <w:drawing>
          <wp:inline distT="0" distB="0" distL="0" distR="0" wp14:anchorId="02DDD1EF" wp14:editId="12CB5E7F">
            <wp:extent cx="5760720" cy="3468783"/>
            <wp:effectExtent l="0" t="0" r="0" b="0"/>
            <wp:docPr id="798" name="Obráze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3468783"/>
                    </a:xfrm>
                    <a:prstGeom prst="rect">
                      <a:avLst/>
                    </a:prstGeom>
                    <a:noFill/>
                    <a:ln>
                      <a:noFill/>
                    </a:ln>
                  </pic:spPr>
                </pic:pic>
              </a:graphicData>
            </a:graphic>
          </wp:inline>
        </w:drawing>
      </w:r>
    </w:p>
    <w:p w:rsidR="00D47567" w:rsidRPr="00ED38E9" w:rsidRDefault="00D47567" w:rsidP="006360CC">
      <w:pPr>
        <w:rPr>
          <w:rFonts w:cs="Arial"/>
        </w:rPr>
      </w:pPr>
    </w:p>
    <w:p w:rsidR="00D47567" w:rsidRPr="00ED38E9" w:rsidRDefault="00D47567" w:rsidP="006360CC">
      <w:pPr>
        <w:rPr>
          <w:rFonts w:cs="Arial"/>
        </w:rPr>
      </w:pPr>
      <w:r w:rsidRPr="00ED38E9">
        <w:rPr>
          <w:rFonts w:cs="Arial"/>
          <w:lang w:eastAsia="cs-CZ" w:bidi="ar-SA"/>
        </w:rPr>
        <w:lastRenderedPageBreak/>
        <w:drawing>
          <wp:inline distT="0" distB="0" distL="0" distR="0" wp14:anchorId="1EF4E91C" wp14:editId="349F9FC7">
            <wp:extent cx="5756745" cy="6257677"/>
            <wp:effectExtent l="0" t="0" r="0" b="0"/>
            <wp:docPr id="799" name="Obráze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6261998"/>
                    </a:xfrm>
                    <a:prstGeom prst="rect">
                      <a:avLst/>
                    </a:prstGeom>
                    <a:noFill/>
                    <a:ln>
                      <a:noFill/>
                    </a:ln>
                  </pic:spPr>
                </pic:pic>
              </a:graphicData>
            </a:graphic>
          </wp:inline>
        </w:drawing>
      </w:r>
    </w:p>
    <w:p w:rsidR="006360CC" w:rsidRPr="00ED38E9" w:rsidRDefault="006360CC" w:rsidP="00F97AF3">
      <w:pPr>
        <w:pStyle w:val="Nadpis2"/>
      </w:pPr>
      <w:bookmarkStart w:id="149" w:name="_Toc441759919"/>
      <w:r w:rsidRPr="00ED38E9">
        <w:t>Návrh řešení</w:t>
      </w:r>
      <w:bookmarkEnd w:id="149"/>
    </w:p>
    <w:p w:rsidR="006360CC" w:rsidRPr="00ED38E9" w:rsidRDefault="006360CC" w:rsidP="00F97AF3">
      <w:pPr>
        <w:pStyle w:val="Nadpis3"/>
      </w:pPr>
      <w:r w:rsidRPr="00ED38E9">
        <w:t>Stanovení pořadí variant a výběr nejvhodnějšího řešení</w:t>
      </w:r>
    </w:p>
    <w:p w:rsidR="006360CC" w:rsidRPr="00ED38E9" w:rsidRDefault="006360CC" w:rsidP="002D66F0">
      <w:pPr>
        <w:pStyle w:val="Odstavecseseznamem"/>
        <w:numPr>
          <w:ilvl w:val="0"/>
          <w:numId w:val="81"/>
        </w:numPr>
        <w:spacing w:after="120"/>
        <w:rPr>
          <w:rFonts w:cs="Arial"/>
          <w:b/>
          <w:bCs/>
        </w:rPr>
      </w:pPr>
      <w:r w:rsidRPr="00ED38E9">
        <w:rPr>
          <w:rFonts w:cs="Arial"/>
          <w:b/>
          <w:bCs/>
        </w:rPr>
        <w:t xml:space="preserve">Varianta </w:t>
      </w:r>
      <w:r w:rsidR="001212C3" w:rsidRPr="00ED38E9">
        <w:rPr>
          <w:rFonts w:cs="Arial"/>
          <w:b/>
          <w:bCs/>
        </w:rPr>
        <w:t>1</w:t>
      </w:r>
    </w:p>
    <w:p w:rsidR="006360CC" w:rsidRPr="00ED38E9" w:rsidRDefault="006360CC" w:rsidP="002D66F0">
      <w:pPr>
        <w:pStyle w:val="Odstavecseseznamem"/>
        <w:numPr>
          <w:ilvl w:val="0"/>
          <w:numId w:val="81"/>
        </w:numPr>
        <w:spacing w:after="120"/>
        <w:ind w:left="714" w:hanging="357"/>
        <w:rPr>
          <w:rFonts w:cs="Arial"/>
        </w:rPr>
      </w:pPr>
      <w:r w:rsidRPr="00ED38E9">
        <w:rPr>
          <w:rFonts w:cs="Arial"/>
        </w:rPr>
        <w:t xml:space="preserve">Varianta </w:t>
      </w:r>
      <w:r w:rsidR="001212C3" w:rsidRPr="00ED38E9">
        <w:rPr>
          <w:rFonts w:cs="Arial"/>
        </w:rPr>
        <w:t>0</w:t>
      </w:r>
    </w:p>
    <w:p w:rsidR="001212C3" w:rsidRPr="00ED38E9" w:rsidRDefault="001212C3" w:rsidP="002D66F0">
      <w:pPr>
        <w:pStyle w:val="Odstavecseseznamem"/>
        <w:numPr>
          <w:ilvl w:val="0"/>
          <w:numId w:val="81"/>
        </w:numPr>
        <w:spacing w:after="120"/>
        <w:ind w:left="714" w:hanging="357"/>
        <w:rPr>
          <w:rFonts w:cs="Arial"/>
        </w:rPr>
      </w:pPr>
      <w:r w:rsidRPr="00ED38E9">
        <w:rPr>
          <w:rFonts w:cs="Arial"/>
        </w:rPr>
        <w:t>Varianta 2</w:t>
      </w:r>
    </w:p>
    <w:p w:rsidR="001212C3" w:rsidRPr="00ED38E9" w:rsidRDefault="001212C3" w:rsidP="001212C3">
      <w:pPr>
        <w:rPr>
          <w:rFonts w:cs="Arial"/>
        </w:rPr>
      </w:pPr>
      <w:r w:rsidRPr="00ED38E9">
        <w:rPr>
          <w:rFonts w:cs="Arial"/>
        </w:rPr>
        <w:t>V souvislosti s potřebou vyšší míry sběru a recyklace OEEZ doporučujeme přijmout Variantu</w:t>
      </w:r>
      <w:r w:rsidR="00D47567" w:rsidRPr="00ED38E9">
        <w:rPr>
          <w:rFonts w:cs="Arial"/>
        </w:rPr>
        <w:t> </w:t>
      </w:r>
      <w:r w:rsidRPr="00ED38E9">
        <w:rPr>
          <w:rFonts w:cs="Arial"/>
        </w:rPr>
        <w:t xml:space="preserve">1, která představuje navýšení mmožství míst ZO a tím i zlepšení dostupnosti těchto míst více obyvatelům a tím zamezení odkládání OEEZ v lepším případě do </w:t>
      </w:r>
      <w:r w:rsidR="008968AD">
        <w:rPr>
          <w:rFonts w:cs="Arial"/>
        </w:rPr>
        <w:t>směsného komunálního odpadu</w:t>
      </w:r>
      <w:r w:rsidRPr="00ED38E9">
        <w:rPr>
          <w:rFonts w:cs="Arial"/>
        </w:rPr>
        <w:t>, v tom horším mimo místa ke sběru odpadů určená (příkopy, lesy apod.).</w:t>
      </w:r>
    </w:p>
    <w:p w:rsidR="008D5F56" w:rsidRPr="00ED38E9" w:rsidRDefault="008D5F56">
      <w:pPr>
        <w:spacing w:line="240" w:lineRule="auto"/>
        <w:jc w:val="left"/>
        <w:rPr>
          <w:rFonts w:cs="Arial"/>
          <w:b/>
          <w:bCs/>
          <w:kern w:val="28"/>
          <w:sz w:val="32"/>
          <w:szCs w:val="32"/>
        </w:rPr>
      </w:pPr>
      <w:r w:rsidRPr="00ED38E9">
        <w:rPr>
          <w:rFonts w:cs="Arial"/>
        </w:rPr>
        <w:br w:type="page"/>
      </w:r>
    </w:p>
    <w:p w:rsidR="006717CE" w:rsidRPr="00ED38E9" w:rsidRDefault="00212AB8" w:rsidP="00F97AF3">
      <w:pPr>
        <w:pStyle w:val="Nadpis1"/>
      </w:pPr>
      <w:bookmarkStart w:id="150" w:name="_Toc438037326"/>
      <w:bookmarkStart w:id="151" w:name="_Toc438037327"/>
      <w:bookmarkStart w:id="152" w:name="_Toc438037331"/>
      <w:bookmarkStart w:id="153" w:name="_Toc438037335"/>
      <w:bookmarkStart w:id="154" w:name="_Toc438037336"/>
      <w:bookmarkStart w:id="155" w:name="_Toc438037343"/>
      <w:bookmarkStart w:id="156" w:name="_Toc438037345"/>
      <w:bookmarkStart w:id="157" w:name="_Toc438037346"/>
      <w:bookmarkStart w:id="158" w:name="_Toc438037347"/>
      <w:bookmarkStart w:id="159" w:name="_Toc438037349"/>
      <w:bookmarkStart w:id="160" w:name="_Toc438037352"/>
      <w:bookmarkStart w:id="161" w:name="_Toc438037357"/>
      <w:bookmarkStart w:id="162" w:name="_Toc438037359"/>
      <w:bookmarkStart w:id="163" w:name="_Toc438037361"/>
      <w:bookmarkStart w:id="164" w:name="_Toc438037363"/>
      <w:bookmarkStart w:id="165" w:name="_Toc438037366"/>
      <w:bookmarkStart w:id="166" w:name="_Toc438037367"/>
      <w:bookmarkStart w:id="167" w:name="_Toc438037368"/>
      <w:bookmarkStart w:id="168" w:name="_Toc438037369"/>
      <w:bookmarkStart w:id="169" w:name="_Toc438037370"/>
      <w:bookmarkStart w:id="170" w:name="_Toc438037372"/>
      <w:bookmarkStart w:id="171" w:name="_Toc438037373"/>
      <w:bookmarkStart w:id="172" w:name="_Toc438037374"/>
      <w:bookmarkStart w:id="173" w:name="_Toc438037375"/>
      <w:bookmarkStart w:id="174" w:name="_Toc438037377"/>
      <w:bookmarkStart w:id="175" w:name="_Toc438037379"/>
      <w:bookmarkStart w:id="176" w:name="_Toc438037381"/>
      <w:bookmarkStart w:id="177" w:name="_Toc438037382"/>
      <w:bookmarkStart w:id="178" w:name="_Toc438037383"/>
      <w:bookmarkStart w:id="179" w:name="_Toc438037391"/>
      <w:bookmarkStart w:id="180" w:name="_Toc438037392"/>
      <w:bookmarkStart w:id="181" w:name="_Toc438037394"/>
      <w:bookmarkStart w:id="182" w:name="_Toc438037397"/>
      <w:bookmarkStart w:id="183" w:name="_Toc438037398"/>
      <w:bookmarkStart w:id="184" w:name="_Toc438037399"/>
      <w:bookmarkStart w:id="185" w:name="_Toc438037401"/>
      <w:bookmarkStart w:id="186" w:name="_Toc438037403"/>
      <w:bookmarkStart w:id="187" w:name="_Toc438037404"/>
      <w:bookmarkStart w:id="188" w:name="_Toc438037406"/>
      <w:bookmarkStart w:id="189" w:name="_Toc438037407"/>
      <w:bookmarkStart w:id="190" w:name="_Toc438037408"/>
      <w:bookmarkStart w:id="191" w:name="_Toc438037410"/>
      <w:bookmarkStart w:id="192" w:name="_Toc438037412"/>
      <w:bookmarkStart w:id="193" w:name="_Toc438037415"/>
      <w:bookmarkStart w:id="194" w:name="_Toc438037416"/>
      <w:bookmarkStart w:id="195" w:name="_Toc438037417"/>
      <w:bookmarkStart w:id="196" w:name="_Toc438037419"/>
      <w:bookmarkStart w:id="197" w:name="_Toc438037420"/>
      <w:bookmarkStart w:id="198" w:name="_Toc438037422"/>
      <w:bookmarkStart w:id="199" w:name="_Toc438037424"/>
      <w:bookmarkStart w:id="200" w:name="_Toc438037425"/>
      <w:bookmarkStart w:id="201" w:name="_Toc438037427"/>
      <w:bookmarkStart w:id="202" w:name="_Toc438037430"/>
      <w:bookmarkStart w:id="203" w:name="_Toc438037431"/>
      <w:bookmarkStart w:id="204" w:name="_Toc441759920"/>
      <w:bookmarkStart w:id="205" w:name="_Toc441760195"/>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lastRenderedPageBreak/>
        <w:t xml:space="preserve">Zapojení </w:t>
      </w:r>
      <w:r w:rsidR="000A6781" w:rsidRPr="00ED38E9">
        <w:t>Ministerstv</w:t>
      </w:r>
      <w:r>
        <w:t>a</w:t>
      </w:r>
      <w:r w:rsidR="000A6781" w:rsidRPr="00ED38E9">
        <w:t xml:space="preserve"> průmyslu a obchodu </w:t>
      </w:r>
      <w:r w:rsidR="00CE53AE">
        <w:t>do řízení ve věcech oprávnění k provozování KS</w:t>
      </w:r>
      <w:bookmarkEnd w:id="204"/>
      <w:bookmarkEnd w:id="205"/>
    </w:p>
    <w:p w:rsidR="006717CE" w:rsidRPr="00ED38E9" w:rsidRDefault="006717CE" w:rsidP="00F97AF3">
      <w:pPr>
        <w:pStyle w:val="Nadpis2"/>
      </w:pPr>
      <w:bookmarkStart w:id="206" w:name="_Toc441759921"/>
      <w:r w:rsidRPr="00ED38E9">
        <w:t>Důvod předložení a cíle</w:t>
      </w:r>
      <w:bookmarkEnd w:id="206"/>
    </w:p>
    <w:p w:rsidR="006717CE" w:rsidRPr="00ED38E9" w:rsidRDefault="006717CE" w:rsidP="00F97AF3">
      <w:pPr>
        <w:pStyle w:val="Nadpis3"/>
      </w:pPr>
      <w:r w:rsidRPr="00ED38E9">
        <w:t>Definice problému</w:t>
      </w:r>
    </w:p>
    <w:p w:rsidR="00603C00" w:rsidRPr="00ED38E9" w:rsidRDefault="005032A3" w:rsidP="00603C00">
      <w:pPr>
        <w:rPr>
          <w:rFonts w:cs="Arial"/>
        </w:rPr>
      </w:pPr>
      <w:r w:rsidRPr="00ED38E9">
        <w:rPr>
          <w:rFonts w:cs="Arial"/>
        </w:rPr>
        <w:t>Problematika vybraných výrobků a jejich životního cyklu v návaznosti na surovinovou politiku je zčásti v</w:t>
      </w:r>
      <w:r w:rsidR="002B1767" w:rsidRPr="00ED38E9">
        <w:rPr>
          <w:rFonts w:cs="Arial"/>
        </w:rPr>
        <w:t> </w:t>
      </w:r>
      <w:r w:rsidR="00C67012" w:rsidRPr="00ED38E9">
        <w:rPr>
          <w:rFonts w:cs="Arial"/>
        </w:rPr>
        <w:t>gesci Ministerstva průmyslu a obchodu. To je také důvod</w:t>
      </w:r>
      <w:r w:rsidRPr="00ED38E9">
        <w:rPr>
          <w:rFonts w:cs="Arial"/>
        </w:rPr>
        <w:t>em</w:t>
      </w:r>
      <w:r w:rsidR="00C67012" w:rsidRPr="00ED38E9">
        <w:rPr>
          <w:rFonts w:cs="Arial"/>
        </w:rPr>
        <w:t xml:space="preserve"> k</w:t>
      </w:r>
      <w:r w:rsidR="002B1767" w:rsidRPr="00ED38E9">
        <w:rPr>
          <w:rFonts w:cs="Arial"/>
        </w:rPr>
        <w:t> </w:t>
      </w:r>
      <w:r w:rsidR="00C67012" w:rsidRPr="00ED38E9">
        <w:rPr>
          <w:rFonts w:cs="Arial"/>
        </w:rPr>
        <w:t>zapojení M</w:t>
      </w:r>
      <w:r w:rsidR="00B36AD3" w:rsidRPr="00ED38E9">
        <w:rPr>
          <w:rFonts w:cs="Arial"/>
        </w:rPr>
        <w:t>inisterstva průmyslu a obchodu</w:t>
      </w:r>
      <w:r w:rsidR="00C67012" w:rsidRPr="00ED38E9">
        <w:rPr>
          <w:rFonts w:cs="Arial"/>
        </w:rPr>
        <w:t xml:space="preserve"> do vydávání </w:t>
      </w:r>
      <w:r w:rsidR="004E13FC" w:rsidRPr="00ED38E9">
        <w:rPr>
          <w:rFonts w:cs="Arial"/>
        </w:rPr>
        <w:t xml:space="preserve">oprávnění k provozování kolektivních </w:t>
      </w:r>
      <w:r w:rsidR="00C67012" w:rsidRPr="00ED38E9">
        <w:rPr>
          <w:rFonts w:cs="Arial"/>
        </w:rPr>
        <w:t>systémů.</w:t>
      </w:r>
    </w:p>
    <w:p w:rsidR="006717CE" w:rsidRPr="00ED38E9" w:rsidRDefault="006717CE" w:rsidP="00F97AF3">
      <w:pPr>
        <w:pStyle w:val="Nadpis3"/>
      </w:pPr>
      <w:r w:rsidRPr="00ED38E9">
        <w:t>Popis existujícího právního stavu v</w:t>
      </w:r>
      <w:r w:rsidR="002B1767" w:rsidRPr="00ED38E9">
        <w:t> </w:t>
      </w:r>
      <w:r w:rsidRPr="00ED38E9">
        <w:t>dané oblasti</w:t>
      </w:r>
    </w:p>
    <w:p w:rsidR="005C7B80" w:rsidRPr="00ED38E9" w:rsidRDefault="00C67012" w:rsidP="005C7B80">
      <w:pPr>
        <w:rPr>
          <w:rFonts w:cs="Arial"/>
        </w:rPr>
      </w:pPr>
      <w:r w:rsidRPr="00ED38E9">
        <w:rPr>
          <w:rFonts w:cs="Arial"/>
        </w:rPr>
        <w:t>Ministerstvo průmyslu není zapojeno do vydávání rozhodnutí k</w:t>
      </w:r>
      <w:r w:rsidR="002B1767" w:rsidRPr="00ED38E9">
        <w:rPr>
          <w:rFonts w:cs="Arial"/>
        </w:rPr>
        <w:t> </w:t>
      </w:r>
      <w:r w:rsidRPr="00ED38E9">
        <w:rPr>
          <w:rFonts w:cs="Arial"/>
        </w:rPr>
        <w:t>provozování kolektivního systému.</w:t>
      </w:r>
    </w:p>
    <w:p w:rsidR="006717CE" w:rsidRPr="00ED38E9" w:rsidRDefault="006717CE" w:rsidP="00F97AF3">
      <w:pPr>
        <w:pStyle w:val="Nadpis3"/>
      </w:pPr>
      <w:r w:rsidRPr="00ED38E9">
        <w:t>Identifikace dotčených subjektů</w:t>
      </w:r>
    </w:p>
    <w:p w:rsidR="006717CE" w:rsidRPr="00ED38E9" w:rsidRDefault="00F43260" w:rsidP="00620E6B">
      <w:pPr>
        <w:pStyle w:val="Odstavecseseznamem"/>
        <w:numPr>
          <w:ilvl w:val="0"/>
          <w:numId w:val="14"/>
        </w:numPr>
        <w:rPr>
          <w:rFonts w:cs="Arial"/>
          <w:noProof w:val="0"/>
        </w:rPr>
      </w:pPr>
      <w:r w:rsidRPr="00ED38E9">
        <w:rPr>
          <w:rFonts w:cs="Arial"/>
          <w:noProof w:val="0"/>
        </w:rPr>
        <w:t>Ministerstvo životního prostředí (</w:t>
      </w:r>
      <w:r w:rsidR="00E524FF" w:rsidRPr="00ED38E9">
        <w:rPr>
          <w:rFonts w:cs="Arial"/>
          <w:noProof w:val="0"/>
        </w:rPr>
        <w:t xml:space="preserve">MŽP, </w:t>
      </w:r>
      <w:r w:rsidRPr="00ED38E9">
        <w:rPr>
          <w:rFonts w:cs="Arial"/>
          <w:noProof w:val="0"/>
        </w:rPr>
        <w:t>ministerstvo),</w:t>
      </w:r>
    </w:p>
    <w:p w:rsidR="00F43260" w:rsidRPr="00ED38E9" w:rsidRDefault="00F43260" w:rsidP="00620E6B">
      <w:pPr>
        <w:pStyle w:val="Odstavecseseznamem"/>
        <w:numPr>
          <w:ilvl w:val="0"/>
          <w:numId w:val="14"/>
        </w:numPr>
        <w:rPr>
          <w:rFonts w:cs="Arial"/>
          <w:noProof w:val="0"/>
        </w:rPr>
      </w:pPr>
      <w:r w:rsidRPr="00ED38E9">
        <w:rPr>
          <w:rFonts w:cs="Arial"/>
          <w:noProof w:val="0"/>
        </w:rPr>
        <w:t>Ministerstvo průmyslu a obchodu (MPO).</w:t>
      </w:r>
    </w:p>
    <w:p w:rsidR="006717CE" w:rsidRPr="00ED38E9" w:rsidRDefault="006717CE" w:rsidP="00F97AF3">
      <w:pPr>
        <w:pStyle w:val="Nadpis3"/>
      </w:pPr>
      <w:r w:rsidRPr="00ED38E9">
        <w:t>Popis cílového stavu</w:t>
      </w:r>
    </w:p>
    <w:p w:rsidR="00731405" w:rsidRPr="00ED38E9" w:rsidRDefault="00731405" w:rsidP="00731405">
      <w:pPr>
        <w:rPr>
          <w:rFonts w:cs="Arial"/>
        </w:rPr>
      </w:pPr>
      <w:r w:rsidRPr="00ED38E9">
        <w:rPr>
          <w:rFonts w:cs="Arial"/>
        </w:rPr>
        <w:t xml:space="preserve">Cílem je, aby do vydávání rozhodnutí, týkajících se </w:t>
      </w:r>
      <w:r w:rsidR="004E13FC" w:rsidRPr="00ED38E9">
        <w:rPr>
          <w:rFonts w:cs="Arial"/>
        </w:rPr>
        <w:t xml:space="preserve">oprávnění k provozování </w:t>
      </w:r>
      <w:r w:rsidRPr="00ED38E9">
        <w:rPr>
          <w:rFonts w:cs="Arial"/>
        </w:rPr>
        <w:t xml:space="preserve">kolektivních systémů, </w:t>
      </w:r>
      <w:r w:rsidR="00F43260" w:rsidRPr="00ED38E9">
        <w:rPr>
          <w:rFonts w:cs="Arial"/>
        </w:rPr>
        <w:t>bylo zapojeno Ministerstvo průmyslu a obchodu.</w:t>
      </w:r>
    </w:p>
    <w:p w:rsidR="00B648E7" w:rsidRPr="00ED38E9" w:rsidRDefault="006717CE" w:rsidP="00F97AF3">
      <w:pPr>
        <w:pStyle w:val="Nadpis3"/>
      </w:pPr>
      <w:r w:rsidRPr="00ED38E9">
        <w:t>Zhodnocení rizika</w:t>
      </w:r>
    </w:p>
    <w:p w:rsidR="00B36AD3" w:rsidRPr="00ED38E9" w:rsidRDefault="00B648E7" w:rsidP="00B36AD3">
      <w:pPr>
        <w:rPr>
          <w:rFonts w:cs="Arial"/>
        </w:rPr>
      </w:pPr>
      <w:r w:rsidRPr="00ED38E9">
        <w:rPr>
          <w:rFonts w:cs="Arial"/>
        </w:rPr>
        <w:t xml:space="preserve">Rizikem </w:t>
      </w:r>
      <w:r w:rsidR="00B36AD3" w:rsidRPr="00ED38E9">
        <w:rPr>
          <w:rFonts w:cs="Arial"/>
        </w:rPr>
        <w:t>může být případné opomenutí zásadních nedostatků v</w:t>
      </w:r>
      <w:r w:rsidR="002B1767" w:rsidRPr="00ED38E9">
        <w:rPr>
          <w:rFonts w:cs="Arial"/>
        </w:rPr>
        <w:t> </w:t>
      </w:r>
      <w:r w:rsidR="00B36AD3" w:rsidRPr="00ED38E9">
        <w:rPr>
          <w:rFonts w:cs="Arial"/>
        </w:rPr>
        <w:t>podání, které může být sníženo kontrolou orgánem</w:t>
      </w:r>
      <w:r w:rsidR="00501677" w:rsidRPr="00ED38E9">
        <w:rPr>
          <w:rFonts w:cs="Arial"/>
        </w:rPr>
        <w:t>,</w:t>
      </w:r>
      <w:r w:rsidR="00B36AD3" w:rsidRPr="00ED38E9">
        <w:rPr>
          <w:rFonts w:cs="Arial"/>
        </w:rPr>
        <w:t xml:space="preserve"> v</w:t>
      </w:r>
      <w:r w:rsidR="002B1767" w:rsidRPr="00ED38E9">
        <w:rPr>
          <w:rFonts w:cs="Arial"/>
        </w:rPr>
        <w:t> </w:t>
      </w:r>
      <w:r w:rsidR="00B36AD3" w:rsidRPr="00ED38E9">
        <w:rPr>
          <w:rFonts w:cs="Arial"/>
        </w:rPr>
        <w:t xml:space="preserve">jehož gesci je dohled nad právními </w:t>
      </w:r>
      <w:r w:rsidR="00804EB7" w:rsidRPr="00ED38E9">
        <w:rPr>
          <w:rFonts w:cs="Arial"/>
        </w:rPr>
        <w:t xml:space="preserve">(podnikatelskými) </w:t>
      </w:r>
      <w:r w:rsidR="00B36AD3" w:rsidRPr="00ED38E9">
        <w:rPr>
          <w:rFonts w:cs="Arial"/>
        </w:rPr>
        <w:t>subjekty.</w:t>
      </w:r>
      <w:r w:rsidRPr="00ED38E9">
        <w:rPr>
          <w:rFonts w:cs="Arial"/>
        </w:rPr>
        <w:t xml:space="preserve"> </w:t>
      </w:r>
    </w:p>
    <w:p w:rsidR="006717CE" w:rsidRPr="00ED38E9" w:rsidRDefault="006717CE" w:rsidP="00F97AF3">
      <w:pPr>
        <w:pStyle w:val="Nadpis2"/>
      </w:pPr>
      <w:bookmarkStart w:id="207" w:name="_Toc441759922"/>
      <w:r w:rsidRPr="00ED38E9">
        <w:t>Návrh variant řešení</w:t>
      </w:r>
      <w:bookmarkEnd w:id="207"/>
    </w:p>
    <w:p w:rsidR="006717CE" w:rsidRPr="00ED38E9" w:rsidRDefault="006717CE" w:rsidP="00F97AF3">
      <w:pPr>
        <w:pStyle w:val="Nadpis3"/>
      </w:pPr>
      <w:r w:rsidRPr="00ED38E9">
        <w:t>Varianta 0</w:t>
      </w:r>
    </w:p>
    <w:p w:rsidR="008C3B6D" w:rsidRPr="00ED38E9" w:rsidRDefault="008C3B6D" w:rsidP="008C3B6D">
      <w:pPr>
        <w:rPr>
          <w:rFonts w:cs="Arial"/>
        </w:rPr>
      </w:pPr>
      <w:r w:rsidRPr="00ED38E9">
        <w:rPr>
          <w:rFonts w:cs="Arial"/>
        </w:rPr>
        <w:t>Ponechání současného stavu, kdy ministerstvo nežádá Ministerstvo průmyslu a obchodu o </w:t>
      </w:r>
      <w:r w:rsidR="00CE53AE">
        <w:rPr>
          <w:rFonts w:cs="Arial"/>
        </w:rPr>
        <w:t>vyjádření</w:t>
      </w:r>
      <w:r w:rsidR="00CE53AE" w:rsidRPr="00ED38E9">
        <w:rPr>
          <w:rFonts w:cs="Arial"/>
        </w:rPr>
        <w:t xml:space="preserve"> </w:t>
      </w:r>
      <w:r w:rsidR="00CA211E" w:rsidRPr="00ED38E9">
        <w:rPr>
          <w:rFonts w:cs="Arial"/>
        </w:rPr>
        <w:t>k</w:t>
      </w:r>
      <w:r w:rsidR="002B1767" w:rsidRPr="00ED38E9">
        <w:rPr>
          <w:rFonts w:cs="Arial"/>
        </w:rPr>
        <w:t> </w:t>
      </w:r>
      <w:r w:rsidR="00CA211E" w:rsidRPr="00ED38E9">
        <w:rPr>
          <w:rFonts w:cs="Arial"/>
        </w:rPr>
        <w:t>žádostem o vydání oprávnění k</w:t>
      </w:r>
      <w:r w:rsidR="002B1767" w:rsidRPr="00ED38E9">
        <w:rPr>
          <w:rFonts w:cs="Arial"/>
        </w:rPr>
        <w:t> </w:t>
      </w:r>
      <w:r w:rsidR="00CA211E" w:rsidRPr="00ED38E9">
        <w:rPr>
          <w:rFonts w:cs="Arial"/>
        </w:rPr>
        <w:t>provozování kolektivního systému.</w:t>
      </w:r>
    </w:p>
    <w:p w:rsidR="006717CE" w:rsidRPr="00ED38E9" w:rsidRDefault="006717CE" w:rsidP="00F97AF3">
      <w:pPr>
        <w:pStyle w:val="Nadpis3"/>
      </w:pPr>
      <w:r w:rsidRPr="00ED38E9">
        <w:t>Varianta 1</w:t>
      </w:r>
    </w:p>
    <w:p w:rsidR="00CA211E" w:rsidRPr="00ED38E9" w:rsidRDefault="00CA211E" w:rsidP="00CA211E">
      <w:pPr>
        <w:rPr>
          <w:rFonts w:cs="Arial"/>
        </w:rPr>
      </w:pPr>
      <w:r w:rsidRPr="00ED38E9">
        <w:rPr>
          <w:rFonts w:cs="Arial"/>
        </w:rPr>
        <w:t xml:space="preserve">Zavedení projednávání žádostí o vydání rozhodnutí o </w:t>
      </w:r>
      <w:r w:rsidR="004E13FC" w:rsidRPr="00ED38E9">
        <w:rPr>
          <w:rFonts w:cs="Arial"/>
        </w:rPr>
        <w:t>oprávění k provozování kolektivního systému</w:t>
      </w:r>
      <w:r w:rsidRPr="00ED38E9">
        <w:rPr>
          <w:rFonts w:cs="Arial"/>
        </w:rPr>
        <w:t>, žádostí o prodloužení platnosti rozhodnutí o autorizaci, žádostí o předchozí souhlas</w:t>
      </w:r>
      <w:r w:rsidR="00501677" w:rsidRPr="00ED38E9">
        <w:rPr>
          <w:rFonts w:cs="Arial"/>
        </w:rPr>
        <w:t xml:space="preserve"> s</w:t>
      </w:r>
      <w:r w:rsidR="00BC680B" w:rsidRPr="00ED38E9">
        <w:rPr>
          <w:rFonts w:cs="Arial"/>
        </w:rPr>
        <w:t> </w:t>
      </w:r>
      <w:r w:rsidR="00501677" w:rsidRPr="00ED38E9">
        <w:rPr>
          <w:rFonts w:cs="Arial"/>
        </w:rPr>
        <w:t>fúzí nebo s rozdělením provozovatele kolektivního systému</w:t>
      </w:r>
      <w:r w:rsidRPr="00ED38E9">
        <w:rPr>
          <w:rFonts w:cs="Arial"/>
        </w:rPr>
        <w:t>, změn rozhodnutí o autorizaci a</w:t>
      </w:r>
      <w:r w:rsidR="00BC680B" w:rsidRPr="00ED38E9">
        <w:rPr>
          <w:rFonts w:cs="Arial"/>
        </w:rPr>
        <w:t> </w:t>
      </w:r>
      <w:r w:rsidRPr="00ED38E9">
        <w:rPr>
          <w:rFonts w:cs="Arial"/>
        </w:rPr>
        <w:t>zrušení rozhodnutí o autorizaci s</w:t>
      </w:r>
      <w:r w:rsidR="002B1767" w:rsidRPr="00ED38E9">
        <w:rPr>
          <w:rFonts w:cs="Arial"/>
        </w:rPr>
        <w:t> </w:t>
      </w:r>
      <w:r w:rsidRPr="00ED38E9">
        <w:rPr>
          <w:rFonts w:cs="Arial"/>
        </w:rPr>
        <w:t>Ministerstvem průmyslu a obchodu.</w:t>
      </w:r>
    </w:p>
    <w:p w:rsidR="006717CE" w:rsidRPr="00ED38E9" w:rsidRDefault="006717CE" w:rsidP="00F97AF3">
      <w:pPr>
        <w:pStyle w:val="Nadpis2"/>
      </w:pPr>
      <w:bookmarkStart w:id="208" w:name="_Toc441759923"/>
      <w:r w:rsidRPr="00ED38E9">
        <w:t>Vyhodnocení nákladů a přínosů</w:t>
      </w:r>
      <w:bookmarkEnd w:id="208"/>
    </w:p>
    <w:p w:rsidR="006717CE" w:rsidRPr="00ED38E9" w:rsidRDefault="006717CE" w:rsidP="00F97AF3">
      <w:pPr>
        <w:pStyle w:val="Nadpis3"/>
      </w:pPr>
      <w:r w:rsidRPr="00ED38E9">
        <w:t>Identifikace nákladů a přínosů</w:t>
      </w:r>
    </w:p>
    <w:p w:rsidR="006717CE" w:rsidRPr="00ED38E9" w:rsidRDefault="006717CE" w:rsidP="00620E6B">
      <w:pPr>
        <w:pStyle w:val="Odstavecseseznamem"/>
        <w:keepNext/>
        <w:numPr>
          <w:ilvl w:val="0"/>
          <w:numId w:val="15"/>
        </w:numPr>
        <w:spacing w:before="240" w:after="120"/>
        <w:ind w:left="714" w:hanging="357"/>
        <w:rPr>
          <w:rFonts w:cs="Arial"/>
          <w:bCs/>
          <w:noProof w:val="0"/>
        </w:rPr>
      </w:pPr>
      <w:r w:rsidRPr="00ED38E9">
        <w:rPr>
          <w:rFonts w:cs="Arial"/>
          <w:bCs/>
          <w:noProof w:val="0"/>
        </w:rPr>
        <w:t>Varianta 0</w:t>
      </w:r>
    </w:p>
    <w:p w:rsidR="006023CE" w:rsidRPr="00ED38E9" w:rsidRDefault="006023CE" w:rsidP="006023CE">
      <w:pPr>
        <w:rPr>
          <w:rFonts w:cs="Arial"/>
        </w:rPr>
      </w:pPr>
      <w:r w:rsidRPr="00ED38E9">
        <w:rPr>
          <w:rFonts w:cs="Arial"/>
        </w:rPr>
        <w:t>Aktuální stav nepředstavuje žádné náklady, protože komunikace mezi ministerstvem a Ministerstvem průmyslu a obchodu v</w:t>
      </w:r>
      <w:r w:rsidR="002B1767" w:rsidRPr="00ED38E9">
        <w:rPr>
          <w:rFonts w:cs="Arial"/>
        </w:rPr>
        <w:t> </w:t>
      </w:r>
      <w:r w:rsidRPr="00ED38E9">
        <w:rPr>
          <w:rFonts w:cs="Arial"/>
        </w:rPr>
        <w:t>oblasti autorizace v</w:t>
      </w:r>
      <w:r w:rsidR="002B1767" w:rsidRPr="00ED38E9">
        <w:rPr>
          <w:rFonts w:cs="Arial"/>
        </w:rPr>
        <w:t> </w:t>
      </w:r>
      <w:r w:rsidRPr="00ED38E9">
        <w:rPr>
          <w:rFonts w:cs="Arial"/>
        </w:rPr>
        <w:t>současné době neprobíhá.</w:t>
      </w:r>
    </w:p>
    <w:p w:rsidR="006717CE" w:rsidRPr="00ED38E9" w:rsidRDefault="006717CE" w:rsidP="00620E6B">
      <w:pPr>
        <w:pStyle w:val="Odstavecseseznamem"/>
        <w:numPr>
          <w:ilvl w:val="0"/>
          <w:numId w:val="15"/>
        </w:numPr>
        <w:spacing w:before="240" w:after="120"/>
        <w:rPr>
          <w:rFonts w:cs="Arial"/>
          <w:noProof w:val="0"/>
        </w:rPr>
      </w:pPr>
      <w:r w:rsidRPr="00ED38E9">
        <w:rPr>
          <w:rFonts w:cs="Arial"/>
          <w:bCs/>
          <w:noProof w:val="0"/>
        </w:rPr>
        <w:t>Varianta</w:t>
      </w:r>
      <w:r w:rsidRPr="00ED38E9">
        <w:rPr>
          <w:rFonts w:cs="Arial"/>
          <w:noProof w:val="0"/>
        </w:rPr>
        <w:t xml:space="preserve"> 1</w:t>
      </w:r>
    </w:p>
    <w:p w:rsidR="006023CE" w:rsidRDefault="006023CE" w:rsidP="006023CE">
      <w:pPr>
        <w:rPr>
          <w:rFonts w:cs="Arial"/>
        </w:rPr>
      </w:pPr>
      <w:r w:rsidRPr="00ED38E9">
        <w:rPr>
          <w:rFonts w:cs="Arial"/>
        </w:rPr>
        <w:lastRenderedPageBreak/>
        <w:t>V</w:t>
      </w:r>
      <w:r w:rsidR="002B1767" w:rsidRPr="00ED38E9">
        <w:rPr>
          <w:rFonts w:cs="Arial"/>
        </w:rPr>
        <w:t> </w:t>
      </w:r>
      <w:r w:rsidRPr="00ED38E9">
        <w:rPr>
          <w:rFonts w:cs="Arial"/>
        </w:rPr>
        <w:t xml:space="preserve">případě spolupráce Ministerstva průmyslu a obchodu při projednávání žádostí o vydání rozhodnutí </w:t>
      </w:r>
      <w:r w:rsidR="003D60C4" w:rsidRPr="00ED38E9">
        <w:rPr>
          <w:rFonts w:cs="Arial"/>
        </w:rPr>
        <w:t>oprávnění k </w:t>
      </w:r>
      <w:r w:rsidR="004E13FC" w:rsidRPr="00ED38E9">
        <w:rPr>
          <w:rFonts w:cs="Arial"/>
        </w:rPr>
        <w:t xml:space="preserve">provozování </w:t>
      </w:r>
      <w:r w:rsidR="00222084" w:rsidRPr="00ED38E9">
        <w:rPr>
          <w:rFonts w:cs="Arial"/>
        </w:rPr>
        <w:t>kolektivního systému</w:t>
      </w:r>
      <w:r w:rsidRPr="00ED38E9">
        <w:rPr>
          <w:rFonts w:cs="Arial"/>
        </w:rPr>
        <w:t xml:space="preserve">, žádostí o prodloužení platnosti </w:t>
      </w:r>
      <w:r w:rsidR="003D60C4" w:rsidRPr="00ED38E9">
        <w:rPr>
          <w:rFonts w:cs="Arial"/>
        </w:rPr>
        <w:t>oprávnění</w:t>
      </w:r>
      <w:r w:rsidRPr="00ED38E9">
        <w:rPr>
          <w:rFonts w:cs="Arial"/>
        </w:rPr>
        <w:t>, žádostí o předchozí souhlas</w:t>
      </w:r>
      <w:r w:rsidR="0083276D" w:rsidRPr="00ED38E9">
        <w:rPr>
          <w:rFonts w:cs="Arial"/>
        </w:rPr>
        <w:t xml:space="preserve"> s fúzí nebo s rozdělením provozovatele kolektivního systému</w:t>
      </w:r>
      <w:r w:rsidRPr="00ED38E9">
        <w:rPr>
          <w:rFonts w:cs="Arial"/>
        </w:rPr>
        <w:t xml:space="preserve">, změn </w:t>
      </w:r>
      <w:r w:rsidR="003D60C4" w:rsidRPr="00ED38E9">
        <w:rPr>
          <w:rFonts w:cs="Arial"/>
        </w:rPr>
        <w:t>nebo</w:t>
      </w:r>
      <w:r w:rsidRPr="00ED38E9">
        <w:rPr>
          <w:rFonts w:cs="Arial"/>
        </w:rPr>
        <w:t xml:space="preserve"> zrušení </w:t>
      </w:r>
      <w:r w:rsidR="003D60C4" w:rsidRPr="00ED38E9">
        <w:rPr>
          <w:rFonts w:cs="Arial"/>
        </w:rPr>
        <w:t>oprávnění</w:t>
      </w:r>
      <w:r w:rsidRPr="00ED38E9">
        <w:rPr>
          <w:rFonts w:cs="Arial"/>
        </w:rPr>
        <w:t xml:space="preserve"> </w:t>
      </w:r>
      <w:r w:rsidR="003D60C4" w:rsidRPr="00ED38E9">
        <w:rPr>
          <w:rFonts w:cs="Arial"/>
        </w:rPr>
        <w:t xml:space="preserve">lze očekávat, </w:t>
      </w:r>
      <w:r w:rsidR="00733FE0">
        <w:rPr>
          <w:rFonts w:cs="Arial"/>
        </w:rPr>
        <w:t>že</w:t>
      </w:r>
      <w:r w:rsidR="00733FE0" w:rsidRPr="00A31006">
        <w:rPr>
          <w:rFonts w:cs="Arial"/>
        </w:rPr>
        <w:t xml:space="preserve"> </w:t>
      </w:r>
      <w:r w:rsidR="003A77C5" w:rsidRPr="00A31006">
        <w:rPr>
          <w:rFonts w:cs="Arial"/>
        </w:rPr>
        <w:t>MŽP</w:t>
      </w:r>
      <w:r w:rsidR="00733FE0">
        <w:rPr>
          <w:rFonts w:cs="Arial"/>
        </w:rPr>
        <w:t xml:space="preserve"> získá</w:t>
      </w:r>
      <w:r w:rsidR="003A77C5" w:rsidRPr="00A31006">
        <w:rPr>
          <w:rFonts w:cs="Arial"/>
        </w:rPr>
        <w:t xml:space="preserve"> </w:t>
      </w:r>
      <w:r w:rsidR="003D60C4" w:rsidRPr="00ED38E9">
        <w:rPr>
          <w:rFonts w:cs="Arial"/>
        </w:rPr>
        <w:t>ze strany MPO více podkladů pro správní rozhodnutí a zároveň</w:t>
      </w:r>
      <w:r w:rsidR="004E13FC" w:rsidRPr="00ED38E9">
        <w:rPr>
          <w:rFonts w:cs="Arial"/>
        </w:rPr>
        <w:t xml:space="preserve"> </w:t>
      </w:r>
      <w:r w:rsidR="003D60C4" w:rsidRPr="00ED38E9">
        <w:rPr>
          <w:rFonts w:cs="Arial"/>
        </w:rPr>
        <w:t>se sníží riziko přehlédnutí z</w:t>
      </w:r>
      <w:r w:rsidR="003A77C5">
        <w:rPr>
          <w:rFonts w:cs="Arial"/>
        </w:rPr>
        <w:t>á</w:t>
      </w:r>
      <w:r w:rsidR="003D60C4" w:rsidRPr="00ED38E9">
        <w:rPr>
          <w:rFonts w:cs="Arial"/>
        </w:rPr>
        <w:t xml:space="preserve">važných nedostatků podání. Negativním aspektem je určitě zvýšení </w:t>
      </w:r>
      <w:r w:rsidR="0083276D" w:rsidRPr="00ED38E9">
        <w:rPr>
          <w:rFonts w:cs="Arial"/>
        </w:rPr>
        <w:t>časové náročnosti</w:t>
      </w:r>
      <w:r w:rsidR="003D60C4" w:rsidRPr="00ED38E9">
        <w:rPr>
          <w:rFonts w:cs="Arial"/>
        </w:rPr>
        <w:t xml:space="preserve"> správního </w:t>
      </w:r>
      <w:r w:rsidR="0083276D" w:rsidRPr="00ED38E9">
        <w:rPr>
          <w:rFonts w:cs="Arial"/>
        </w:rPr>
        <w:t>řízení</w:t>
      </w:r>
      <w:r w:rsidR="003D60C4" w:rsidRPr="00ED38E9">
        <w:rPr>
          <w:rFonts w:cs="Arial"/>
        </w:rPr>
        <w:t>.</w:t>
      </w:r>
    </w:p>
    <w:p w:rsidR="006717CE" w:rsidRPr="00ED38E9" w:rsidRDefault="006717CE" w:rsidP="0011664A">
      <w:pPr>
        <w:pStyle w:val="Nadpis3"/>
      </w:pPr>
      <w:r w:rsidRPr="00ED38E9">
        <w:t>Vyhodnocení nákladů a přínosů variant</w:t>
      </w:r>
    </w:p>
    <w:p w:rsidR="00552CB8" w:rsidRPr="00ED38E9" w:rsidRDefault="00552CB8" w:rsidP="00552CB8">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50</w:t>
      </w:r>
      <w:r w:rsidR="00381FB7" w:rsidRPr="00ED38E9">
        <w:rPr>
          <w:rFonts w:cs="Arial"/>
        </w:rPr>
        <w:fldChar w:fldCharType="end"/>
      </w:r>
      <w:r w:rsidRPr="00ED38E9">
        <w:rPr>
          <w:rFonts w:cs="Arial"/>
        </w:rPr>
        <w:t>: Porovnání nákladů a přínosů</w:t>
      </w:r>
    </w:p>
    <w:p w:rsidR="00552CB8" w:rsidRPr="00ED38E9" w:rsidRDefault="00290074" w:rsidP="00552CB8">
      <w:pPr>
        <w:rPr>
          <w:rFonts w:cs="Arial"/>
        </w:rPr>
      </w:pPr>
      <w:r w:rsidRPr="00ED38E9">
        <w:rPr>
          <w:rFonts w:cs="Arial"/>
          <w:lang w:eastAsia="cs-CZ" w:bidi="ar-SA"/>
        </w:rPr>
        <w:drawing>
          <wp:inline distT="0" distB="0" distL="0" distR="0" wp14:anchorId="6AC16F81" wp14:editId="19DF9C61">
            <wp:extent cx="5760720" cy="324680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3246808"/>
                    </a:xfrm>
                    <a:prstGeom prst="rect">
                      <a:avLst/>
                    </a:prstGeom>
                    <a:noFill/>
                    <a:ln>
                      <a:noFill/>
                    </a:ln>
                  </pic:spPr>
                </pic:pic>
              </a:graphicData>
            </a:graphic>
          </wp:inline>
        </w:drawing>
      </w:r>
    </w:p>
    <w:p w:rsidR="006717CE" w:rsidRPr="00ED38E9" w:rsidRDefault="006717CE" w:rsidP="0011664A">
      <w:pPr>
        <w:pStyle w:val="Nadpis2"/>
      </w:pPr>
      <w:bookmarkStart w:id="209" w:name="_Toc441759924"/>
      <w:r w:rsidRPr="00ED38E9">
        <w:t>Návrh řešení</w:t>
      </w:r>
      <w:bookmarkEnd w:id="209"/>
    </w:p>
    <w:p w:rsidR="006717CE" w:rsidRPr="00ED38E9" w:rsidRDefault="006717CE" w:rsidP="0011664A">
      <w:pPr>
        <w:pStyle w:val="Nadpis3"/>
      </w:pPr>
      <w:r w:rsidRPr="00ED38E9">
        <w:t>Stanovení pořadí variant a výběr nejvhodnějšího řešení</w:t>
      </w:r>
    </w:p>
    <w:p w:rsidR="006717CE" w:rsidRPr="00ED38E9" w:rsidRDefault="006717CE" w:rsidP="00620E6B">
      <w:pPr>
        <w:pStyle w:val="Odstavecseseznamem"/>
        <w:numPr>
          <w:ilvl w:val="0"/>
          <w:numId w:val="16"/>
        </w:numPr>
        <w:rPr>
          <w:rFonts w:cs="Arial"/>
          <w:b/>
          <w:noProof w:val="0"/>
        </w:rPr>
      </w:pPr>
      <w:r w:rsidRPr="00ED38E9">
        <w:rPr>
          <w:rFonts w:cs="Arial"/>
          <w:b/>
          <w:noProof w:val="0"/>
        </w:rPr>
        <w:t xml:space="preserve">Varianta </w:t>
      </w:r>
      <w:r w:rsidR="00794E15" w:rsidRPr="00ED38E9">
        <w:rPr>
          <w:rFonts w:cs="Arial"/>
          <w:b/>
          <w:noProof w:val="0"/>
        </w:rPr>
        <w:t>1</w:t>
      </w:r>
    </w:p>
    <w:p w:rsidR="006717CE" w:rsidRPr="00ED38E9" w:rsidRDefault="006717CE" w:rsidP="00620E6B">
      <w:pPr>
        <w:pStyle w:val="Odstavecseseznamem"/>
        <w:numPr>
          <w:ilvl w:val="0"/>
          <w:numId w:val="16"/>
        </w:numPr>
        <w:rPr>
          <w:rFonts w:cs="Arial"/>
          <w:noProof w:val="0"/>
        </w:rPr>
      </w:pPr>
      <w:r w:rsidRPr="00ED38E9">
        <w:rPr>
          <w:rFonts w:cs="Arial"/>
          <w:noProof w:val="0"/>
        </w:rPr>
        <w:t xml:space="preserve">Varianta </w:t>
      </w:r>
      <w:r w:rsidR="00794E15" w:rsidRPr="00ED38E9">
        <w:rPr>
          <w:rFonts w:cs="Arial"/>
          <w:noProof w:val="0"/>
        </w:rPr>
        <w:t>0</w:t>
      </w:r>
    </w:p>
    <w:p w:rsidR="001362B6" w:rsidRPr="00ED38E9" w:rsidRDefault="00552CB8" w:rsidP="00CE53AE">
      <w:pPr>
        <w:rPr>
          <w:rFonts w:cs="Arial"/>
          <w:b/>
          <w:bCs/>
          <w:noProof w:val="0"/>
          <w:kern w:val="32"/>
          <w:sz w:val="28"/>
          <w:szCs w:val="32"/>
        </w:rPr>
      </w:pPr>
      <w:r w:rsidRPr="00ED38E9">
        <w:rPr>
          <w:rFonts w:cs="Arial"/>
        </w:rPr>
        <w:t xml:space="preserve">Cílem obou rezortů je </w:t>
      </w:r>
      <w:r w:rsidR="004E51CA" w:rsidRPr="00ED38E9">
        <w:rPr>
          <w:rFonts w:cs="Arial"/>
        </w:rPr>
        <w:t xml:space="preserve">sice </w:t>
      </w:r>
      <w:r w:rsidRPr="00ED38E9">
        <w:rPr>
          <w:rFonts w:cs="Arial"/>
        </w:rPr>
        <w:t>snižování administrativní zátěže</w:t>
      </w:r>
      <w:r w:rsidR="004E51CA" w:rsidRPr="00ED38E9">
        <w:rPr>
          <w:rFonts w:cs="Arial"/>
        </w:rPr>
        <w:t>, avšak je doporučováno</w:t>
      </w:r>
      <w:r w:rsidRPr="00ED38E9">
        <w:rPr>
          <w:rFonts w:cs="Arial"/>
        </w:rPr>
        <w:t xml:space="preserve"> </w:t>
      </w:r>
      <w:r w:rsidR="004E51CA" w:rsidRPr="00ED38E9">
        <w:rPr>
          <w:rFonts w:cs="Arial"/>
        </w:rPr>
        <w:t>nezachovávat současný stav</w:t>
      </w:r>
      <w:r w:rsidRPr="00ED38E9">
        <w:rPr>
          <w:rFonts w:cs="Arial"/>
        </w:rPr>
        <w:t xml:space="preserve">, kdy Ministerstvo průmyslu a obchodu </w:t>
      </w:r>
      <w:r w:rsidR="004E51CA" w:rsidRPr="00ED38E9">
        <w:rPr>
          <w:rFonts w:cs="Arial"/>
        </w:rPr>
        <w:t xml:space="preserve">není obligátně </w:t>
      </w:r>
      <w:r w:rsidRPr="00ED38E9">
        <w:rPr>
          <w:rFonts w:cs="Arial"/>
        </w:rPr>
        <w:t>osloveno</w:t>
      </w:r>
      <w:r w:rsidR="004E51CA" w:rsidRPr="00ED38E9">
        <w:rPr>
          <w:rFonts w:cs="Arial"/>
        </w:rPr>
        <w:t xml:space="preserve"> ze strany MŽP při udělování oprávnění KS (resp. zápisu výrobců do Seznamu), ale je preferována Varianta 1, a to z důvodu vyšší právní jistoty při řízení o udělení oprávnění KS ze strany MŽP.</w:t>
      </w:r>
      <w:r w:rsidR="001362B6" w:rsidRPr="00ED38E9">
        <w:rPr>
          <w:rFonts w:cs="Arial"/>
          <w:noProof w:val="0"/>
        </w:rPr>
        <w:br w:type="page"/>
      </w:r>
    </w:p>
    <w:p w:rsidR="00324860" w:rsidRPr="00ED38E9" w:rsidRDefault="00324860" w:rsidP="0011664A">
      <w:pPr>
        <w:pStyle w:val="Nadpis1"/>
      </w:pPr>
      <w:bookmarkStart w:id="210" w:name="_Toc438037451"/>
      <w:bookmarkStart w:id="211" w:name="_Toc438037455"/>
      <w:bookmarkStart w:id="212" w:name="_Toc438037460"/>
      <w:bookmarkStart w:id="213" w:name="_Toc438037463"/>
      <w:bookmarkStart w:id="214" w:name="_Toc438037465"/>
      <w:bookmarkStart w:id="215" w:name="_Toc438037468"/>
      <w:bookmarkStart w:id="216" w:name="_Toc438037471"/>
      <w:bookmarkStart w:id="217" w:name="_Toc438037473"/>
      <w:bookmarkStart w:id="218" w:name="_Toc438037475"/>
      <w:bookmarkStart w:id="219" w:name="_Toc438037477"/>
      <w:bookmarkStart w:id="220" w:name="_Toc438037478"/>
      <w:bookmarkStart w:id="221" w:name="_Toc438037492"/>
      <w:bookmarkStart w:id="222" w:name="_Toc438037494"/>
      <w:bookmarkStart w:id="223" w:name="_Toc438037495"/>
      <w:bookmarkStart w:id="224" w:name="_Toc438037499"/>
      <w:bookmarkStart w:id="225" w:name="_Toc441759925"/>
      <w:bookmarkStart w:id="226" w:name="_Toc441760196"/>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sidRPr="00ED38E9">
        <w:lastRenderedPageBreak/>
        <w:t xml:space="preserve">Evidence </w:t>
      </w:r>
      <w:r w:rsidR="0030430F">
        <w:t>a</w:t>
      </w:r>
      <w:r w:rsidRPr="00ED38E9">
        <w:t xml:space="preserve"> roční zprávy</w:t>
      </w:r>
      <w:bookmarkEnd w:id="225"/>
      <w:bookmarkEnd w:id="226"/>
    </w:p>
    <w:p w:rsidR="00324860" w:rsidRPr="00ED38E9" w:rsidRDefault="00324860" w:rsidP="0011664A">
      <w:pPr>
        <w:pStyle w:val="Nadpis2"/>
      </w:pPr>
      <w:bookmarkStart w:id="227" w:name="_Toc441759926"/>
      <w:r w:rsidRPr="00ED38E9">
        <w:t>Důvod předložení a cíle</w:t>
      </w:r>
      <w:bookmarkEnd w:id="227"/>
    </w:p>
    <w:p w:rsidR="00324860" w:rsidRPr="00ED38E9" w:rsidRDefault="00324860" w:rsidP="0011664A">
      <w:pPr>
        <w:pStyle w:val="Nadpis3"/>
      </w:pPr>
      <w:r w:rsidRPr="00ED38E9">
        <w:t>Definice problému</w:t>
      </w:r>
    </w:p>
    <w:p w:rsidR="00793ADA" w:rsidRPr="00ED38E9" w:rsidRDefault="00895DED" w:rsidP="00783869">
      <w:pPr>
        <w:rPr>
          <w:rFonts w:cs="Arial"/>
        </w:rPr>
      </w:pPr>
      <w:r w:rsidRPr="00ED38E9">
        <w:rPr>
          <w:rFonts w:cs="Arial"/>
        </w:rPr>
        <w:t xml:space="preserve">Roční </w:t>
      </w:r>
      <w:r w:rsidR="00471E03" w:rsidRPr="00ED38E9">
        <w:rPr>
          <w:rFonts w:cs="Arial"/>
        </w:rPr>
        <w:t xml:space="preserve">ohlašovací cyklus je důležitý pro zachování kontinuity dat a také pro získání úplného obrazu vykazovaných dat. Tříletá perioda by mohla obsahovat chybovost v důsledku vzniku a zániku výrobců v tomto mezidobí. V případě výrobků, </w:t>
      </w:r>
      <w:r w:rsidR="0030430F">
        <w:rPr>
          <w:rFonts w:cs="Arial"/>
        </w:rPr>
        <w:t>jejichž zpětný odběr upravují</w:t>
      </w:r>
      <w:r w:rsidR="00471E03" w:rsidRPr="00ED38E9">
        <w:rPr>
          <w:rFonts w:cs="Arial"/>
        </w:rPr>
        <w:t xml:space="preserve"> směrnic</w:t>
      </w:r>
      <w:r w:rsidR="0030430F">
        <w:rPr>
          <w:rFonts w:cs="Arial"/>
        </w:rPr>
        <w:t>e EU</w:t>
      </w:r>
      <w:r w:rsidR="00471E03" w:rsidRPr="00ED38E9">
        <w:rPr>
          <w:rFonts w:cs="Arial"/>
        </w:rPr>
        <w:t xml:space="preserve"> a data se hlásí </w:t>
      </w:r>
      <w:r w:rsidR="00733FE0">
        <w:rPr>
          <w:rFonts w:cs="Arial"/>
        </w:rPr>
        <w:t xml:space="preserve">Evropské </w:t>
      </w:r>
      <w:r w:rsidR="003A77C5" w:rsidRPr="00ED38E9">
        <w:rPr>
          <w:rFonts w:cs="Arial"/>
        </w:rPr>
        <w:t>komis</w:t>
      </w:r>
      <w:r w:rsidR="003A77C5">
        <w:rPr>
          <w:rFonts w:cs="Arial"/>
        </w:rPr>
        <w:t>i</w:t>
      </w:r>
      <w:r w:rsidR="003A77C5" w:rsidRPr="00ED38E9">
        <w:rPr>
          <w:rFonts w:cs="Arial"/>
        </w:rPr>
        <w:t xml:space="preserve"> </w:t>
      </w:r>
      <w:r w:rsidR="00471E03" w:rsidRPr="00ED38E9">
        <w:rPr>
          <w:rFonts w:cs="Arial"/>
        </w:rPr>
        <w:t xml:space="preserve">by bylo riziko infringementu za neohlášené roky, </w:t>
      </w:r>
      <w:r w:rsidR="003A77C5">
        <w:rPr>
          <w:rFonts w:cs="Arial"/>
        </w:rPr>
        <w:t xml:space="preserve">za které </w:t>
      </w:r>
      <w:r w:rsidR="00471E03" w:rsidRPr="00ED38E9">
        <w:rPr>
          <w:rFonts w:cs="Arial"/>
        </w:rPr>
        <w:t xml:space="preserve">by data chyběla. V rámci kolektivních systémů je </w:t>
      </w:r>
      <w:r w:rsidR="003A77C5" w:rsidRPr="00ED38E9">
        <w:rPr>
          <w:rFonts w:cs="Arial"/>
        </w:rPr>
        <w:t>nutn</w:t>
      </w:r>
      <w:r w:rsidR="003A77C5">
        <w:rPr>
          <w:rFonts w:cs="Arial"/>
        </w:rPr>
        <w:t>á</w:t>
      </w:r>
      <w:r w:rsidR="003A77C5" w:rsidRPr="00ED38E9">
        <w:rPr>
          <w:rFonts w:cs="Arial"/>
        </w:rPr>
        <w:t xml:space="preserve"> </w:t>
      </w:r>
      <w:r w:rsidR="00471E03" w:rsidRPr="00ED38E9">
        <w:rPr>
          <w:rFonts w:cs="Arial"/>
        </w:rPr>
        <w:t>dokonce čtvrtletní evidence a to z důvodu finančních toků mezi provozovatelem KS a výrobce</w:t>
      </w:r>
      <w:r w:rsidR="003A77C5">
        <w:rPr>
          <w:rFonts w:cs="Arial"/>
        </w:rPr>
        <w:t>m</w:t>
      </w:r>
      <w:r w:rsidR="00471E03" w:rsidRPr="00ED38E9">
        <w:rPr>
          <w:rFonts w:cs="Arial"/>
        </w:rPr>
        <w:t>. Daty tedy KS bude disponovat a roční hlášení bude pouze minimální administrativní zátěž.</w:t>
      </w:r>
    </w:p>
    <w:p w:rsidR="00324860" w:rsidRPr="00ED38E9" w:rsidRDefault="00324860" w:rsidP="00F97AF3">
      <w:pPr>
        <w:pStyle w:val="Nadpis3"/>
      </w:pPr>
      <w:r w:rsidRPr="00ED38E9">
        <w:t>Popis existujícího právního stavu v dané oblasti</w:t>
      </w:r>
    </w:p>
    <w:p w:rsidR="00324860" w:rsidRPr="00ED38E9" w:rsidRDefault="0030430F" w:rsidP="00324860">
      <w:pPr>
        <w:rPr>
          <w:rFonts w:cs="Arial"/>
        </w:rPr>
      </w:pPr>
      <w:r>
        <w:rPr>
          <w:rFonts w:cs="Arial"/>
        </w:rPr>
        <w:t>Výrobci/p</w:t>
      </w:r>
      <w:r w:rsidR="00324860" w:rsidRPr="00ED38E9">
        <w:rPr>
          <w:rFonts w:cs="Arial"/>
        </w:rPr>
        <w:t>ovinn</w:t>
      </w:r>
      <w:r>
        <w:rPr>
          <w:rFonts w:cs="Arial"/>
        </w:rPr>
        <w:t>é</w:t>
      </w:r>
      <w:r w:rsidR="00324860" w:rsidRPr="00ED38E9">
        <w:rPr>
          <w:rFonts w:cs="Arial"/>
        </w:rPr>
        <w:t xml:space="preserve"> osob</w:t>
      </w:r>
      <w:r>
        <w:rPr>
          <w:rFonts w:cs="Arial"/>
        </w:rPr>
        <w:t>y</w:t>
      </w:r>
      <w:r w:rsidR="00324860" w:rsidRPr="00ED38E9">
        <w:rPr>
          <w:rFonts w:cs="Arial"/>
        </w:rPr>
        <w:t xml:space="preserve"> j</w:t>
      </w:r>
      <w:r>
        <w:rPr>
          <w:rFonts w:cs="Arial"/>
        </w:rPr>
        <w:t>sou</w:t>
      </w:r>
      <w:r w:rsidR="00324860" w:rsidRPr="00ED38E9">
        <w:rPr>
          <w:rFonts w:cs="Arial"/>
        </w:rPr>
        <w:t xml:space="preserve"> povinn</w:t>
      </w:r>
      <w:r>
        <w:rPr>
          <w:rFonts w:cs="Arial"/>
        </w:rPr>
        <w:t>i</w:t>
      </w:r>
      <w:r w:rsidR="00324860" w:rsidRPr="00ED38E9">
        <w:rPr>
          <w:rFonts w:cs="Arial"/>
        </w:rPr>
        <w:t xml:space="preserve"> zpracovávat roční zprávu o plnění povinností zpětného odběru za</w:t>
      </w:r>
      <w:r w:rsidR="00BC680B" w:rsidRPr="00ED38E9">
        <w:rPr>
          <w:rFonts w:cs="Arial"/>
        </w:rPr>
        <w:t> </w:t>
      </w:r>
      <w:r w:rsidR="00324860" w:rsidRPr="00ED38E9">
        <w:rPr>
          <w:rFonts w:cs="Arial"/>
        </w:rPr>
        <w:t>uplynulý kalendářní rok v rozsahu stanoveném prováděcím právním předpisem a tuto zprávu každoročně zasílat ministerstvu do 31. března (přes ISPOP).</w:t>
      </w:r>
    </w:p>
    <w:p w:rsidR="00324860" w:rsidRPr="00ED38E9" w:rsidRDefault="00324860" w:rsidP="00F97AF3">
      <w:pPr>
        <w:pStyle w:val="Nadpis3"/>
      </w:pPr>
      <w:r w:rsidRPr="00ED38E9">
        <w:t>Identifikace dotčených subjektů</w:t>
      </w:r>
    </w:p>
    <w:p w:rsidR="00324860" w:rsidRPr="00ED38E9" w:rsidRDefault="00324860" w:rsidP="00620E6B">
      <w:pPr>
        <w:pStyle w:val="Odstavecseseznamem"/>
        <w:numPr>
          <w:ilvl w:val="0"/>
          <w:numId w:val="17"/>
        </w:numPr>
        <w:contextualSpacing w:val="0"/>
        <w:rPr>
          <w:rFonts w:cs="Arial"/>
        </w:rPr>
      </w:pPr>
      <w:r w:rsidRPr="00ED38E9">
        <w:rPr>
          <w:rFonts w:cs="Arial"/>
        </w:rPr>
        <w:t>Ministerstvo životního prostředí (ministerstvo),</w:t>
      </w:r>
    </w:p>
    <w:p w:rsidR="00324860" w:rsidRPr="00ED38E9" w:rsidRDefault="0030430F" w:rsidP="00620E6B">
      <w:pPr>
        <w:pStyle w:val="Odstavecseseznamem"/>
        <w:numPr>
          <w:ilvl w:val="0"/>
          <w:numId w:val="17"/>
        </w:numPr>
        <w:contextualSpacing w:val="0"/>
        <w:rPr>
          <w:rFonts w:cs="Arial"/>
        </w:rPr>
      </w:pPr>
      <w:r>
        <w:rPr>
          <w:rFonts w:cs="Arial"/>
        </w:rPr>
        <w:t>výrobci/</w:t>
      </w:r>
      <w:r w:rsidR="00324860" w:rsidRPr="00ED38E9">
        <w:rPr>
          <w:rFonts w:cs="Arial"/>
        </w:rPr>
        <w:t>,</w:t>
      </w:r>
    </w:p>
    <w:p w:rsidR="00324860" w:rsidRPr="00ED38E9" w:rsidRDefault="00324860" w:rsidP="00620E6B">
      <w:pPr>
        <w:pStyle w:val="Odstavecseseznamem"/>
        <w:numPr>
          <w:ilvl w:val="0"/>
          <w:numId w:val="17"/>
        </w:numPr>
        <w:contextualSpacing w:val="0"/>
        <w:rPr>
          <w:rFonts w:cs="Arial"/>
        </w:rPr>
      </w:pPr>
      <w:r w:rsidRPr="00ED38E9">
        <w:rPr>
          <w:rFonts w:cs="Arial"/>
        </w:rPr>
        <w:t>CENIA, česká informační agentura životního prostředí.</w:t>
      </w:r>
    </w:p>
    <w:p w:rsidR="00324860" w:rsidRPr="00ED38E9" w:rsidRDefault="00324860" w:rsidP="00F97AF3">
      <w:pPr>
        <w:pStyle w:val="Nadpis3"/>
      </w:pPr>
      <w:r w:rsidRPr="00ED38E9">
        <w:t>Popis cílového stavu</w:t>
      </w:r>
    </w:p>
    <w:p w:rsidR="00324860" w:rsidRPr="00ED38E9" w:rsidRDefault="00324860" w:rsidP="00324860">
      <w:pPr>
        <w:rPr>
          <w:rFonts w:cs="Arial"/>
        </w:rPr>
      </w:pPr>
      <w:r w:rsidRPr="00ED38E9">
        <w:rPr>
          <w:rFonts w:cs="Arial"/>
        </w:rPr>
        <w:t xml:space="preserve">Hlavním cílem je </w:t>
      </w:r>
      <w:r w:rsidR="0030430F">
        <w:rPr>
          <w:rFonts w:cs="Arial"/>
        </w:rPr>
        <w:t xml:space="preserve">získat </w:t>
      </w:r>
      <w:r w:rsidRPr="00ED38E9">
        <w:rPr>
          <w:rFonts w:cs="Arial"/>
        </w:rPr>
        <w:t>dat</w:t>
      </w:r>
      <w:r w:rsidR="0030430F">
        <w:rPr>
          <w:rFonts w:cs="Arial"/>
        </w:rPr>
        <w:t>a</w:t>
      </w:r>
      <w:r w:rsidRPr="00ED38E9">
        <w:rPr>
          <w:rFonts w:cs="Arial"/>
        </w:rPr>
        <w:t xml:space="preserve">, </w:t>
      </w:r>
      <w:r w:rsidR="003A77C5" w:rsidRPr="00ED38E9">
        <w:rPr>
          <w:rFonts w:cs="Arial"/>
        </w:rPr>
        <w:t>kter</w:t>
      </w:r>
      <w:r w:rsidR="003A77C5">
        <w:rPr>
          <w:rFonts w:cs="Arial"/>
        </w:rPr>
        <w:t>á</w:t>
      </w:r>
      <w:r w:rsidR="003A77C5" w:rsidRPr="00ED38E9">
        <w:rPr>
          <w:rFonts w:cs="Arial"/>
        </w:rPr>
        <w:t xml:space="preserve"> </w:t>
      </w:r>
      <w:r w:rsidRPr="00ED38E9">
        <w:rPr>
          <w:rFonts w:cs="Arial"/>
        </w:rPr>
        <w:t>je možné využít pro reporting do EU, kontrolní činnosti a pro zpracování ekonomických analýz.</w:t>
      </w:r>
    </w:p>
    <w:p w:rsidR="00324860" w:rsidRPr="00ED38E9" w:rsidRDefault="00324860" w:rsidP="00F97AF3">
      <w:pPr>
        <w:pStyle w:val="Nadpis3"/>
      </w:pPr>
      <w:r w:rsidRPr="00ED38E9">
        <w:t>Zhodnocení rizika</w:t>
      </w:r>
    </w:p>
    <w:p w:rsidR="00324860" w:rsidRPr="00ED38E9" w:rsidRDefault="00324860" w:rsidP="00324860">
      <w:pPr>
        <w:rPr>
          <w:rFonts w:cs="Arial"/>
        </w:rPr>
      </w:pPr>
      <w:r w:rsidRPr="00ED38E9">
        <w:rPr>
          <w:rFonts w:cs="Arial"/>
        </w:rPr>
        <w:t xml:space="preserve">V případě zrušení nebo změny frekvence zasílání ročních zpráv může dojít ke ztrátě dat </w:t>
      </w:r>
      <w:r w:rsidR="0008200E" w:rsidRPr="00ED38E9">
        <w:rPr>
          <w:rFonts w:cs="Arial"/>
        </w:rPr>
        <w:t>a</w:t>
      </w:r>
      <w:r w:rsidR="00814874" w:rsidRPr="00ED38E9">
        <w:rPr>
          <w:rFonts w:cs="Arial"/>
        </w:rPr>
        <w:t> </w:t>
      </w:r>
      <w:r w:rsidRPr="00ED38E9">
        <w:rPr>
          <w:rFonts w:cs="Arial"/>
        </w:rPr>
        <w:t xml:space="preserve">nemožnosti vytváření kvalitních ekonomických analýz. </w:t>
      </w:r>
    </w:p>
    <w:p w:rsidR="00324860" w:rsidRPr="00ED38E9" w:rsidRDefault="00324860" w:rsidP="00F97AF3">
      <w:pPr>
        <w:pStyle w:val="Nadpis2"/>
      </w:pPr>
      <w:bookmarkStart w:id="228" w:name="_Toc441759927"/>
      <w:r w:rsidRPr="00ED38E9">
        <w:t>Návrh variant řešení</w:t>
      </w:r>
      <w:bookmarkEnd w:id="228"/>
    </w:p>
    <w:p w:rsidR="00324860" w:rsidRPr="00ED38E9" w:rsidRDefault="00324860" w:rsidP="00F97AF3">
      <w:pPr>
        <w:pStyle w:val="Nadpis3"/>
      </w:pPr>
      <w:r w:rsidRPr="00ED38E9">
        <w:t>Varianta 0</w:t>
      </w:r>
    </w:p>
    <w:p w:rsidR="00324860" w:rsidRPr="00ED38E9" w:rsidRDefault="00324860" w:rsidP="00324860">
      <w:pPr>
        <w:rPr>
          <w:rFonts w:cs="Arial"/>
        </w:rPr>
      </w:pPr>
      <w:r w:rsidRPr="00ED38E9">
        <w:rPr>
          <w:rFonts w:cs="Arial"/>
        </w:rPr>
        <w:t xml:space="preserve">Ponechání současného stavu, kdy roční zprávu zasílá výrobce, který </w:t>
      </w:r>
      <w:r w:rsidR="00733FE0">
        <w:rPr>
          <w:rFonts w:cs="Arial"/>
        </w:rPr>
        <w:t>výrobky</w:t>
      </w:r>
      <w:r w:rsidR="00733FE0" w:rsidRPr="00ED38E9">
        <w:rPr>
          <w:rFonts w:cs="Arial"/>
        </w:rPr>
        <w:t xml:space="preserve"> </w:t>
      </w:r>
      <w:r w:rsidRPr="00ED38E9">
        <w:rPr>
          <w:rFonts w:cs="Arial"/>
        </w:rPr>
        <w:t>vyrábí nebo uvádí na trh v České republice</w:t>
      </w:r>
      <w:r w:rsidR="00733FE0">
        <w:rPr>
          <w:rFonts w:cs="Arial"/>
        </w:rPr>
        <w:t>,</w:t>
      </w:r>
      <w:r w:rsidRPr="00ED38E9">
        <w:rPr>
          <w:rFonts w:cs="Arial"/>
        </w:rPr>
        <w:t xml:space="preserve"> každý rok do 31. března za rok předcházející.</w:t>
      </w:r>
    </w:p>
    <w:p w:rsidR="00324860" w:rsidRPr="00ED38E9" w:rsidRDefault="00324860" w:rsidP="00F97AF3">
      <w:pPr>
        <w:pStyle w:val="Nadpis3"/>
      </w:pPr>
      <w:r w:rsidRPr="00ED38E9">
        <w:t xml:space="preserve">Varianta </w:t>
      </w:r>
      <w:r w:rsidR="004F649C">
        <w:t>1</w:t>
      </w:r>
    </w:p>
    <w:p w:rsidR="00324860" w:rsidRPr="00ED38E9" w:rsidRDefault="004F649C" w:rsidP="00324860">
      <w:pPr>
        <w:rPr>
          <w:rFonts w:cs="Arial"/>
        </w:rPr>
      </w:pPr>
      <w:r>
        <w:rPr>
          <w:rFonts w:cs="Arial"/>
        </w:rPr>
        <w:t>Varianta 1 je modifikací současnéhpo stavu, kdy v</w:t>
      </w:r>
      <w:r w:rsidR="00324860" w:rsidRPr="00ED38E9">
        <w:rPr>
          <w:rFonts w:cs="Arial"/>
        </w:rPr>
        <w:t xml:space="preserve"> případě zapojení výrobce do kolektivního systému, jsou tyto povinnosti převedeny na kolektivní systém. Výrobci zůstává pouze povinnost předat kolektivnímu systému informace o množství </w:t>
      </w:r>
      <w:r w:rsidR="00733FE0">
        <w:rPr>
          <w:rFonts w:cs="Arial"/>
        </w:rPr>
        <w:t xml:space="preserve">výrobků </w:t>
      </w:r>
      <w:r w:rsidR="00324860" w:rsidRPr="00ED38E9">
        <w:rPr>
          <w:rFonts w:cs="Arial"/>
        </w:rPr>
        <w:t>uveden</w:t>
      </w:r>
      <w:r w:rsidR="00733FE0">
        <w:rPr>
          <w:rFonts w:cs="Arial"/>
        </w:rPr>
        <w:t>ých</w:t>
      </w:r>
      <w:r w:rsidR="00324860" w:rsidRPr="00ED38E9">
        <w:rPr>
          <w:rFonts w:cs="Arial"/>
        </w:rPr>
        <w:t xml:space="preserve"> v daném roce na trh v České republice.</w:t>
      </w:r>
    </w:p>
    <w:p w:rsidR="00324860" w:rsidRPr="00ED38E9" w:rsidRDefault="00324860" w:rsidP="00F97AF3">
      <w:pPr>
        <w:pStyle w:val="Nadpis3"/>
      </w:pPr>
      <w:r w:rsidRPr="00ED38E9">
        <w:t xml:space="preserve">Varianta </w:t>
      </w:r>
      <w:r w:rsidR="004F649C">
        <w:t>2</w:t>
      </w:r>
    </w:p>
    <w:p w:rsidR="00324860" w:rsidRPr="00ED38E9" w:rsidRDefault="00324860" w:rsidP="00324860">
      <w:pPr>
        <w:rPr>
          <w:rFonts w:cs="Arial"/>
        </w:rPr>
      </w:pPr>
      <w:r w:rsidRPr="00ED38E9">
        <w:rPr>
          <w:rFonts w:cs="Arial"/>
        </w:rPr>
        <w:t>Systém hlášení stejný jako u varianty předchozí, tj. individuálně plnící</w:t>
      </w:r>
      <w:r w:rsidR="00CD7E6A">
        <w:rPr>
          <w:rFonts w:cs="Arial"/>
        </w:rPr>
        <w:t xml:space="preserve"> výrobci</w:t>
      </w:r>
      <w:r w:rsidRPr="00ED38E9">
        <w:rPr>
          <w:rFonts w:cs="Arial"/>
        </w:rPr>
        <w:t xml:space="preserve"> hlásí vše sami, výrobci zahrnuti do kolektivního systému hlásí vše prostřednictvím systému. Mění se pouze interval ohlašovaní z 1 roku na 1x za 3 roky.</w:t>
      </w:r>
    </w:p>
    <w:p w:rsidR="00324860" w:rsidRPr="00ED38E9" w:rsidRDefault="00324860" w:rsidP="00F97AF3">
      <w:pPr>
        <w:pStyle w:val="Nadpis2"/>
      </w:pPr>
      <w:bookmarkStart w:id="229" w:name="_Toc441759928"/>
      <w:r w:rsidRPr="00ED38E9">
        <w:lastRenderedPageBreak/>
        <w:t>Vyhodnocení nákladů a přínosů</w:t>
      </w:r>
      <w:bookmarkEnd w:id="229"/>
    </w:p>
    <w:p w:rsidR="00324860" w:rsidRPr="00ED38E9" w:rsidRDefault="00324860" w:rsidP="00F97AF3">
      <w:pPr>
        <w:pStyle w:val="Nadpis3"/>
      </w:pPr>
      <w:r w:rsidRPr="00ED38E9">
        <w:t>Identifikace nákladů a přínosů</w:t>
      </w:r>
    </w:p>
    <w:p w:rsidR="00324860" w:rsidRPr="00ED38E9" w:rsidRDefault="00324860" w:rsidP="00324860">
      <w:pPr>
        <w:rPr>
          <w:rFonts w:cs="Arial"/>
        </w:rPr>
      </w:pPr>
      <w:r w:rsidRPr="00ED38E9">
        <w:rPr>
          <w:rFonts w:cs="Arial"/>
        </w:rPr>
        <w:t>Náklady na evidenci dělíme na tři základní činnosti:</w:t>
      </w:r>
    </w:p>
    <w:p w:rsidR="00324860" w:rsidRPr="00ED38E9" w:rsidRDefault="00324860" w:rsidP="002D66F0">
      <w:pPr>
        <w:pStyle w:val="Odstavecseseznamem"/>
        <w:numPr>
          <w:ilvl w:val="0"/>
          <w:numId w:val="30"/>
        </w:numPr>
        <w:contextualSpacing w:val="0"/>
        <w:rPr>
          <w:rFonts w:cs="Arial"/>
        </w:rPr>
      </w:pPr>
      <w:r w:rsidRPr="00ED38E9">
        <w:rPr>
          <w:rFonts w:cs="Arial"/>
        </w:rPr>
        <w:t>časová náročnost na samotné vyplnění formuláře Roční zpráva o plnění povinností zpětného odběru (od roku 2012 je hlášení prováděno elektronicky přes ISPOP),</w:t>
      </w:r>
    </w:p>
    <w:p w:rsidR="00324860" w:rsidRPr="00ED38E9" w:rsidRDefault="00324860" w:rsidP="002D66F0">
      <w:pPr>
        <w:pStyle w:val="Odstavecseseznamem"/>
        <w:numPr>
          <w:ilvl w:val="0"/>
          <w:numId w:val="30"/>
        </w:numPr>
        <w:contextualSpacing w:val="0"/>
        <w:rPr>
          <w:rFonts w:cs="Arial"/>
        </w:rPr>
      </w:pPr>
      <w:r w:rsidRPr="00ED38E9">
        <w:rPr>
          <w:rFonts w:cs="Arial"/>
        </w:rPr>
        <w:t xml:space="preserve">časová náročnost na vedení evidence </w:t>
      </w:r>
      <w:r w:rsidR="00733FE0">
        <w:rPr>
          <w:rFonts w:cs="Arial"/>
        </w:rPr>
        <w:t xml:space="preserve">výrobků </w:t>
      </w:r>
      <w:r w:rsidRPr="00ED38E9">
        <w:rPr>
          <w:rFonts w:cs="Arial"/>
        </w:rPr>
        <w:t>uvedených na trh,</w:t>
      </w:r>
    </w:p>
    <w:p w:rsidR="00324860" w:rsidRPr="00ED38E9" w:rsidRDefault="00324860" w:rsidP="002D66F0">
      <w:pPr>
        <w:pStyle w:val="Odstavecseseznamem"/>
        <w:numPr>
          <w:ilvl w:val="0"/>
          <w:numId w:val="30"/>
        </w:numPr>
        <w:contextualSpacing w:val="0"/>
        <w:rPr>
          <w:rFonts w:cs="Arial"/>
        </w:rPr>
      </w:pPr>
      <w:r w:rsidRPr="00ED38E9">
        <w:rPr>
          <w:rFonts w:cs="Arial"/>
        </w:rPr>
        <w:t xml:space="preserve">časová náročnost na vedení evidence zpětně odebraných </w:t>
      </w:r>
      <w:r w:rsidR="00733FE0">
        <w:rPr>
          <w:rFonts w:cs="Arial"/>
        </w:rPr>
        <w:t>výrobků</w:t>
      </w:r>
      <w:r w:rsidRPr="00ED38E9">
        <w:rPr>
          <w:rFonts w:cs="Arial"/>
        </w:rPr>
        <w:t>.</w:t>
      </w:r>
    </w:p>
    <w:p w:rsidR="00324860" w:rsidRPr="00ED38E9" w:rsidRDefault="00324860" w:rsidP="00620E6B">
      <w:pPr>
        <w:pStyle w:val="Odstavecseseznamem"/>
        <w:keepNext/>
        <w:numPr>
          <w:ilvl w:val="0"/>
          <w:numId w:val="18"/>
        </w:numPr>
        <w:spacing w:before="240" w:after="120"/>
        <w:ind w:left="714" w:hanging="357"/>
        <w:contextualSpacing w:val="0"/>
        <w:rPr>
          <w:rFonts w:cs="Arial"/>
        </w:rPr>
      </w:pPr>
      <w:r w:rsidRPr="00ED38E9">
        <w:rPr>
          <w:rFonts w:cs="Arial"/>
        </w:rPr>
        <w:t>Varianta 0</w:t>
      </w:r>
      <w:r w:rsidR="004F649C">
        <w:rPr>
          <w:rFonts w:cs="Arial"/>
        </w:rPr>
        <w:t>, Varianta1</w:t>
      </w:r>
    </w:p>
    <w:p w:rsidR="00324860" w:rsidRPr="00ED38E9" w:rsidRDefault="00324860" w:rsidP="00324860">
      <w:pPr>
        <w:rPr>
          <w:rFonts w:cs="Arial"/>
        </w:rPr>
      </w:pPr>
      <w:r w:rsidRPr="00ED38E9">
        <w:rPr>
          <w:rFonts w:cs="Arial"/>
        </w:rPr>
        <w:t xml:space="preserve">U této varianty jsou přínosy pouze v získaných datech. Mezi náklady tedy řadíme evidenci </w:t>
      </w:r>
      <w:r w:rsidR="00733FE0">
        <w:rPr>
          <w:rFonts w:cs="Arial"/>
        </w:rPr>
        <w:t xml:space="preserve">výrobků </w:t>
      </w:r>
      <w:r w:rsidRPr="00ED38E9">
        <w:rPr>
          <w:rFonts w:cs="Arial"/>
        </w:rPr>
        <w:t xml:space="preserve">uvedených na trh, evidenci zpětně odebraných </w:t>
      </w:r>
      <w:r w:rsidR="00733FE0">
        <w:rPr>
          <w:rFonts w:cs="Arial"/>
        </w:rPr>
        <w:t>výrobků</w:t>
      </w:r>
      <w:r w:rsidR="00733FE0" w:rsidRPr="00ED38E9">
        <w:rPr>
          <w:rFonts w:cs="Arial"/>
        </w:rPr>
        <w:t xml:space="preserve"> </w:t>
      </w:r>
      <w:r w:rsidRPr="00ED38E9">
        <w:rPr>
          <w:rFonts w:cs="Arial"/>
        </w:rPr>
        <w:t>a samotnou přípravu a vyplnění formuláře v systému ISPOP.</w:t>
      </w:r>
    </w:p>
    <w:p w:rsidR="00324860" w:rsidRPr="00ED38E9" w:rsidRDefault="00324860" w:rsidP="00324860">
      <w:pPr>
        <w:rPr>
          <w:rFonts w:cs="Arial"/>
        </w:rPr>
      </w:pPr>
      <w:r w:rsidRPr="00ED38E9">
        <w:rPr>
          <w:rFonts w:cs="Arial"/>
        </w:rPr>
        <w:t>Časová náročnost na jednotlivé činnosti se liší dle ohlašovatele:</w:t>
      </w:r>
    </w:p>
    <w:p w:rsidR="00324860" w:rsidRPr="00ED38E9" w:rsidRDefault="00324860" w:rsidP="002D66F0">
      <w:pPr>
        <w:pStyle w:val="Odstavecseseznamem"/>
        <w:numPr>
          <w:ilvl w:val="0"/>
          <w:numId w:val="31"/>
        </w:numPr>
        <w:spacing w:before="240"/>
        <w:ind w:left="714" w:hanging="357"/>
        <w:contextualSpacing w:val="0"/>
        <w:rPr>
          <w:rFonts w:cs="Arial"/>
          <w:b/>
        </w:rPr>
      </w:pPr>
      <w:r w:rsidRPr="00ED38E9">
        <w:rPr>
          <w:rFonts w:cs="Arial"/>
          <w:b/>
        </w:rPr>
        <w:t xml:space="preserve">Velký výrobce (např. </w:t>
      </w:r>
      <w:r w:rsidR="00733FE0">
        <w:rPr>
          <w:rFonts w:cs="Arial"/>
          <w:b/>
        </w:rPr>
        <w:t xml:space="preserve">výrobce pneumatik </w:t>
      </w:r>
      <w:r w:rsidRPr="00ED38E9">
        <w:rPr>
          <w:rFonts w:cs="Arial"/>
          <w:b/>
        </w:rPr>
        <w:t>Mitas a.s., Continental Barum s.r.o.)</w:t>
      </w:r>
    </w:p>
    <w:p w:rsidR="00324860" w:rsidRPr="00ED38E9" w:rsidRDefault="00324860" w:rsidP="00324860">
      <w:pPr>
        <w:rPr>
          <w:rFonts w:cs="Arial"/>
        </w:rPr>
      </w:pPr>
      <w:r w:rsidRPr="00ED38E9">
        <w:rPr>
          <w:rFonts w:cs="Arial"/>
        </w:rPr>
        <w:t>Ze zaslaných informací vyplynulo, že časová náročnost na samotné vyplnění formuláře se pohybuje kolem 3 hodin. Evidence pneumatik uvedených na trh závisí na softwaru jednotlivých firem, časová náročnost dotázaných subjektů se pohybuje v rozmezí 10–56 hodin ročně. Rozdíly jsou pak u evidence zpětně odebraných pneumatik, závisí na množství a typu pneumatik. Časová náročnost se pohybuje v rozmezí 54–1 134 hodin ročně.</w:t>
      </w:r>
    </w:p>
    <w:p w:rsidR="00324860" w:rsidRPr="00ED38E9" w:rsidRDefault="00324860" w:rsidP="002D66F0">
      <w:pPr>
        <w:pStyle w:val="Odstavecseseznamem"/>
        <w:numPr>
          <w:ilvl w:val="0"/>
          <w:numId w:val="31"/>
        </w:numPr>
        <w:spacing w:before="240"/>
        <w:ind w:left="714" w:hanging="357"/>
        <w:contextualSpacing w:val="0"/>
        <w:rPr>
          <w:rFonts w:cs="Arial"/>
          <w:b/>
        </w:rPr>
      </w:pPr>
      <w:r w:rsidRPr="00ED38E9">
        <w:rPr>
          <w:rFonts w:cs="Arial"/>
          <w:b/>
        </w:rPr>
        <w:t>Výrobce vozidel (např. Škoda, TPCA, Hyundai)</w:t>
      </w:r>
    </w:p>
    <w:p w:rsidR="00324860" w:rsidRPr="00ED38E9" w:rsidRDefault="00324860" w:rsidP="00324860">
      <w:pPr>
        <w:rPr>
          <w:rFonts w:cs="Arial"/>
        </w:rPr>
      </w:pPr>
      <w:r w:rsidRPr="00ED38E9">
        <w:rPr>
          <w:rFonts w:cs="Arial"/>
        </w:rPr>
        <w:t>Výrobci vozidel v oblasti zpětného odběru pneumatik mají svá specifika a tím je počet míst zpětného odběru. V případě největší české automobilky se jedná cca o 224 servisních míst, u TPCA o 141 a u společnosti Hyundai o 75 servisních míst, celkem cca 440 servisních míst, ve kterých může dojít ke zpětnému odběru odpadní pneumatiky. Z komunikace vyplynulo, že časová náročnost na evidenci je odhadována na 1–2 hod týdně na jedno servisní místo (tj.</w:t>
      </w:r>
      <w:r w:rsidR="00814874" w:rsidRPr="00ED38E9">
        <w:rPr>
          <w:rFonts w:cs="Arial"/>
        </w:rPr>
        <w:t> </w:t>
      </w:r>
      <w:r w:rsidRPr="00ED38E9">
        <w:rPr>
          <w:rFonts w:cs="Arial"/>
        </w:rPr>
        <w:t>52–104 hod. ročně</w:t>
      </w:r>
      <w:r w:rsidR="007F135A">
        <w:rPr>
          <w:rFonts w:cs="Arial"/>
        </w:rPr>
        <w:t>)</w:t>
      </w:r>
      <w:r w:rsidRPr="00ED38E9">
        <w:rPr>
          <w:rFonts w:cs="Arial"/>
        </w:rPr>
        <w:t>. Evidenci nových pneumatik zajišťuje specializované oddělení na nákup dílů. Obecně lze říci, že se jedná o část denní pracovní doby jednoho zaměstnance (0,5 úvazku = 1 008 hodin ročně).</w:t>
      </w:r>
    </w:p>
    <w:p w:rsidR="00324860" w:rsidRPr="00ED38E9" w:rsidRDefault="00324860" w:rsidP="00324860">
      <w:pPr>
        <w:rPr>
          <w:rFonts w:cs="Arial"/>
        </w:rPr>
      </w:pPr>
      <w:r w:rsidRPr="00ED38E9">
        <w:rPr>
          <w:rFonts w:cs="Arial"/>
        </w:rPr>
        <w:t>Samotné vyplnění formuláře do systému ISPOP je odhadováno cca na 30 min.</w:t>
      </w:r>
    </w:p>
    <w:p w:rsidR="00324860" w:rsidRPr="00ED38E9" w:rsidRDefault="00324860" w:rsidP="002D66F0">
      <w:pPr>
        <w:pStyle w:val="Odstavecseseznamem"/>
        <w:numPr>
          <w:ilvl w:val="0"/>
          <w:numId w:val="31"/>
        </w:numPr>
        <w:spacing w:before="240"/>
        <w:ind w:left="714" w:hanging="357"/>
        <w:contextualSpacing w:val="0"/>
        <w:rPr>
          <w:rFonts w:cs="Arial"/>
          <w:b/>
        </w:rPr>
      </w:pPr>
      <w:r w:rsidRPr="00ED38E9">
        <w:rPr>
          <w:rFonts w:cs="Arial"/>
          <w:b/>
        </w:rPr>
        <w:t xml:space="preserve">Malý prodejce </w:t>
      </w:r>
      <w:r w:rsidR="00733FE0">
        <w:rPr>
          <w:rFonts w:cs="Arial"/>
          <w:b/>
        </w:rPr>
        <w:t xml:space="preserve">(výrobci pneumatik </w:t>
      </w:r>
      <w:r w:rsidRPr="00ED38E9">
        <w:rPr>
          <w:rFonts w:cs="Arial"/>
          <w:b/>
        </w:rPr>
        <w:t>s produkcí do 1 000 tun ročně</w:t>
      </w:r>
      <w:r w:rsidR="00733FE0">
        <w:rPr>
          <w:rFonts w:cs="Arial"/>
          <w:b/>
        </w:rPr>
        <w:t>,</w:t>
      </w:r>
      <w:r w:rsidRPr="00ED38E9">
        <w:rPr>
          <w:rFonts w:cs="Arial"/>
          <w:b/>
        </w:rPr>
        <w:t>AZ pneu PRO CZ s.r.o. aj.)</w:t>
      </w:r>
    </w:p>
    <w:p w:rsidR="00324860" w:rsidRPr="00ED38E9" w:rsidRDefault="00324860" w:rsidP="00324860">
      <w:pPr>
        <w:rPr>
          <w:rFonts w:cs="Arial"/>
        </w:rPr>
      </w:pPr>
      <w:r w:rsidRPr="00ED38E9">
        <w:rPr>
          <w:rFonts w:cs="Arial"/>
        </w:rPr>
        <w:t>Malý prodejci uvádějí, že časová náročnost na odeslání formuláře byla cca 30 min na vyplnění. Časová náročnost na vedení evidence je u povinných osob s produkcí do 1 tis. tun závislá na softwaru, kdy evidence produkce je odhadována v rozmezí 2–104 hodin ročně a evidence zpětného odběru v rozmezí 1–208 hodin ročně.</w:t>
      </w:r>
    </w:p>
    <w:p w:rsidR="00324860" w:rsidRPr="00ED38E9" w:rsidRDefault="00324860" w:rsidP="00324860">
      <w:pPr>
        <w:spacing w:before="240"/>
        <w:rPr>
          <w:rFonts w:cs="Arial"/>
        </w:rPr>
      </w:pPr>
      <w:r w:rsidRPr="00ED38E9">
        <w:rPr>
          <w:rFonts w:cs="Arial"/>
        </w:rPr>
        <w:t>Někteří dotázaní všech skupin uvádějí, že měli problémy s prvním přihlášením do systému ISPOP (firemní zabezpečení počítačů, nastavení počítače, dostupnost elektronického systému apod.). V těchto případech se jednalo o navýšení v rozmezí 2–16 hodin.</w:t>
      </w:r>
    </w:p>
    <w:p w:rsidR="00324860" w:rsidRPr="00ED38E9" w:rsidRDefault="004F649C" w:rsidP="00620E6B">
      <w:pPr>
        <w:pStyle w:val="Odstavecseseznamem"/>
        <w:numPr>
          <w:ilvl w:val="0"/>
          <w:numId w:val="18"/>
        </w:numPr>
        <w:spacing w:before="240" w:after="120"/>
        <w:contextualSpacing w:val="0"/>
        <w:rPr>
          <w:rFonts w:cs="Arial"/>
        </w:rPr>
      </w:pPr>
      <w:r>
        <w:rPr>
          <w:rFonts w:cs="Arial"/>
        </w:rPr>
        <w:t>Varianta 2</w:t>
      </w:r>
    </w:p>
    <w:p w:rsidR="00324860" w:rsidRPr="00ED38E9" w:rsidRDefault="00324860" w:rsidP="00324860">
      <w:pPr>
        <w:rPr>
          <w:rFonts w:cs="Arial"/>
        </w:rPr>
      </w:pPr>
      <w:r w:rsidRPr="00ED38E9">
        <w:rPr>
          <w:rFonts w:cs="Arial"/>
        </w:rPr>
        <w:lastRenderedPageBreak/>
        <w:t xml:space="preserve">Přínosem této varianty je snížení administrativy při ohlašování jednou za tři roky, tzn. že dojde k úspoře asi 1 hodiny (2 x 30 min) u každého subjektu, protože předpokládáme, že evidenci budou provádět subjekty stejně, zejména z důvodu možné kontroly ČIŽP a dalších orgánů. Mezi náklady řadíme riziko ztráty dat v případě, že subjekt ukončí činnost ve třetím roce a ministerstvo nezíská data za předešlé dva roky činnosti, kdy subjekt na trhu byl, produkoval a případně sám plnil povinnost zpětného odběru. Dalším problémem je neaktuálnost dat v případě vytváření různých ekonomických analýz, protože budou k dispozici data </w:t>
      </w:r>
      <w:r w:rsidR="00733FE0" w:rsidRPr="00ED38E9">
        <w:rPr>
          <w:rFonts w:cs="Arial"/>
        </w:rPr>
        <w:t xml:space="preserve">pouze </w:t>
      </w:r>
      <w:r w:rsidRPr="00ED38E9">
        <w:rPr>
          <w:rFonts w:cs="Arial"/>
        </w:rPr>
        <w:t>za předchozí tříleté období.</w:t>
      </w:r>
    </w:p>
    <w:p w:rsidR="00324860" w:rsidRPr="00ED38E9" w:rsidRDefault="00324860" w:rsidP="00324860">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51</w:t>
      </w:r>
      <w:r w:rsidR="00381FB7" w:rsidRPr="00ED38E9">
        <w:rPr>
          <w:rFonts w:cs="Arial"/>
        </w:rPr>
        <w:fldChar w:fldCharType="end"/>
      </w:r>
      <w:r w:rsidRPr="00ED38E9">
        <w:rPr>
          <w:rFonts w:cs="Arial"/>
        </w:rPr>
        <w:t>: Zobrazení použitelnosti zaslaných dat Varianta 0, Varianta 1</w:t>
      </w:r>
    </w:p>
    <w:p w:rsidR="00324860" w:rsidRPr="00ED38E9" w:rsidRDefault="001F5F9B" w:rsidP="00324860">
      <w:pPr>
        <w:rPr>
          <w:rFonts w:cs="Arial"/>
        </w:rPr>
      </w:pPr>
      <w:r w:rsidRPr="00ED38E9">
        <w:rPr>
          <w:rFonts w:cs="Arial"/>
          <w:lang w:eastAsia="cs-CZ" w:bidi="ar-SA"/>
        </w:rPr>
        <w:drawing>
          <wp:inline distT="0" distB="0" distL="0" distR="0" wp14:anchorId="327EFA06" wp14:editId="4C4A8847">
            <wp:extent cx="4048125" cy="1162050"/>
            <wp:effectExtent l="0" t="0" r="9525"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48125" cy="1162050"/>
                    </a:xfrm>
                    <a:prstGeom prst="rect">
                      <a:avLst/>
                    </a:prstGeom>
                    <a:noFill/>
                    <a:ln>
                      <a:noFill/>
                    </a:ln>
                  </pic:spPr>
                </pic:pic>
              </a:graphicData>
            </a:graphic>
          </wp:inline>
        </w:drawing>
      </w:r>
    </w:p>
    <w:p w:rsidR="00324860" w:rsidRPr="00ED38E9" w:rsidRDefault="00324860" w:rsidP="00324860">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52</w:t>
      </w:r>
      <w:r w:rsidR="00381FB7" w:rsidRPr="00ED38E9">
        <w:rPr>
          <w:rFonts w:cs="Arial"/>
        </w:rPr>
        <w:fldChar w:fldCharType="end"/>
      </w:r>
      <w:r w:rsidRPr="00ED38E9">
        <w:rPr>
          <w:rFonts w:cs="Arial"/>
        </w:rPr>
        <w:t>: Zobrazení použitelnosti zaslaných dat Varianta 2</w:t>
      </w:r>
    </w:p>
    <w:p w:rsidR="00324860" w:rsidRPr="00ED38E9" w:rsidRDefault="001F5F9B" w:rsidP="00324860">
      <w:pPr>
        <w:rPr>
          <w:rFonts w:cs="Arial"/>
        </w:rPr>
      </w:pPr>
      <w:r w:rsidRPr="00ED38E9">
        <w:rPr>
          <w:rFonts w:cs="Arial"/>
          <w:lang w:eastAsia="cs-CZ" w:bidi="ar-SA"/>
        </w:rPr>
        <w:drawing>
          <wp:inline distT="0" distB="0" distL="0" distR="0" wp14:anchorId="625AEC4D" wp14:editId="55281E03">
            <wp:extent cx="4048125" cy="1162050"/>
            <wp:effectExtent l="0" t="0" r="952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048125" cy="1162050"/>
                    </a:xfrm>
                    <a:prstGeom prst="rect">
                      <a:avLst/>
                    </a:prstGeom>
                    <a:noFill/>
                    <a:ln>
                      <a:noFill/>
                    </a:ln>
                  </pic:spPr>
                </pic:pic>
              </a:graphicData>
            </a:graphic>
          </wp:inline>
        </w:drawing>
      </w:r>
    </w:p>
    <w:p w:rsidR="00324860" w:rsidRPr="00ED38E9" w:rsidRDefault="00324860" w:rsidP="00F97AF3">
      <w:pPr>
        <w:pStyle w:val="Nadpis3"/>
      </w:pPr>
      <w:r w:rsidRPr="00ED38E9">
        <w:lastRenderedPageBreak/>
        <w:t>Vyhodnocení nákladů a přínosů variant</w:t>
      </w:r>
    </w:p>
    <w:p w:rsidR="00324860" w:rsidRPr="00ED38E9" w:rsidRDefault="00324860" w:rsidP="00324860">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53</w:t>
      </w:r>
      <w:r w:rsidR="00381FB7" w:rsidRPr="00ED38E9">
        <w:rPr>
          <w:rFonts w:cs="Arial"/>
        </w:rPr>
        <w:fldChar w:fldCharType="end"/>
      </w:r>
      <w:r w:rsidRPr="00ED38E9">
        <w:rPr>
          <w:rFonts w:cs="Arial"/>
        </w:rPr>
        <w:t>: Porovnání činností spojených s evidencí a hlášením</w:t>
      </w:r>
      <w:r w:rsidR="00097C19">
        <w:rPr>
          <w:rFonts w:cs="Arial"/>
        </w:rPr>
        <w:t xml:space="preserve"> v případě pneumatik</w:t>
      </w:r>
    </w:p>
    <w:p w:rsidR="00324860" w:rsidRPr="00ED38E9" w:rsidRDefault="001F5F9B" w:rsidP="00324860">
      <w:pPr>
        <w:rPr>
          <w:rFonts w:cs="Arial"/>
        </w:rPr>
      </w:pPr>
      <w:r w:rsidRPr="00ED38E9">
        <w:rPr>
          <w:rFonts w:cs="Arial"/>
          <w:lang w:eastAsia="cs-CZ" w:bidi="ar-SA"/>
        </w:rPr>
        <w:drawing>
          <wp:inline distT="0" distB="0" distL="0" distR="0" wp14:anchorId="7F144356" wp14:editId="476829CF">
            <wp:extent cx="5760720" cy="5156147"/>
            <wp:effectExtent l="0" t="0" r="0" b="698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720" cy="5156147"/>
                    </a:xfrm>
                    <a:prstGeom prst="rect">
                      <a:avLst/>
                    </a:prstGeom>
                    <a:noFill/>
                    <a:ln>
                      <a:noFill/>
                    </a:ln>
                  </pic:spPr>
                </pic:pic>
              </a:graphicData>
            </a:graphic>
          </wp:inline>
        </w:drawing>
      </w:r>
    </w:p>
    <w:p w:rsidR="00324860" w:rsidRPr="00ED38E9" w:rsidRDefault="00324860" w:rsidP="00F97AF3">
      <w:pPr>
        <w:pStyle w:val="Nadpis2"/>
      </w:pPr>
      <w:bookmarkStart w:id="230" w:name="_Toc441759929"/>
      <w:r w:rsidRPr="00ED38E9">
        <w:t>Návrh řešení</w:t>
      </w:r>
      <w:bookmarkEnd w:id="230"/>
    </w:p>
    <w:p w:rsidR="00324860" w:rsidRPr="00ED38E9" w:rsidRDefault="00324860" w:rsidP="00F97AF3">
      <w:pPr>
        <w:pStyle w:val="Nadpis3"/>
      </w:pPr>
      <w:r w:rsidRPr="00ED38E9">
        <w:t>Stanovení pořadí variant a výběr nejvhodnějšího řešení</w:t>
      </w:r>
    </w:p>
    <w:p w:rsidR="00324860" w:rsidRPr="00ED38E9" w:rsidRDefault="00324860" w:rsidP="00620E6B">
      <w:pPr>
        <w:pStyle w:val="Odstavecseseznamem"/>
        <w:numPr>
          <w:ilvl w:val="0"/>
          <w:numId w:val="19"/>
        </w:numPr>
        <w:contextualSpacing w:val="0"/>
        <w:rPr>
          <w:rFonts w:cs="Arial"/>
          <w:b/>
          <w:bCs/>
        </w:rPr>
      </w:pPr>
      <w:r w:rsidRPr="00ED38E9">
        <w:rPr>
          <w:rFonts w:cs="Arial"/>
          <w:b/>
          <w:bCs/>
        </w:rPr>
        <w:t>Varianta 1</w:t>
      </w:r>
    </w:p>
    <w:p w:rsidR="00324860" w:rsidRPr="00ED38E9" w:rsidRDefault="00324860" w:rsidP="00620E6B">
      <w:pPr>
        <w:pStyle w:val="Odstavecseseznamem"/>
        <w:numPr>
          <w:ilvl w:val="0"/>
          <w:numId w:val="19"/>
        </w:numPr>
        <w:contextualSpacing w:val="0"/>
        <w:rPr>
          <w:rFonts w:cs="Arial"/>
        </w:rPr>
      </w:pPr>
      <w:r w:rsidRPr="00ED38E9">
        <w:rPr>
          <w:rFonts w:cs="Arial"/>
        </w:rPr>
        <w:t>Varianta 0</w:t>
      </w:r>
    </w:p>
    <w:p w:rsidR="00324860" w:rsidRPr="00ED38E9" w:rsidRDefault="00324860" w:rsidP="00620E6B">
      <w:pPr>
        <w:pStyle w:val="Odstavecseseznamem"/>
        <w:numPr>
          <w:ilvl w:val="0"/>
          <w:numId w:val="19"/>
        </w:numPr>
        <w:contextualSpacing w:val="0"/>
        <w:rPr>
          <w:rFonts w:cs="Arial"/>
        </w:rPr>
      </w:pPr>
      <w:r w:rsidRPr="00ED38E9">
        <w:rPr>
          <w:rFonts w:cs="Arial"/>
        </w:rPr>
        <w:t>Varianta 2</w:t>
      </w:r>
    </w:p>
    <w:p w:rsidR="00324860" w:rsidRPr="00ED38E9" w:rsidRDefault="00324860" w:rsidP="00324860">
      <w:pPr>
        <w:rPr>
          <w:rFonts w:cs="Arial"/>
        </w:rPr>
      </w:pPr>
      <w:r w:rsidRPr="00ED38E9">
        <w:rPr>
          <w:rFonts w:cs="Arial"/>
        </w:rPr>
        <w:t>Porovnáme-li situace jednotlivých variant, tak nejvíce výhod představuje Varianta 1, která se od současného stavu liší tím, že se v ní počítá se zahrnutím kolektivního systému a</w:t>
      </w:r>
      <w:r w:rsidR="00814874" w:rsidRPr="00ED38E9">
        <w:rPr>
          <w:rFonts w:cs="Arial"/>
        </w:rPr>
        <w:t> </w:t>
      </w:r>
      <w:r w:rsidRPr="00ED38E9">
        <w:rPr>
          <w:rFonts w:cs="Arial"/>
        </w:rPr>
        <w:t>tím snížení počtu odevzdaných hlášení. V porovnání nebyl zahrnut počet subjektů, který</w:t>
      </w:r>
      <w:r w:rsidR="00800F4F" w:rsidRPr="00ED38E9">
        <w:rPr>
          <w:rFonts w:cs="Arial"/>
        </w:rPr>
        <w:t>ch</w:t>
      </w:r>
      <w:r w:rsidRPr="00ED38E9">
        <w:rPr>
          <w:rFonts w:cs="Arial"/>
        </w:rPr>
        <w:t xml:space="preserve"> se celá evidence bude týkat, ale vše bylo vztaženo k počtu </w:t>
      </w:r>
      <w:r w:rsidR="001F5F9B" w:rsidRPr="00ED38E9">
        <w:rPr>
          <w:rFonts w:cs="Arial"/>
        </w:rPr>
        <w:t>88</w:t>
      </w:r>
      <w:r w:rsidRPr="00ED38E9">
        <w:rPr>
          <w:rFonts w:cs="Arial"/>
        </w:rPr>
        <w:t xml:space="preserve"> subjektů, které splnily svoj</w:t>
      </w:r>
      <w:r w:rsidR="00CF7EF7" w:rsidRPr="00ED38E9">
        <w:rPr>
          <w:rFonts w:cs="Arial"/>
        </w:rPr>
        <w:t>i</w:t>
      </w:r>
      <w:r w:rsidRPr="00ED38E9">
        <w:rPr>
          <w:rFonts w:cs="Arial"/>
        </w:rPr>
        <w:t xml:space="preserve"> ohlašovací povinnost v roce 201</w:t>
      </w:r>
      <w:r w:rsidR="001F5F9B" w:rsidRPr="00ED38E9">
        <w:rPr>
          <w:rFonts w:cs="Arial"/>
        </w:rPr>
        <w:t>4</w:t>
      </w:r>
      <w:r w:rsidRPr="00ED38E9">
        <w:rPr>
          <w:rFonts w:cs="Arial"/>
        </w:rPr>
        <w:t xml:space="preserve"> (data za rok 201</w:t>
      </w:r>
      <w:r w:rsidR="001F5F9B" w:rsidRPr="00ED38E9">
        <w:rPr>
          <w:rFonts w:cs="Arial"/>
        </w:rPr>
        <w:t>3</w:t>
      </w:r>
      <w:r w:rsidRPr="00ED38E9">
        <w:rPr>
          <w:rFonts w:cs="Arial"/>
        </w:rPr>
        <w:t>). Předpokládáme, že výsledný počet subjektů nemá vliv na některé činnosti.</w:t>
      </w:r>
    </w:p>
    <w:p w:rsidR="00BE03B5" w:rsidRPr="00ED38E9" w:rsidRDefault="00BE03B5" w:rsidP="00F97AF3">
      <w:pPr>
        <w:pStyle w:val="Nadpis1"/>
      </w:pPr>
      <w:bookmarkStart w:id="231" w:name="_Toc441759930"/>
      <w:bookmarkStart w:id="232" w:name="_Toc441760197"/>
      <w:r w:rsidRPr="00ED38E9">
        <w:lastRenderedPageBreak/>
        <w:t xml:space="preserve">Výrobce a systém toku </w:t>
      </w:r>
      <w:r w:rsidR="0092438A">
        <w:t>příspěvků na zpětný odběr a zpracování odpadních pneumatik</w:t>
      </w:r>
      <w:bookmarkEnd w:id="231"/>
      <w:bookmarkEnd w:id="232"/>
    </w:p>
    <w:p w:rsidR="00BE03B5" w:rsidRPr="00ED38E9" w:rsidRDefault="00BE03B5" w:rsidP="00F97AF3">
      <w:pPr>
        <w:pStyle w:val="Nadpis2"/>
      </w:pPr>
      <w:bookmarkStart w:id="233" w:name="_Toc441759931"/>
      <w:r w:rsidRPr="00ED38E9">
        <w:t>Důvod předložení a cíle</w:t>
      </w:r>
      <w:bookmarkEnd w:id="233"/>
    </w:p>
    <w:p w:rsidR="00BE03B5" w:rsidRPr="00ED38E9" w:rsidRDefault="00BE03B5" w:rsidP="00F97AF3">
      <w:pPr>
        <w:pStyle w:val="Nadpis3"/>
      </w:pPr>
      <w:r w:rsidRPr="00ED38E9">
        <w:t>Definice problému</w:t>
      </w:r>
    </w:p>
    <w:p w:rsidR="00BE03B5" w:rsidRPr="00ED38E9" w:rsidRDefault="00D25E40" w:rsidP="00BE03B5">
      <w:pPr>
        <w:rPr>
          <w:rFonts w:cs="Arial"/>
        </w:rPr>
      </w:pPr>
      <w:r>
        <w:rPr>
          <w:rFonts w:cs="Arial"/>
        </w:rPr>
        <w:t>V současné době</w:t>
      </w:r>
      <w:r w:rsidR="00BE03B5" w:rsidRPr="00ED38E9">
        <w:rPr>
          <w:rFonts w:cs="Arial"/>
        </w:rPr>
        <w:t xml:space="preserve"> chybí v České republice systém toku </w:t>
      </w:r>
      <w:r>
        <w:rPr>
          <w:rFonts w:cs="Arial"/>
        </w:rPr>
        <w:t>příspěvků na zpětný odběr a zpracování odpadních pneumatik v případech, kdy povinná osoba dodává pneumatiky výrobcům funkčních celků (vozidel), které jsou určené k uvedení na trh mimo ČR</w:t>
      </w:r>
      <w:r w:rsidR="00BE03B5" w:rsidRPr="00ED38E9">
        <w:rPr>
          <w:rFonts w:cs="Arial"/>
        </w:rPr>
        <w:t xml:space="preserve">. V tomto případě je nutné nastavit toky </w:t>
      </w:r>
      <w:r>
        <w:rPr>
          <w:rFonts w:cs="Arial"/>
        </w:rPr>
        <w:t>příspěvků</w:t>
      </w:r>
      <w:r w:rsidR="00BE03B5" w:rsidRPr="00ED38E9">
        <w:rPr>
          <w:rFonts w:cs="Arial"/>
        </w:rPr>
        <w:t>, včetně povinností výrobců.</w:t>
      </w:r>
    </w:p>
    <w:p w:rsidR="00BE03B5" w:rsidRPr="00ED38E9" w:rsidRDefault="00BE03B5" w:rsidP="00F97AF3">
      <w:pPr>
        <w:pStyle w:val="Nadpis3"/>
      </w:pPr>
      <w:r w:rsidRPr="00ED38E9">
        <w:t>Popis existujícího právního stavu v dané oblasti</w:t>
      </w:r>
    </w:p>
    <w:p w:rsidR="00BE03B5" w:rsidRPr="00ED38E9" w:rsidRDefault="00BE03B5" w:rsidP="00BE03B5">
      <w:pPr>
        <w:rPr>
          <w:rFonts w:cs="Arial"/>
        </w:rPr>
      </w:pPr>
      <w:r w:rsidRPr="00ED38E9">
        <w:rPr>
          <w:rFonts w:cs="Arial"/>
        </w:rPr>
        <w:t xml:space="preserve">Zákon o odpadech stanoví </w:t>
      </w:r>
      <w:r w:rsidR="00D40FC0">
        <w:rPr>
          <w:rFonts w:cs="Arial"/>
        </w:rPr>
        <w:t>pro</w:t>
      </w:r>
      <w:r w:rsidR="00D40FC0" w:rsidRPr="00ED38E9">
        <w:rPr>
          <w:rFonts w:cs="Arial"/>
        </w:rPr>
        <w:t xml:space="preserve"> </w:t>
      </w:r>
      <w:r w:rsidRPr="00ED38E9">
        <w:rPr>
          <w:rFonts w:cs="Arial"/>
        </w:rPr>
        <w:t>tzv. povinné osoby, kter</w:t>
      </w:r>
      <w:r w:rsidR="00910BB1">
        <w:rPr>
          <w:rFonts w:cs="Arial"/>
        </w:rPr>
        <w:t>é</w:t>
      </w:r>
      <w:r w:rsidRPr="00ED38E9">
        <w:rPr>
          <w:rFonts w:cs="Arial"/>
        </w:rPr>
        <w:t xml:space="preserve"> pneumatiky vyrábí nebo uvádí na trh v České republice povinnost</w:t>
      </w:r>
      <w:r w:rsidR="00910BB1">
        <w:rPr>
          <w:rFonts w:cs="Arial"/>
        </w:rPr>
        <w:t>platit příspěvky na zpětný odběr a</w:t>
      </w:r>
      <w:r w:rsidR="00097C19">
        <w:rPr>
          <w:rFonts w:cs="Arial"/>
        </w:rPr>
        <w:t xml:space="preserve"> zpracování</w:t>
      </w:r>
      <w:r w:rsidRPr="00ED38E9">
        <w:rPr>
          <w:rFonts w:cs="Arial"/>
        </w:rPr>
        <w:t xml:space="preserve"> odpadních pneumatik</w:t>
      </w:r>
      <w:r w:rsidR="00910BB1">
        <w:rPr>
          <w:rFonts w:cs="Arial"/>
        </w:rPr>
        <w:t xml:space="preserve"> i v případě, kdy jsou pneumatiky dodávány výrobcům funkčních celků, které jsou určené k uvedení na trh mimo ČR</w:t>
      </w:r>
      <w:r w:rsidRPr="00ED38E9">
        <w:rPr>
          <w:rFonts w:cs="Arial"/>
        </w:rPr>
        <w:t>.</w:t>
      </w:r>
    </w:p>
    <w:p w:rsidR="00BE03B5" w:rsidRPr="00ED38E9" w:rsidRDefault="00BE03B5" w:rsidP="00F97AF3">
      <w:pPr>
        <w:pStyle w:val="Nadpis3"/>
      </w:pPr>
      <w:r w:rsidRPr="00ED38E9">
        <w:t>Identifikace dotčených subjektů</w:t>
      </w:r>
    </w:p>
    <w:p w:rsidR="00BE03B5" w:rsidRPr="00ED38E9" w:rsidRDefault="00BE03B5" w:rsidP="002D66F0">
      <w:pPr>
        <w:pStyle w:val="Odstavecseseznamem"/>
        <w:numPr>
          <w:ilvl w:val="0"/>
          <w:numId w:val="22"/>
        </w:numPr>
        <w:contextualSpacing w:val="0"/>
        <w:rPr>
          <w:rFonts w:cs="Arial"/>
        </w:rPr>
      </w:pPr>
      <w:r w:rsidRPr="00ED38E9">
        <w:rPr>
          <w:rFonts w:cs="Arial"/>
        </w:rPr>
        <w:t>výrobci vozidel na území České republiky (např. Škoda Auto a.s.),</w:t>
      </w:r>
    </w:p>
    <w:p w:rsidR="00BE03B5" w:rsidRPr="00ED38E9" w:rsidRDefault="00BE03B5" w:rsidP="002D66F0">
      <w:pPr>
        <w:pStyle w:val="Odstavecseseznamem"/>
        <w:numPr>
          <w:ilvl w:val="0"/>
          <w:numId w:val="22"/>
        </w:numPr>
        <w:contextualSpacing w:val="0"/>
        <w:rPr>
          <w:rFonts w:cs="Arial"/>
        </w:rPr>
      </w:pPr>
      <w:r w:rsidRPr="00ED38E9">
        <w:rPr>
          <w:rFonts w:cs="Arial"/>
        </w:rPr>
        <w:t>výrobci pneumatik (např. Mitas a.s., Continental Barum s.r.o.).</w:t>
      </w:r>
    </w:p>
    <w:p w:rsidR="00BE03B5" w:rsidRPr="00ED38E9" w:rsidRDefault="00BE03B5" w:rsidP="00F97AF3">
      <w:pPr>
        <w:pStyle w:val="Nadpis3"/>
      </w:pPr>
      <w:r w:rsidRPr="00ED38E9">
        <w:t>Popis cílového stavu</w:t>
      </w:r>
    </w:p>
    <w:p w:rsidR="00BE03B5" w:rsidRPr="00ED38E9" w:rsidRDefault="00BE03B5" w:rsidP="00BE03B5">
      <w:pPr>
        <w:rPr>
          <w:rFonts w:cs="Arial"/>
        </w:rPr>
      </w:pPr>
      <w:r w:rsidRPr="00ED38E9">
        <w:rPr>
          <w:rFonts w:cs="Arial"/>
        </w:rPr>
        <w:t xml:space="preserve">Cílem je dosáhnout jednoduchého systému pro vykazování a platby </w:t>
      </w:r>
      <w:r w:rsidR="00C62090">
        <w:rPr>
          <w:rFonts w:cs="Arial"/>
        </w:rPr>
        <w:t>příspěvků</w:t>
      </w:r>
      <w:r w:rsidRPr="00ED38E9">
        <w:rPr>
          <w:rFonts w:cs="Arial"/>
        </w:rPr>
        <w:t xml:space="preserve">. </w:t>
      </w:r>
    </w:p>
    <w:p w:rsidR="00BE03B5" w:rsidRPr="00ED38E9" w:rsidRDefault="00BE03B5" w:rsidP="00F97AF3">
      <w:pPr>
        <w:pStyle w:val="Nadpis3"/>
      </w:pPr>
      <w:r w:rsidRPr="00ED38E9">
        <w:t>Zhodnocení rizika</w:t>
      </w:r>
    </w:p>
    <w:p w:rsidR="00BE03B5" w:rsidRPr="00ED38E9" w:rsidRDefault="00BE03B5" w:rsidP="00BE03B5">
      <w:pPr>
        <w:rPr>
          <w:rFonts w:cs="Arial"/>
        </w:rPr>
      </w:pPr>
      <w:r w:rsidRPr="00ED38E9">
        <w:rPr>
          <w:rFonts w:cs="Arial"/>
        </w:rPr>
        <w:t xml:space="preserve">Hlavním rizikem v případě, </w:t>
      </w:r>
      <w:r w:rsidR="008D1516">
        <w:rPr>
          <w:rFonts w:cs="Arial"/>
        </w:rPr>
        <w:t xml:space="preserve">že </w:t>
      </w:r>
      <w:r w:rsidR="00BA19C6">
        <w:rPr>
          <w:rFonts w:cs="Arial"/>
        </w:rPr>
        <w:t xml:space="preserve">povinnou osobou </w:t>
      </w:r>
      <w:r w:rsidR="008D1516">
        <w:rPr>
          <w:rFonts w:cs="Arial"/>
        </w:rPr>
        <w:t>budou přímo výrobci funkčních celků</w:t>
      </w:r>
      <w:r w:rsidR="00BA19C6">
        <w:rPr>
          <w:rFonts w:cs="Arial"/>
        </w:rPr>
        <w:t>,</w:t>
      </w:r>
      <w:r w:rsidR="008D1516">
        <w:rPr>
          <w:rFonts w:cs="Arial"/>
        </w:rPr>
        <w:t xml:space="preserve"> je únik pneumatik z evidence v</w:t>
      </w:r>
      <w:r w:rsidR="00BA19C6">
        <w:rPr>
          <w:rFonts w:cs="Arial"/>
        </w:rPr>
        <w:t>ý</w:t>
      </w:r>
      <w:r w:rsidR="008D1516">
        <w:rPr>
          <w:rFonts w:cs="Arial"/>
        </w:rPr>
        <w:t>robků uvedených na trh</w:t>
      </w:r>
      <w:r w:rsidRPr="00ED38E9">
        <w:rPr>
          <w:rFonts w:cs="Arial"/>
        </w:rPr>
        <w:t>.</w:t>
      </w:r>
    </w:p>
    <w:p w:rsidR="00BE03B5" w:rsidRPr="00ED38E9" w:rsidRDefault="00BE03B5" w:rsidP="00F97AF3">
      <w:pPr>
        <w:pStyle w:val="Nadpis2"/>
      </w:pPr>
      <w:bookmarkStart w:id="234" w:name="_Toc441759932"/>
      <w:r w:rsidRPr="00ED38E9">
        <w:t>Návrh variant řešení</w:t>
      </w:r>
      <w:bookmarkEnd w:id="234"/>
    </w:p>
    <w:p w:rsidR="00BE03B5" w:rsidRPr="00ED38E9" w:rsidRDefault="00BE03B5" w:rsidP="00F97AF3">
      <w:pPr>
        <w:pStyle w:val="Nadpis3"/>
      </w:pPr>
      <w:r w:rsidRPr="00ED38E9">
        <w:t>Varianta 0</w:t>
      </w:r>
    </w:p>
    <w:p w:rsidR="00BE03B5" w:rsidRPr="00ED38E9" w:rsidRDefault="00BE03B5" w:rsidP="00BE03B5">
      <w:pPr>
        <w:rPr>
          <w:rFonts w:cs="Arial"/>
        </w:rPr>
      </w:pPr>
      <w:r w:rsidRPr="00ED38E9">
        <w:rPr>
          <w:rFonts w:cs="Arial"/>
        </w:rPr>
        <w:t xml:space="preserve">Ponechání současného stavu, tzn. bez nastavení jasných pravidel toku </w:t>
      </w:r>
      <w:r w:rsidR="00C62090">
        <w:rPr>
          <w:rFonts w:cs="Arial"/>
        </w:rPr>
        <w:t>příspěvků</w:t>
      </w:r>
      <w:r w:rsidR="00C62090" w:rsidRPr="00ED38E9">
        <w:rPr>
          <w:rFonts w:cs="Arial"/>
        </w:rPr>
        <w:t xml:space="preserve"> </w:t>
      </w:r>
      <w:r w:rsidRPr="00ED38E9">
        <w:rPr>
          <w:rFonts w:cs="Arial"/>
        </w:rPr>
        <w:t>v rámci kolektivního či individuálního plnění.</w:t>
      </w:r>
    </w:p>
    <w:p w:rsidR="00BE03B5" w:rsidRPr="00ED38E9" w:rsidRDefault="00BE03B5" w:rsidP="00F97AF3">
      <w:pPr>
        <w:pStyle w:val="Nadpis3"/>
      </w:pPr>
      <w:r w:rsidRPr="00ED38E9">
        <w:t>Varianta 1</w:t>
      </w:r>
    </w:p>
    <w:p w:rsidR="00BE03B5" w:rsidRPr="00ED38E9" w:rsidRDefault="00BE03B5" w:rsidP="00BE03B5">
      <w:pPr>
        <w:rPr>
          <w:rFonts w:cs="Arial"/>
        </w:rPr>
      </w:pPr>
      <w:r w:rsidRPr="00ED38E9">
        <w:rPr>
          <w:rFonts w:cs="Arial"/>
        </w:rPr>
        <w:t xml:space="preserve">Výrobce pneumatik bude odvádět </w:t>
      </w:r>
      <w:r w:rsidR="00BA19C6">
        <w:rPr>
          <w:rFonts w:cs="Arial"/>
        </w:rPr>
        <w:t>příspěvek</w:t>
      </w:r>
      <w:r w:rsidR="00BA19C6" w:rsidRPr="00ED38E9">
        <w:rPr>
          <w:rFonts w:cs="Arial"/>
        </w:rPr>
        <w:t xml:space="preserve"> </w:t>
      </w:r>
      <w:r w:rsidRPr="00ED38E9">
        <w:rPr>
          <w:rFonts w:cs="Arial"/>
        </w:rPr>
        <w:t xml:space="preserve">za všechny pneumatiky, které uvede na český trh, tzn. </w:t>
      </w:r>
      <w:r w:rsidR="00BA19C6">
        <w:rPr>
          <w:rFonts w:cs="Arial"/>
        </w:rPr>
        <w:t>i za pneumatiky dodané</w:t>
      </w:r>
      <w:r w:rsidRPr="00ED38E9">
        <w:rPr>
          <w:rFonts w:cs="Arial"/>
        </w:rPr>
        <w:t xml:space="preserve"> výrobcům vozidel působícím v České republice.</w:t>
      </w:r>
    </w:p>
    <w:p w:rsidR="00BE03B5" w:rsidRPr="00ED38E9" w:rsidRDefault="00BE03B5" w:rsidP="00BE03B5">
      <w:pPr>
        <w:rPr>
          <w:rFonts w:cs="Arial"/>
        </w:rPr>
      </w:pPr>
      <w:r w:rsidRPr="00ED38E9">
        <w:rPr>
          <w:rFonts w:cs="Arial"/>
          <w:lang w:eastAsia="cs-CZ" w:bidi="ar-SA"/>
        </w:rPr>
        <w:lastRenderedPageBreak/>
        <w:drawing>
          <wp:inline distT="0" distB="0" distL="0" distR="0" wp14:anchorId="0218D5E0" wp14:editId="0DD1A687">
            <wp:extent cx="5760720" cy="3954106"/>
            <wp:effectExtent l="19050" t="19050" r="11430" b="2794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3954106"/>
                    </a:xfrm>
                    <a:prstGeom prst="rect">
                      <a:avLst/>
                    </a:prstGeom>
                    <a:noFill/>
                    <a:ln w="9525">
                      <a:solidFill>
                        <a:schemeClr val="tx1"/>
                      </a:solidFill>
                      <a:miter lim="800000"/>
                      <a:headEnd/>
                      <a:tailEnd/>
                    </a:ln>
                  </pic:spPr>
                </pic:pic>
              </a:graphicData>
            </a:graphic>
          </wp:inline>
        </w:drawing>
      </w:r>
    </w:p>
    <w:p w:rsidR="00BE03B5" w:rsidRPr="00ED38E9" w:rsidRDefault="00BE03B5" w:rsidP="00BE03B5">
      <w:pPr>
        <w:pStyle w:val="Titulek"/>
        <w:rPr>
          <w:rFonts w:cs="Arial"/>
        </w:rPr>
      </w:pPr>
      <w:r w:rsidRPr="00ED38E9">
        <w:rPr>
          <w:rFonts w:cs="Arial"/>
        </w:rPr>
        <w:t xml:space="preserve">Obrázek </w:t>
      </w:r>
      <w:r w:rsidR="00381FB7" w:rsidRPr="00ED38E9">
        <w:rPr>
          <w:rFonts w:cs="Arial"/>
        </w:rPr>
        <w:fldChar w:fldCharType="begin"/>
      </w:r>
      <w:r w:rsidRPr="00ED38E9">
        <w:rPr>
          <w:rFonts w:cs="Arial"/>
        </w:rPr>
        <w:instrText xml:space="preserve"> SEQ Obrázek \* ARABIC </w:instrText>
      </w:r>
      <w:r w:rsidR="00381FB7" w:rsidRPr="00ED38E9">
        <w:rPr>
          <w:rFonts w:cs="Arial"/>
        </w:rPr>
        <w:fldChar w:fldCharType="separate"/>
      </w:r>
      <w:r w:rsidR="002A3964" w:rsidRPr="00ED38E9">
        <w:rPr>
          <w:rFonts w:cs="Arial"/>
        </w:rPr>
        <w:t>12</w:t>
      </w:r>
      <w:r w:rsidR="00381FB7" w:rsidRPr="00ED38E9">
        <w:rPr>
          <w:rFonts w:cs="Arial"/>
        </w:rPr>
        <w:fldChar w:fldCharType="end"/>
      </w:r>
      <w:r w:rsidRPr="00ED38E9">
        <w:rPr>
          <w:rFonts w:cs="Arial"/>
        </w:rPr>
        <w:t>: Schéma toku pneumatik včetně poplatků a refundace</w:t>
      </w:r>
    </w:p>
    <w:p w:rsidR="00BE03B5" w:rsidRPr="00ED38E9" w:rsidRDefault="00BE03B5" w:rsidP="00F97AF3">
      <w:pPr>
        <w:pStyle w:val="Nadpis3"/>
      </w:pPr>
      <w:r w:rsidRPr="00ED38E9">
        <w:t>Varianta 2</w:t>
      </w:r>
    </w:p>
    <w:p w:rsidR="00BE03B5" w:rsidRPr="00ED38E9" w:rsidRDefault="00BE03B5" w:rsidP="00BE03B5">
      <w:pPr>
        <w:rPr>
          <w:rFonts w:cs="Arial"/>
        </w:rPr>
      </w:pPr>
      <w:r w:rsidRPr="00ED38E9">
        <w:rPr>
          <w:rFonts w:cs="Arial"/>
        </w:rPr>
        <w:t xml:space="preserve">Výrobce pneumatik bude hradit </w:t>
      </w:r>
      <w:r w:rsidR="00B76493">
        <w:rPr>
          <w:rFonts w:cs="Arial"/>
        </w:rPr>
        <w:t>příspěvky</w:t>
      </w:r>
      <w:r w:rsidR="00B76493" w:rsidRPr="00ED38E9">
        <w:rPr>
          <w:rFonts w:cs="Arial"/>
        </w:rPr>
        <w:t xml:space="preserve"> </w:t>
      </w:r>
      <w:r w:rsidRPr="00ED38E9">
        <w:rPr>
          <w:rFonts w:cs="Arial"/>
        </w:rPr>
        <w:t>pouze za pneumatiky, které uvede na český trh sám nebo prostřednictvím dalšího prodejce pneumatik. P</w:t>
      </w:r>
      <w:r w:rsidR="00104AF7">
        <w:rPr>
          <w:rFonts w:cs="Arial"/>
        </w:rPr>
        <w:t>říspěvek</w:t>
      </w:r>
      <w:r w:rsidRPr="00ED38E9">
        <w:rPr>
          <w:rFonts w:cs="Arial"/>
        </w:rPr>
        <w:t xml:space="preserve"> nebude odvádět v rámci prodeje pneumatik výrobcům vozidel jako první výbava. Tento </w:t>
      </w:r>
      <w:r w:rsidR="00104AF7">
        <w:rPr>
          <w:rFonts w:cs="Arial"/>
        </w:rPr>
        <w:t>příspěvek</w:t>
      </w:r>
      <w:r w:rsidRPr="00ED38E9">
        <w:rPr>
          <w:rFonts w:cs="Arial"/>
        </w:rPr>
        <w:t xml:space="preserve"> pak odvedou sami výrobci </w:t>
      </w:r>
      <w:r w:rsidR="00104AF7">
        <w:rPr>
          <w:rFonts w:cs="Arial"/>
        </w:rPr>
        <w:t xml:space="preserve">vozidel, </w:t>
      </w:r>
      <w:r w:rsidRPr="00ED38E9">
        <w:rPr>
          <w:rFonts w:cs="Arial"/>
        </w:rPr>
        <w:t>a to pouze u vozidel, která uvedou na český trh. Tím se sníží administrativa spojená s vykazováním množství pneumatik prodaných na tuzemském trhu v rámci nového vozidla výrobcům pneumatik a s refundacemi.</w:t>
      </w:r>
    </w:p>
    <w:p w:rsidR="00BE03B5" w:rsidRPr="00ED38E9" w:rsidRDefault="00BE03B5" w:rsidP="00BE03B5">
      <w:pPr>
        <w:rPr>
          <w:rFonts w:cs="Arial"/>
        </w:rPr>
      </w:pPr>
      <w:r w:rsidRPr="00ED38E9">
        <w:rPr>
          <w:rFonts w:cs="Arial"/>
        </w:rPr>
        <w:t>V tomto případě se jedná o výrobce Škoda, TPCA, Hyundai, Avia, Tatra, IRISBUS a SOR.</w:t>
      </w:r>
    </w:p>
    <w:p w:rsidR="00BE03B5" w:rsidRPr="00ED38E9" w:rsidRDefault="00BE03B5" w:rsidP="00BE03B5">
      <w:pPr>
        <w:keepNext/>
        <w:rPr>
          <w:rFonts w:cs="Arial"/>
        </w:rPr>
      </w:pPr>
      <w:r w:rsidRPr="00ED38E9">
        <w:rPr>
          <w:rFonts w:cs="Arial"/>
          <w:lang w:eastAsia="cs-CZ" w:bidi="ar-SA"/>
        </w:rPr>
        <w:lastRenderedPageBreak/>
        <w:drawing>
          <wp:inline distT="0" distB="0" distL="0" distR="0" wp14:anchorId="3EEE4CB5" wp14:editId="5701870E">
            <wp:extent cx="5760720" cy="3814391"/>
            <wp:effectExtent l="19050" t="19050" r="11430" b="1524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0720" cy="3814391"/>
                    </a:xfrm>
                    <a:prstGeom prst="rect">
                      <a:avLst/>
                    </a:prstGeom>
                    <a:noFill/>
                    <a:ln w="9525">
                      <a:solidFill>
                        <a:schemeClr val="tx1"/>
                      </a:solidFill>
                      <a:miter lim="800000"/>
                      <a:headEnd/>
                      <a:tailEnd/>
                    </a:ln>
                  </pic:spPr>
                </pic:pic>
              </a:graphicData>
            </a:graphic>
          </wp:inline>
        </w:drawing>
      </w:r>
    </w:p>
    <w:p w:rsidR="00BE03B5" w:rsidRPr="00ED38E9" w:rsidRDefault="00BE03B5" w:rsidP="00BE03B5">
      <w:pPr>
        <w:pStyle w:val="Titulek"/>
        <w:spacing w:before="120"/>
        <w:rPr>
          <w:rFonts w:cs="Arial"/>
        </w:rPr>
      </w:pPr>
      <w:r w:rsidRPr="00ED38E9">
        <w:rPr>
          <w:rFonts w:cs="Arial"/>
        </w:rPr>
        <w:t xml:space="preserve">Obrázek </w:t>
      </w:r>
      <w:r w:rsidR="00381FB7" w:rsidRPr="00ED38E9">
        <w:rPr>
          <w:rFonts w:cs="Arial"/>
        </w:rPr>
        <w:fldChar w:fldCharType="begin"/>
      </w:r>
      <w:r w:rsidRPr="00ED38E9">
        <w:rPr>
          <w:rFonts w:cs="Arial"/>
        </w:rPr>
        <w:instrText xml:space="preserve"> SEQ Obrázek \* ARABIC </w:instrText>
      </w:r>
      <w:r w:rsidR="00381FB7" w:rsidRPr="00ED38E9">
        <w:rPr>
          <w:rFonts w:cs="Arial"/>
        </w:rPr>
        <w:fldChar w:fldCharType="separate"/>
      </w:r>
      <w:r w:rsidR="002A3964" w:rsidRPr="00ED38E9">
        <w:rPr>
          <w:rFonts w:cs="Arial"/>
        </w:rPr>
        <w:t>13</w:t>
      </w:r>
      <w:r w:rsidR="00381FB7" w:rsidRPr="00ED38E9">
        <w:rPr>
          <w:rFonts w:cs="Arial"/>
        </w:rPr>
        <w:fldChar w:fldCharType="end"/>
      </w:r>
      <w:r w:rsidRPr="00ED38E9">
        <w:rPr>
          <w:rFonts w:cs="Arial"/>
        </w:rPr>
        <w:t xml:space="preserve">: Schéma toku pneumatik včetně </w:t>
      </w:r>
      <w:r w:rsidR="006846A1">
        <w:rPr>
          <w:rFonts w:cs="Arial"/>
        </w:rPr>
        <w:t>příspěvků</w:t>
      </w:r>
    </w:p>
    <w:p w:rsidR="00BE03B5" w:rsidRPr="00ED38E9" w:rsidRDefault="00BE03B5" w:rsidP="00F97AF3">
      <w:pPr>
        <w:pStyle w:val="Nadpis2"/>
      </w:pPr>
      <w:bookmarkStart w:id="235" w:name="_Toc441759933"/>
      <w:r w:rsidRPr="00ED38E9">
        <w:t>Vyhodnocení nákladů a přínosů</w:t>
      </w:r>
      <w:bookmarkEnd w:id="235"/>
    </w:p>
    <w:p w:rsidR="00BE03B5" w:rsidRPr="00ED38E9" w:rsidRDefault="00BE03B5" w:rsidP="00F97AF3">
      <w:pPr>
        <w:pStyle w:val="Nadpis3"/>
      </w:pPr>
      <w:r w:rsidRPr="00ED38E9">
        <w:t>Identifikace nákladů a přínosů</w:t>
      </w:r>
    </w:p>
    <w:p w:rsidR="00BE03B5" w:rsidRPr="00ED38E9" w:rsidRDefault="00BE03B5" w:rsidP="002D66F0">
      <w:pPr>
        <w:pStyle w:val="Odstavecseseznamem"/>
        <w:numPr>
          <w:ilvl w:val="0"/>
          <w:numId w:val="23"/>
        </w:numPr>
        <w:spacing w:before="240" w:after="120"/>
        <w:contextualSpacing w:val="0"/>
        <w:rPr>
          <w:rFonts w:cs="Arial"/>
        </w:rPr>
      </w:pPr>
      <w:r w:rsidRPr="00ED38E9">
        <w:rPr>
          <w:rFonts w:cs="Arial"/>
        </w:rPr>
        <w:t>Varianta 0</w:t>
      </w:r>
    </w:p>
    <w:p w:rsidR="00BE03B5" w:rsidRPr="00ED38E9" w:rsidRDefault="00BE03B5" w:rsidP="00BE03B5">
      <w:pPr>
        <w:rPr>
          <w:rFonts w:cs="Arial"/>
        </w:rPr>
      </w:pPr>
      <w:r w:rsidRPr="00ED38E9">
        <w:rPr>
          <w:rFonts w:cs="Arial"/>
        </w:rPr>
        <w:t xml:space="preserve">Tato varianta nepřináší žádné výhody ani zjednodušení situace zpětného odběru odpadních pneumatik, protože některý prodejce má </w:t>
      </w:r>
      <w:r w:rsidR="00CA5D23">
        <w:rPr>
          <w:rFonts w:cs="Arial"/>
        </w:rPr>
        <w:t>příspěvek</w:t>
      </w:r>
      <w:r w:rsidR="00CA5D23" w:rsidRPr="00ED38E9">
        <w:rPr>
          <w:rFonts w:cs="Arial"/>
        </w:rPr>
        <w:t xml:space="preserve"> </w:t>
      </w:r>
      <w:r w:rsidRPr="00ED38E9">
        <w:rPr>
          <w:rFonts w:cs="Arial"/>
        </w:rPr>
        <w:t>již zahrnutý v ceně nové pneumatiky a některý ne. Tím vznikají i cenové rozdíly a nerovné podmínky na trhu.</w:t>
      </w:r>
    </w:p>
    <w:p w:rsidR="00BE03B5" w:rsidRPr="00ED38E9" w:rsidRDefault="00BE03B5" w:rsidP="002D66F0">
      <w:pPr>
        <w:pStyle w:val="Odstavecseseznamem"/>
        <w:numPr>
          <w:ilvl w:val="0"/>
          <w:numId w:val="23"/>
        </w:numPr>
        <w:spacing w:before="240" w:after="120"/>
        <w:contextualSpacing w:val="0"/>
        <w:rPr>
          <w:rFonts w:cs="Arial"/>
        </w:rPr>
      </w:pPr>
      <w:r w:rsidRPr="00ED38E9">
        <w:rPr>
          <w:rFonts w:cs="Arial"/>
        </w:rPr>
        <w:t>Varianta 1</w:t>
      </w:r>
    </w:p>
    <w:p w:rsidR="00BE03B5" w:rsidRPr="00ED38E9" w:rsidRDefault="00BE03B5" w:rsidP="00BE03B5">
      <w:pPr>
        <w:rPr>
          <w:rFonts w:cs="Arial"/>
        </w:rPr>
      </w:pPr>
      <w:r w:rsidRPr="00ED38E9">
        <w:rPr>
          <w:rFonts w:cs="Arial"/>
        </w:rPr>
        <w:t xml:space="preserve">Přínosem této varianty jsou jasná pravidla, která stanovují toky </w:t>
      </w:r>
      <w:r w:rsidR="00CA5D23">
        <w:rPr>
          <w:rFonts w:cs="Arial"/>
        </w:rPr>
        <w:t>příspěvků</w:t>
      </w:r>
      <w:r w:rsidRPr="00ED38E9">
        <w:rPr>
          <w:rFonts w:cs="Arial"/>
        </w:rPr>
        <w:t xml:space="preserve">. Za náklady a komplikace lze považovat komunikaci výrobce pneumatik s výrobcem vozidel, kdy výrobce pneumatik odvede </w:t>
      </w:r>
      <w:r w:rsidR="00CA5D23">
        <w:rPr>
          <w:rFonts w:cs="Arial"/>
        </w:rPr>
        <w:t>příspěvek</w:t>
      </w:r>
      <w:r w:rsidRPr="00ED38E9">
        <w:rPr>
          <w:rFonts w:cs="Arial"/>
        </w:rPr>
        <w:t xml:space="preserve"> za veškeré pneumatiky prodané výrobci vozidel jako první výbava. Poté musí proběhnout komunikace s informacemi o počtu pneumatik, které byly exportovány společně s novými vozidly do zahraničí. Období mezi prodejem výrobci vozidel a uvedením na trh či exportu může být i několik měsíců. V této době pak jsou peněžní prostředky uloženy v bankovních institucích, kde se určitým způsobem zhodnocují. Záleží na majiteli daného účtu, komu poté jdou výnosy z uložených peněz. V závěru výrobce pneumatik zažádá o refundaci odvedených </w:t>
      </w:r>
      <w:r w:rsidR="00CA5D23">
        <w:rPr>
          <w:rFonts w:cs="Arial"/>
        </w:rPr>
        <w:t>příspěvků</w:t>
      </w:r>
      <w:r w:rsidRPr="00ED38E9">
        <w:rPr>
          <w:rFonts w:cs="Arial"/>
        </w:rPr>
        <w:t xml:space="preserve"> kolektivnímu systému či z vlastního účtu v rámci individuálního plnění. Vycházíme-li z počtu vozidel, které byly na území České republiky vyrobeny v roce 2012 (osobní automobily, autobusy, nákladní vozy), a počtu kolik z těchto vozidel bylo prodáno na našem území, tak zjistíme, že by v rámci refundací muselo být převáděno celkem cca 169 mil. Kč v případě recyklačního </w:t>
      </w:r>
      <w:r w:rsidR="00CA5D23">
        <w:rPr>
          <w:rFonts w:cs="Arial"/>
        </w:rPr>
        <w:t>příspěvku</w:t>
      </w:r>
      <w:r w:rsidRPr="00ED38E9">
        <w:rPr>
          <w:rFonts w:cs="Arial"/>
        </w:rPr>
        <w:t xml:space="preserve"> 3 Kč/kg (jedná se </w:t>
      </w:r>
      <w:r w:rsidRPr="00ED38E9">
        <w:rPr>
          <w:rFonts w:cs="Arial"/>
        </w:rPr>
        <w:lastRenderedPageBreak/>
        <w:t>o</w:t>
      </w:r>
      <w:r w:rsidR="00895DED" w:rsidRPr="00ED38E9">
        <w:rPr>
          <w:rFonts w:cs="Arial"/>
        </w:rPr>
        <w:t> </w:t>
      </w:r>
      <w:r w:rsidRPr="00ED38E9">
        <w:rPr>
          <w:rFonts w:cs="Arial"/>
        </w:rPr>
        <w:t>hrubý odhad, který nejvíce ovlivňují náklady na logistiku – zdroj: Filák, R.). V roce 2012 by se jednalo cca o částku 169 mil. Kč a v roce 2013 o částku cca 162 mil. Kč. Z těchto hodnot a objemu výroby předpokládáme, že by refundace mohly být každý rok kolem 165 mil. Kč.</w:t>
      </w: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55</w:t>
      </w:r>
      <w:r w:rsidR="00381FB7" w:rsidRPr="00ED38E9">
        <w:rPr>
          <w:rFonts w:cs="Arial"/>
        </w:rPr>
        <w:fldChar w:fldCharType="end"/>
      </w:r>
      <w:r w:rsidRPr="00ED38E9">
        <w:rPr>
          <w:rFonts w:cs="Arial"/>
        </w:rPr>
        <w:t xml:space="preserve">: Celkový přehled o výrobě a prodeji osobních vozidel tuzemských výrobců včetně </w:t>
      </w:r>
      <w:r w:rsidR="00CA5D23">
        <w:rPr>
          <w:rFonts w:cs="Arial"/>
        </w:rPr>
        <w:t>příspěvků</w:t>
      </w:r>
      <w:r w:rsidRPr="00ED38E9">
        <w:rPr>
          <w:rFonts w:cs="Arial"/>
        </w:rPr>
        <w:t xml:space="preserve"> (zdroj: SAP, 2012)</w:t>
      </w:r>
    </w:p>
    <w:p w:rsidR="00BE03B5" w:rsidRPr="00ED38E9" w:rsidRDefault="00BE03B5" w:rsidP="00BE03B5">
      <w:pPr>
        <w:keepNext/>
        <w:rPr>
          <w:rFonts w:cs="Arial"/>
        </w:rPr>
      </w:pPr>
      <w:r w:rsidRPr="00ED38E9">
        <w:rPr>
          <w:rFonts w:cs="Arial"/>
          <w:lang w:eastAsia="cs-CZ" w:bidi="ar-SA"/>
        </w:rPr>
        <w:drawing>
          <wp:inline distT="0" distB="0" distL="0" distR="0" wp14:anchorId="70A712FA" wp14:editId="548FFA6E">
            <wp:extent cx="5760720" cy="1047301"/>
            <wp:effectExtent l="0" t="0" r="0" b="63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720" cy="1047301"/>
                    </a:xfrm>
                    <a:prstGeom prst="rect">
                      <a:avLst/>
                    </a:prstGeom>
                    <a:noFill/>
                    <a:ln>
                      <a:noFill/>
                    </a:ln>
                  </pic:spPr>
                </pic:pic>
              </a:graphicData>
            </a:graphic>
          </wp:inline>
        </w:drawing>
      </w: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56</w:t>
      </w:r>
      <w:r w:rsidR="00381FB7" w:rsidRPr="00ED38E9">
        <w:rPr>
          <w:rFonts w:cs="Arial"/>
        </w:rPr>
        <w:fldChar w:fldCharType="end"/>
      </w:r>
      <w:r w:rsidRPr="00ED38E9">
        <w:rPr>
          <w:rFonts w:cs="Arial"/>
        </w:rPr>
        <w:t xml:space="preserve">: Celkový přehled o výrobě a prodeji osobních vozidel tuzemských výrobců včetně </w:t>
      </w:r>
      <w:r w:rsidR="00CA5D23">
        <w:rPr>
          <w:rFonts w:cs="Arial"/>
        </w:rPr>
        <w:t>příspěvků</w:t>
      </w:r>
      <w:r w:rsidRPr="00ED38E9">
        <w:rPr>
          <w:rFonts w:cs="Arial"/>
        </w:rPr>
        <w:t xml:space="preserve"> (zdroj: SAP, 2013)</w:t>
      </w:r>
    </w:p>
    <w:p w:rsidR="00BE03B5" w:rsidRPr="00ED38E9" w:rsidRDefault="00BE03B5" w:rsidP="00BE03B5">
      <w:pPr>
        <w:keepNext/>
        <w:rPr>
          <w:rFonts w:cs="Arial"/>
        </w:rPr>
      </w:pPr>
      <w:r w:rsidRPr="00ED38E9">
        <w:rPr>
          <w:rFonts w:cs="Arial"/>
          <w:lang w:eastAsia="cs-CZ" w:bidi="ar-SA"/>
        </w:rPr>
        <w:drawing>
          <wp:inline distT="0" distB="0" distL="0" distR="0" wp14:anchorId="3287204F" wp14:editId="04EF4215">
            <wp:extent cx="5760720" cy="1049602"/>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60720" cy="1049602"/>
                    </a:xfrm>
                    <a:prstGeom prst="rect">
                      <a:avLst/>
                    </a:prstGeom>
                    <a:noFill/>
                    <a:ln>
                      <a:noFill/>
                    </a:ln>
                  </pic:spPr>
                </pic:pic>
              </a:graphicData>
            </a:graphic>
          </wp:inline>
        </w:drawing>
      </w: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57</w:t>
      </w:r>
      <w:r w:rsidR="00381FB7" w:rsidRPr="00ED38E9">
        <w:rPr>
          <w:rFonts w:cs="Arial"/>
        </w:rPr>
        <w:fldChar w:fldCharType="end"/>
      </w:r>
      <w:r w:rsidRPr="00ED38E9">
        <w:rPr>
          <w:rFonts w:cs="Arial"/>
        </w:rPr>
        <w:t xml:space="preserve">: Celkový přehled o výrobě a prodeji nákladních vozidel tuzemských výrobců včetně </w:t>
      </w:r>
      <w:r w:rsidR="005C6327">
        <w:rPr>
          <w:rFonts w:cs="Arial"/>
        </w:rPr>
        <w:t>příspěvků</w:t>
      </w:r>
      <w:r w:rsidRPr="00ED38E9">
        <w:rPr>
          <w:rFonts w:cs="Arial"/>
        </w:rPr>
        <w:t xml:space="preserve"> (zdroj: SAP, 2012)</w:t>
      </w:r>
    </w:p>
    <w:p w:rsidR="00BE03B5" w:rsidRPr="00ED38E9" w:rsidRDefault="00BE03B5" w:rsidP="00BE03B5">
      <w:pPr>
        <w:keepNext/>
        <w:rPr>
          <w:rFonts w:cs="Arial"/>
        </w:rPr>
      </w:pPr>
      <w:r w:rsidRPr="00ED38E9">
        <w:rPr>
          <w:rFonts w:cs="Arial"/>
          <w:lang w:eastAsia="cs-CZ" w:bidi="ar-SA"/>
        </w:rPr>
        <w:drawing>
          <wp:inline distT="0" distB="0" distL="0" distR="0" wp14:anchorId="69C6C8C3" wp14:editId="0A10D655">
            <wp:extent cx="5760720" cy="1047301"/>
            <wp:effectExtent l="0" t="0" r="0" b="63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1047301"/>
                    </a:xfrm>
                    <a:prstGeom prst="rect">
                      <a:avLst/>
                    </a:prstGeom>
                    <a:noFill/>
                    <a:ln>
                      <a:noFill/>
                    </a:ln>
                  </pic:spPr>
                </pic:pic>
              </a:graphicData>
            </a:graphic>
          </wp:inline>
        </w:drawing>
      </w: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58</w:t>
      </w:r>
      <w:r w:rsidR="00381FB7" w:rsidRPr="00ED38E9">
        <w:rPr>
          <w:rFonts w:cs="Arial"/>
        </w:rPr>
        <w:fldChar w:fldCharType="end"/>
      </w:r>
      <w:r w:rsidRPr="00ED38E9">
        <w:rPr>
          <w:rFonts w:cs="Arial"/>
        </w:rPr>
        <w:t xml:space="preserve">: Celkový přehled o výrobě a prodeji nákladních vozidel tuzemských výrobců včetně </w:t>
      </w:r>
      <w:r w:rsidR="005C6327">
        <w:rPr>
          <w:rFonts w:cs="Arial"/>
        </w:rPr>
        <w:t>příspěvků</w:t>
      </w:r>
      <w:r w:rsidRPr="00ED38E9">
        <w:rPr>
          <w:rFonts w:cs="Arial"/>
        </w:rPr>
        <w:t xml:space="preserve"> (zdroj: SAP, 2013)</w:t>
      </w:r>
    </w:p>
    <w:p w:rsidR="00BE03B5" w:rsidRPr="00ED38E9" w:rsidRDefault="00BE03B5" w:rsidP="00BE03B5">
      <w:pPr>
        <w:rPr>
          <w:rFonts w:cs="Arial"/>
        </w:rPr>
      </w:pPr>
      <w:r w:rsidRPr="00ED38E9">
        <w:rPr>
          <w:rFonts w:cs="Arial"/>
          <w:lang w:eastAsia="cs-CZ" w:bidi="ar-SA"/>
        </w:rPr>
        <w:drawing>
          <wp:inline distT="0" distB="0" distL="0" distR="0" wp14:anchorId="42FB2729" wp14:editId="381A3726">
            <wp:extent cx="5760720" cy="1048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720" cy="1048950"/>
                    </a:xfrm>
                    <a:prstGeom prst="rect">
                      <a:avLst/>
                    </a:prstGeom>
                    <a:noFill/>
                    <a:ln>
                      <a:noFill/>
                    </a:ln>
                  </pic:spPr>
                </pic:pic>
              </a:graphicData>
            </a:graphic>
          </wp:inline>
        </w:drawing>
      </w: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59</w:t>
      </w:r>
      <w:r w:rsidR="00381FB7" w:rsidRPr="00ED38E9">
        <w:rPr>
          <w:rFonts w:cs="Arial"/>
        </w:rPr>
        <w:fldChar w:fldCharType="end"/>
      </w:r>
      <w:r w:rsidRPr="00ED38E9">
        <w:rPr>
          <w:rFonts w:cs="Arial"/>
        </w:rPr>
        <w:t xml:space="preserve">: Celkový přehled o výrobě a prodeji autobusů tuzemských výrobců včetně </w:t>
      </w:r>
      <w:r w:rsidR="005C6327">
        <w:rPr>
          <w:rFonts w:cs="Arial"/>
        </w:rPr>
        <w:t>příspěvků</w:t>
      </w:r>
      <w:r w:rsidRPr="00ED38E9">
        <w:rPr>
          <w:rFonts w:cs="Arial"/>
        </w:rPr>
        <w:t xml:space="preserve"> (zdroj: SAP, 2012)</w:t>
      </w:r>
    </w:p>
    <w:p w:rsidR="00BE03B5" w:rsidRPr="00ED38E9" w:rsidRDefault="00BE03B5" w:rsidP="00BE03B5">
      <w:pPr>
        <w:rPr>
          <w:rFonts w:cs="Arial"/>
        </w:rPr>
      </w:pPr>
      <w:r w:rsidRPr="00ED38E9">
        <w:rPr>
          <w:rFonts w:cs="Arial"/>
          <w:lang w:eastAsia="cs-CZ" w:bidi="ar-SA"/>
        </w:rPr>
        <w:drawing>
          <wp:inline distT="0" distB="0" distL="0" distR="0" wp14:anchorId="60C26BD1" wp14:editId="1DAF27EA">
            <wp:extent cx="5760720" cy="934293"/>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720" cy="934293"/>
                    </a:xfrm>
                    <a:prstGeom prst="rect">
                      <a:avLst/>
                    </a:prstGeom>
                    <a:noFill/>
                    <a:ln>
                      <a:noFill/>
                    </a:ln>
                  </pic:spPr>
                </pic:pic>
              </a:graphicData>
            </a:graphic>
          </wp:inline>
        </w:drawing>
      </w:r>
    </w:p>
    <w:p w:rsidR="00BE03B5" w:rsidRPr="00ED38E9" w:rsidRDefault="00BE03B5" w:rsidP="00BE03B5">
      <w:pPr>
        <w:keepNext/>
        <w:rPr>
          <w:rFonts w:cs="Arial"/>
        </w:rPr>
      </w:pP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60</w:t>
      </w:r>
      <w:r w:rsidR="00381FB7" w:rsidRPr="00ED38E9">
        <w:rPr>
          <w:rFonts w:cs="Arial"/>
        </w:rPr>
        <w:fldChar w:fldCharType="end"/>
      </w:r>
      <w:r w:rsidRPr="00ED38E9">
        <w:rPr>
          <w:rFonts w:cs="Arial"/>
        </w:rPr>
        <w:t xml:space="preserve">: Celkový přehled o výrobě a prodeji autobusů tuzemských výrobců včetně </w:t>
      </w:r>
      <w:r w:rsidR="005C6327">
        <w:rPr>
          <w:rFonts w:cs="Arial"/>
        </w:rPr>
        <w:t>příspěvků</w:t>
      </w:r>
      <w:r w:rsidRPr="00ED38E9">
        <w:rPr>
          <w:rFonts w:cs="Arial"/>
        </w:rPr>
        <w:t xml:space="preserve"> (zdroj: SAP, 2013)</w:t>
      </w:r>
    </w:p>
    <w:p w:rsidR="00BE03B5" w:rsidRPr="00ED38E9" w:rsidRDefault="00BE03B5" w:rsidP="00BE03B5">
      <w:pPr>
        <w:rPr>
          <w:rFonts w:cs="Arial"/>
        </w:rPr>
      </w:pPr>
      <w:r w:rsidRPr="00ED38E9">
        <w:rPr>
          <w:rFonts w:cs="Arial"/>
          <w:lang w:eastAsia="cs-CZ" w:bidi="ar-SA"/>
        </w:rPr>
        <w:drawing>
          <wp:inline distT="0" distB="0" distL="0" distR="0" wp14:anchorId="639B0091" wp14:editId="4C719C3B">
            <wp:extent cx="5760720" cy="935550"/>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720" cy="935550"/>
                    </a:xfrm>
                    <a:prstGeom prst="rect">
                      <a:avLst/>
                    </a:prstGeom>
                    <a:noFill/>
                    <a:ln>
                      <a:noFill/>
                    </a:ln>
                  </pic:spPr>
                </pic:pic>
              </a:graphicData>
            </a:graphic>
          </wp:inline>
        </w:drawing>
      </w:r>
    </w:p>
    <w:p w:rsidR="00BE03B5" w:rsidRPr="00ED38E9" w:rsidRDefault="00BE03B5" w:rsidP="002D66F0">
      <w:pPr>
        <w:pStyle w:val="Odstavecseseznamem"/>
        <w:numPr>
          <w:ilvl w:val="0"/>
          <w:numId w:val="23"/>
        </w:numPr>
        <w:spacing w:before="240" w:after="120"/>
        <w:contextualSpacing w:val="0"/>
        <w:rPr>
          <w:rFonts w:cs="Arial"/>
        </w:rPr>
      </w:pPr>
      <w:r w:rsidRPr="00ED38E9">
        <w:rPr>
          <w:rFonts w:cs="Arial"/>
        </w:rPr>
        <w:t>Varianta 2</w:t>
      </w:r>
    </w:p>
    <w:p w:rsidR="00BE03B5" w:rsidRPr="00ED38E9" w:rsidRDefault="00BE03B5" w:rsidP="00BE03B5">
      <w:pPr>
        <w:rPr>
          <w:rFonts w:cs="Arial"/>
        </w:rPr>
      </w:pPr>
      <w:r w:rsidRPr="00ED38E9">
        <w:rPr>
          <w:rFonts w:cs="Arial"/>
        </w:rPr>
        <w:t xml:space="preserve">Hlavním přínosem této varianty je nastavení pravidel tak, aby nedocházelo k vysokým refundacím v případě exportu pneumatik do zahraničí jako součásti nového vozidla a dalším administrativním úkonům, které by zatěžovaly celý systém. Z komunikace se Sdružením výrobců a dovozců pneumatik vyplynulo, že přibližně 95 % celkové produkce pneumatik dodaných tuzemským výrobcům vozidel je exportováno. </w:t>
      </w:r>
    </w:p>
    <w:p w:rsidR="00BE03B5" w:rsidRPr="00ED38E9" w:rsidRDefault="00BE03B5" w:rsidP="00BE03B5">
      <w:pPr>
        <w:rPr>
          <w:rFonts w:cs="Arial"/>
        </w:rPr>
      </w:pPr>
      <w:r w:rsidRPr="00ED38E9">
        <w:rPr>
          <w:rFonts w:cs="Arial"/>
        </w:rPr>
        <w:t xml:space="preserve">Na trhu nových vozidel nejsou jen vozidla vyrobená v České republice, ale i vozidla zahraničních výrobců, na které se vztahuje uvádění recyklačního </w:t>
      </w:r>
      <w:r w:rsidR="005C6327">
        <w:rPr>
          <w:rFonts w:cs="Arial"/>
        </w:rPr>
        <w:t>příspěvku</w:t>
      </w:r>
      <w:r w:rsidRPr="00ED38E9">
        <w:rPr>
          <w:rFonts w:cs="Arial"/>
        </w:rPr>
        <w:t>. Následující tabulka zobrazuje odhadované množství finančních prostředků vybraných při prodeji nových vozidel.</w:t>
      </w: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61</w:t>
      </w:r>
      <w:r w:rsidR="00381FB7" w:rsidRPr="00ED38E9">
        <w:rPr>
          <w:rFonts w:cs="Arial"/>
        </w:rPr>
        <w:fldChar w:fldCharType="end"/>
      </w:r>
      <w:r w:rsidRPr="00ED38E9">
        <w:rPr>
          <w:rFonts w:cs="Arial"/>
        </w:rPr>
        <w:t xml:space="preserve">: Přehled nových vozidel registrovaných v roce 2012 v ČR včetně odhadu </w:t>
      </w:r>
      <w:r w:rsidR="005C6327">
        <w:rPr>
          <w:rFonts w:cs="Arial"/>
        </w:rPr>
        <w:t>příspěvků</w:t>
      </w:r>
      <w:r w:rsidRPr="00ED38E9">
        <w:rPr>
          <w:rFonts w:cs="Arial"/>
        </w:rPr>
        <w:t xml:space="preserve"> (zdroj: SAP)</w:t>
      </w:r>
    </w:p>
    <w:p w:rsidR="00BE03B5" w:rsidRPr="00ED38E9" w:rsidRDefault="00BE03B5" w:rsidP="00BE03B5">
      <w:pPr>
        <w:rPr>
          <w:rFonts w:cs="Arial"/>
        </w:rPr>
      </w:pPr>
      <w:r w:rsidRPr="00ED38E9">
        <w:rPr>
          <w:rFonts w:cs="Arial"/>
          <w:lang w:eastAsia="cs-CZ" w:bidi="ar-SA"/>
        </w:rPr>
        <w:drawing>
          <wp:inline distT="0" distB="0" distL="0" distR="0" wp14:anchorId="3D83704E" wp14:editId="76783740">
            <wp:extent cx="5760720" cy="2412202"/>
            <wp:effectExtent l="0" t="0" r="0" b="762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720" cy="2412202"/>
                    </a:xfrm>
                    <a:prstGeom prst="rect">
                      <a:avLst/>
                    </a:prstGeom>
                    <a:noFill/>
                    <a:ln>
                      <a:noFill/>
                    </a:ln>
                  </pic:spPr>
                </pic:pic>
              </a:graphicData>
            </a:graphic>
          </wp:inline>
        </w:drawing>
      </w:r>
    </w:p>
    <w:p w:rsidR="00BE03B5" w:rsidRPr="00ED38E9" w:rsidRDefault="00BE03B5" w:rsidP="00BE03B5">
      <w:pPr>
        <w:pStyle w:val="Titulek"/>
        <w:rPr>
          <w:rFonts w:cs="Arial"/>
        </w:rPr>
      </w:pPr>
      <w:r w:rsidRPr="00ED38E9">
        <w:rPr>
          <w:rFonts w:cs="Arial"/>
        </w:rPr>
        <w:lastRenderedPageBreak/>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62</w:t>
      </w:r>
      <w:r w:rsidR="00381FB7" w:rsidRPr="00ED38E9">
        <w:rPr>
          <w:rFonts w:cs="Arial"/>
        </w:rPr>
        <w:fldChar w:fldCharType="end"/>
      </w:r>
      <w:r w:rsidRPr="00ED38E9">
        <w:rPr>
          <w:rFonts w:cs="Arial"/>
        </w:rPr>
        <w:t xml:space="preserve">: Přehled nových vozidel registrovaných v roce 2013 v ČR včetně odhadu </w:t>
      </w:r>
      <w:r w:rsidR="005C6327">
        <w:rPr>
          <w:rFonts w:cs="Arial"/>
        </w:rPr>
        <w:t>příspěvků</w:t>
      </w:r>
      <w:r w:rsidRPr="00ED38E9">
        <w:rPr>
          <w:rFonts w:cs="Arial"/>
        </w:rPr>
        <w:t xml:space="preserve"> (zdroj: SAP)</w:t>
      </w:r>
    </w:p>
    <w:p w:rsidR="00BE03B5" w:rsidRPr="00ED38E9" w:rsidRDefault="00BE03B5" w:rsidP="00BE03B5">
      <w:pPr>
        <w:rPr>
          <w:rFonts w:cs="Arial"/>
        </w:rPr>
      </w:pPr>
      <w:r w:rsidRPr="00ED38E9">
        <w:rPr>
          <w:rFonts w:cs="Arial"/>
          <w:lang w:eastAsia="cs-CZ" w:bidi="ar-SA"/>
        </w:rPr>
        <w:drawing>
          <wp:inline distT="0" distB="0" distL="0" distR="0" wp14:anchorId="7CEC870F" wp14:editId="1906518C">
            <wp:extent cx="5760720" cy="2412202"/>
            <wp:effectExtent l="0" t="0" r="0" b="762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60720" cy="2412202"/>
                    </a:xfrm>
                    <a:prstGeom prst="rect">
                      <a:avLst/>
                    </a:prstGeom>
                    <a:noFill/>
                    <a:ln>
                      <a:noFill/>
                    </a:ln>
                  </pic:spPr>
                </pic:pic>
              </a:graphicData>
            </a:graphic>
          </wp:inline>
        </w:drawing>
      </w: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63</w:t>
      </w:r>
      <w:r w:rsidR="00381FB7" w:rsidRPr="00ED38E9">
        <w:rPr>
          <w:rFonts w:cs="Arial"/>
        </w:rPr>
        <w:fldChar w:fldCharType="end"/>
      </w:r>
      <w:r w:rsidRPr="00ED38E9">
        <w:rPr>
          <w:rFonts w:cs="Arial"/>
        </w:rPr>
        <w:t xml:space="preserve">: Přehled nových vozidel registrovaných v roce 2014 v ČR včetně odhadu </w:t>
      </w:r>
      <w:r w:rsidR="005C6327">
        <w:rPr>
          <w:rFonts w:cs="Arial"/>
        </w:rPr>
        <w:t>příspěvků</w:t>
      </w:r>
      <w:r w:rsidRPr="00ED38E9">
        <w:rPr>
          <w:rFonts w:cs="Arial"/>
        </w:rPr>
        <w:t xml:space="preserve"> (zdroj: SAP)</w:t>
      </w:r>
    </w:p>
    <w:p w:rsidR="00BE03B5" w:rsidRPr="00ED38E9" w:rsidRDefault="00BE03B5" w:rsidP="00BE03B5">
      <w:pPr>
        <w:rPr>
          <w:rFonts w:cs="Arial"/>
        </w:rPr>
      </w:pPr>
      <w:r w:rsidRPr="00ED38E9">
        <w:rPr>
          <w:rFonts w:cs="Arial"/>
          <w:lang w:eastAsia="cs-CZ" w:bidi="ar-SA"/>
        </w:rPr>
        <w:drawing>
          <wp:inline distT="0" distB="0" distL="0" distR="0" wp14:anchorId="22732E85" wp14:editId="37CC62CF">
            <wp:extent cx="5760720" cy="2410259"/>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720" cy="2410259"/>
                    </a:xfrm>
                    <a:prstGeom prst="rect">
                      <a:avLst/>
                    </a:prstGeom>
                    <a:noFill/>
                    <a:ln>
                      <a:noFill/>
                    </a:ln>
                  </pic:spPr>
                </pic:pic>
              </a:graphicData>
            </a:graphic>
          </wp:inline>
        </w:drawing>
      </w:r>
    </w:p>
    <w:p w:rsidR="00BE03B5" w:rsidRPr="00ED38E9" w:rsidRDefault="00BE03B5" w:rsidP="00F97AF3">
      <w:pPr>
        <w:pStyle w:val="Nadpis3"/>
      </w:pPr>
      <w:r w:rsidRPr="00ED38E9">
        <w:lastRenderedPageBreak/>
        <w:t>Vyhodnocení nákladů a přínosů variant</w:t>
      </w:r>
    </w:p>
    <w:p w:rsidR="00BE03B5" w:rsidRPr="00ED38E9" w:rsidRDefault="00BE03B5" w:rsidP="00BE03B5">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64</w:t>
      </w:r>
      <w:r w:rsidR="00381FB7" w:rsidRPr="00ED38E9">
        <w:rPr>
          <w:rFonts w:cs="Arial"/>
        </w:rPr>
        <w:fldChar w:fldCharType="end"/>
      </w:r>
      <w:r w:rsidRPr="00ED38E9">
        <w:rPr>
          <w:rFonts w:cs="Arial"/>
        </w:rPr>
        <w:t>: Porovnání nákladů a přínosů</w:t>
      </w:r>
    </w:p>
    <w:p w:rsidR="00BE03B5" w:rsidRPr="00ED38E9" w:rsidRDefault="00BE03B5" w:rsidP="00BE03B5">
      <w:pPr>
        <w:rPr>
          <w:rFonts w:cs="Arial"/>
        </w:rPr>
      </w:pPr>
      <w:r w:rsidRPr="00ED38E9">
        <w:rPr>
          <w:rFonts w:cs="Arial"/>
          <w:lang w:eastAsia="cs-CZ" w:bidi="ar-SA"/>
        </w:rPr>
        <w:drawing>
          <wp:inline distT="0" distB="0" distL="0" distR="0" wp14:anchorId="36F76568" wp14:editId="4BFA2830">
            <wp:extent cx="5761274" cy="547687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60720" cy="5476348"/>
                    </a:xfrm>
                    <a:prstGeom prst="rect">
                      <a:avLst/>
                    </a:prstGeom>
                    <a:noFill/>
                    <a:ln>
                      <a:noFill/>
                    </a:ln>
                  </pic:spPr>
                </pic:pic>
              </a:graphicData>
            </a:graphic>
          </wp:inline>
        </w:drawing>
      </w:r>
    </w:p>
    <w:p w:rsidR="00BE03B5" w:rsidRPr="00ED38E9" w:rsidRDefault="00BE03B5" w:rsidP="00F97AF3">
      <w:pPr>
        <w:pStyle w:val="Nadpis2"/>
      </w:pPr>
      <w:bookmarkStart w:id="236" w:name="_Toc441759934"/>
      <w:r w:rsidRPr="00ED38E9">
        <w:t>Návrh řešení</w:t>
      </w:r>
      <w:bookmarkEnd w:id="236"/>
    </w:p>
    <w:p w:rsidR="00BE03B5" w:rsidRPr="00ED38E9" w:rsidRDefault="00BE03B5" w:rsidP="00F97AF3">
      <w:pPr>
        <w:pStyle w:val="Nadpis3"/>
      </w:pPr>
      <w:r w:rsidRPr="00ED38E9">
        <w:t>Stanovení pořadí variant a výběr nejvhodnějšího řešení</w:t>
      </w:r>
    </w:p>
    <w:p w:rsidR="00BE03B5" w:rsidRPr="00ED38E9" w:rsidRDefault="00BE03B5" w:rsidP="002D66F0">
      <w:pPr>
        <w:pStyle w:val="Odstavecseseznamem"/>
        <w:numPr>
          <w:ilvl w:val="0"/>
          <w:numId w:val="24"/>
        </w:numPr>
        <w:contextualSpacing w:val="0"/>
        <w:rPr>
          <w:rFonts w:cs="Arial"/>
          <w:b/>
          <w:bCs/>
        </w:rPr>
      </w:pPr>
      <w:r w:rsidRPr="00ED38E9">
        <w:rPr>
          <w:rFonts w:cs="Arial"/>
          <w:b/>
          <w:bCs/>
        </w:rPr>
        <w:t>Varianta 2</w:t>
      </w:r>
    </w:p>
    <w:p w:rsidR="00BE03B5" w:rsidRPr="00ED38E9" w:rsidRDefault="00BE03B5" w:rsidP="002D66F0">
      <w:pPr>
        <w:pStyle w:val="Odstavecseseznamem"/>
        <w:numPr>
          <w:ilvl w:val="0"/>
          <w:numId w:val="24"/>
        </w:numPr>
        <w:contextualSpacing w:val="0"/>
        <w:rPr>
          <w:rFonts w:cs="Arial"/>
        </w:rPr>
      </w:pPr>
      <w:r w:rsidRPr="00ED38E9">
        <w:rPr>
          <w:rFonts w:cs="Arial"/>
        </w:rPr>
        <w:t>Varianta 1</w:t>
      </w:r>
    </w:p>
    <w:p w:rsidR="00BE03B5" w:rsidRPr="00ED38E9" w:rsidRDefault="00BE03B5" w:rsidP="002D66F0">
      <w:pPr>
        <w:pStyle w:val="Odstavecseseznamem"/>
        <w:numPr>
          <w:ilvl w:val="0"/>
          <w:numId w:val="24"/>
        </w:numPr>
        <w:contextualSpacing w:val="0"/>
        <w:rPr>
          <w:rFonts w:cs="Arial"/>
        </w:rPr>
      </w:pPr>
      <w:r w:rsidRPr="00ED38E9">
        <w:rPr>
          <w:rFonts w:cs="Arial"/>
        </w:rPr>
        <w:t>Varianta 0</w:t>
      </w:r>
    </w:p>
    <w:p w:rsidR="00BE03B5" w:rsidRPr="00ED38E9" w:rsidRDefault="00BE03B5" w:rsidP="00BE03B5">
      <w:pPr>
        <w:rPr>
          <w:rFonts w:cs="Arial"/>
        </w:rPr>
      </w:pPr>
      <w:r w:rsidRPr="00ED38E9">
        <w:rPr>
          <w:rFonts w:cs="Arial"/>
        </w:rPr>
        <w:t>Na základě porovnání toků pneumatik a finančních toků doporučujeme přijmout Variantu 2, která je z pohledu administrativní zátěže spojené s refundacemi jednodušší a levnější variantou.</w:t>
      </w:r>
    </w:p>
    <w:p w:rsidR="00324860" w:rsidRPr="00ED38E9" w:rsidRDefault="00324860" w:rsidP="00F97AF3">
      <w:pPr>
        <w:pStyle w:val="Nadpis1"/>
      </w:pPr>
      <w:bookmarkStart w:id="237" w:name="_Toc438037554"/>
      <w:bookmarkStart w:id="238" w:name="_Toc438037561"/>
      <w:bookmarkStart w:id="239" w:name="_Toc438037563"/>
      <w:bookmarkStart w:id="240" w:name="_Toc438037566"/>
      <w:bookmarkStart w:id="241" w:name="_Toc438037568"/>
      <w:bookmarkStart w:id="242" w:name="_Toc438037570"/>
      <w:bookmarkStart w:id="243" w:name="_Toc438037573"/>
      <w:bookmarkStart w:id="244" w:name="_Toc438037592"/>
      <w:bookmarkStart w:id="245" w:name="_Toc438037597"/>
      <w:bookmarkStart w:id="246" w:name="_Toc438037609"/>
      <w:bookmarkStart w:id="247" w:name="_Toc438037611"/>
      <w:bookmarkStart w:id="248" w:name="_Toc438037612"/>
      <w:bookmarkStart w:id="249" w:name="_Toc441759935"/>
      <w:bookmarkStart w:id="250" w:name="_Toc441760198"/>
      <w:bookmarkEnd w:id="237"/>
      <w:bookmarkEnd w:id="238"/>
      <w:bookmarkEnd w:id="239"/>
      <w:bookmarkEnd w:id="240"/>
      <w:bookmarkEnd w:id="241"/>
      <w:bookmarkEnd w:id="242"/>
      <w:bookmarkEnd w:id="243"/>
      <w:bookmarkEnd w:id="244"/>
      <w:bookmarkEnd w:id="245"/>
      <w:bookmarkEnd w:id="246"/>
      <w:bookmarkEnd w:id="247"/>
      <w:bookmarkEnd w:id="248"/>
      <w:r w:rsidRPr="00ED38E9">
        <w:lastRenderedPageBreak/>
        <w:t xml:space="preserve">Povinnost kolektivních systémů </w:t>
      </w:r>
      <w:r w:rsidR="009A27FC">
        <w:t>provádět audit</w:t>
      </w:r>
      <w:r w:rsidRPr="00ED38E9">
        <w:t xml:space="preserve"> </w:t>
      </w:r>
      <w:r w:rsidR="00227C24">
        <w:t xml:space="preserve">prostřednictvím </w:t>
      </w:r>
      <w:r w:rsidR="00227C24" w:rsidRPr="00ED38E9">
        <w:t>nezávisl</w:t>
      </w:r>
      <w:r w:rsidR="00227C24">
        <w:t>ého</w:t>
      </w:r>
      <w:r w:rsidR="00227C24" w:rsidRPr="00ED38E9">
        <w:t xml:space="preserve"> auditor</w:t>
      </w:r>
      <w:r w:rsidR="00227C24">
        <w:t>a</w:t>
      </w:r>
      <w:r w:rsidR="00227C24" w:rsidRPr="00ED38E9">
        <w:t xml:space="preserve"> </w:t>
      </w:r>
      <w:r w:rsidRPr="00ED38E9">
        <w:t>s příslušnou odbornou způsobilostí</w:t>
      </w:r>
      <w:bookmarkEnd w:id="249"/>
      <w:bookmarkEnd w:id="250"/>
    </w:p>
    <w:p w:rsidR="00324860" w:rsidRPr="00ED38E9" w:rsidRDefault="00324860" w:rsidP="00F97AF3">
      <w:pPr>
        <w:pStyle w:val="Nadpis2"/>
      </w:pPr>
      <w:bookmarkStart w:id="251" w:name="_Toc441759936"/>
      <w:r w:rsidRPr="00ED38E9">
        <w:t>Důvod předložení a cíle</w:t>
      </w:r>
      <w:bookmarkEnd w:id="251"/>
    </w:p>
    <w:p w:rsidR="00324860" w:rsidRPr="00ED38E9" w:rsidRDefault="00324860" w:rsidP="00F97AF3">
      <w:pPr>
        <w:pStyle w:val="Nadpis3"/>
      </w:pPr>
      <w:r w:rsidRPr="00ED38E9">
        <w:t>Definice problému</w:t>
      </w:r>
    </w:p>
    <w:p w:rsidR="00324860" w:rsidRPr="00ED38E9" w:rsidRDefault="00227C24" w:rsidP="00324860">
      <w:pPr>
        <w:rPr>
          <w:rFonts w:cs="Arial"/>
        </w:rPr>
      </w:pPr>
      <w:r>
        <w:rPr>
          <w:rFonts w:cs="Arial"/>
        </w:rPr>
        <w:t>Povinnost kolektivních systému provádět audit účetnictví a evidenc</w:t>
      </w:r>
      <w:r w:rsidR="00B323EE">
        <w:rPr>
          <w:rFonts w:cs="Arial"/>
        </w:rPr>
        <w:t>í</w:t>
      </w:r>
      <w:r>
        <w:rPr>
          <w:rFonts w:cs="Arial"/>
        </w:rPr>
        <w:t xml:space="preserve"> </w:t>
      </w:r>
      <w:r w:rsidR="00B323EE">
        <w:rPr>
          <w:rFonts w:cs="Arial"/>
        </w:rPr>
        <w:t xml:space="preserve">o vybraných </w:t>
      </w:r>
      <w:r>
        <w:rPr>
          <w:rFonts w:cs="Arial"/>
        </w:rPr>
        <w:t>výrob</w:t>
      </w:r>
      <w:r w:rsidR="00B323EE">
        <w:rPr>
          <w:rFonts w:cs="Arial"/>
        </w:rPr>
        <w:t>cích a výrobcích s ukončenou životností</w:t>
      </w:r>
      <w:r>
        <w:rPr>
          <w:rFonts w:cs="Arial"/>
        </w:rPr>
        <w:t xml:space="preserve"> nezázávislým auditorem</w:t>
      </w:r>
      <w:r w:rsidR="00324860" w:rsidRPr="00ED38E9">
        <w:rPr>
          <w:rFonts w:cs="Arial"/>
        </w:rPr>
        <w:t>.</w:t>
      </w:r>
    </w:p>
    <w:p w:rsidR="00324860" w:rsidRPr="00ED38E9" w:rsidRDefault="00324860" w:rsidP="00F97AF3">
      <w:pPr>
        <w:pStyle w:val="Nadpis3"/>
      </w:pPr>
      <w:r w:rsidRPr="00ED38E9">
        <w:t>Popis existujícího právního stavu v dané oblasti</w:t>
      </w:r>
    </w:p>
    <w:p w:rsidR="00530496" w:rsidRDefault="00324860" w:rsidP="006F5445">
      <w:pPr>
        <w:rPr>
          <w:rFonts w:cs="Arial"/>
        </w:rPr>
      </w:pPr>
      <w:r w:rsidRPr="00ED38E9">
        <w:rPr>
          <w:rFonts w:cs="Arial"/>
        </w:rPr>
        <w:t xml:space="preserve">V současné </w:t>
      </w:r>
      <w:r w:rsidR="00097C19">
        <w:rPr>
          <w:rFonts w:cs="Arial"/>
        </w:rPr>
        <w:t xml:space="preserve">době mají kolektivní systémy </w:t>
      </w:r>
      <w:r w:rsidR="009A27FC">
        <w:rPr>
          <w:rFonts w:cs="Arial"/>
        </w:rPr>
        <w:t xml:space="preserve">(v oblasti baterií a akumulátorů a pneumatik) </w:t>
      </w:r>
      <w:r w:rsidR="00097C19">
        <w:rPr>
          <w:rFonts w:cs="Arial"/>
        </w:rPr>
        <w:t>povinnost provádět audit účtní uzávěrky a  vedení</w:t>
      </w:r>
      <w:r w:rsidR="009A27FC">
        <w:rPr>
          <w:rFonts w:cs="Arial"/>
        </w:rPr>
        <w:t xml:space="preserve"> evidenc</w:t>
      </w:r>
      <w:r w:rsidR="00530496">
        <w:rPr>
          <w:rFonts w:cs="Arial"/>
        </w:rPr>
        <w:t>í</w:t>
      </w:r>
      <w:r w:rsidR="009A27FC">
        <w:rPr>
          <w:rFonts w:cs="Arial"/>
        </w:rPr>
        <w:t xml:space="preserve">. </w:t>
      </w:r>
      <w:r w:rsidR="00ED73E4">
        <w:rPr>
          <w:rFonts w:cs="Arial"/>
        </w:rPr>
        <w:t>Toto v současné době neplatí v oblasti elektrozařízení.</w:t>
      </w:r>
    </w:p>
    <w:p w:rsidR="00ED179C" w:rsidRDefault="00324860">
      <w:pPr>
        <w:pStyle w:val="Nadpis3"/>
      </w:pPr>
      <w:r w:rsidRPr="00ED38E9">
        <w:t>Identifikace dotčených subjektů</w:t>
      </w:r>
    </w:p>
    <w:p w:rsidR="00324860" w:rsidRPr="00ED38E9" w:rsidRDefault="00324860" w:rsidP="002D66F0">
      <w:pPr>
        <w:pStyle w:val="Odstavecseseznamem"/>
        <w:numPr>
          <w:ilvl w:val="0"/>
          <w:numId w:val="25"/>
        </w:numPr>
        <w:contextualSpacing w:val="0"/>
        <w:rPr>
          <w:rFonts w:cs="Arial"/>
        </w:rPr>
      </w:pPr>
      <w:r w:rsidRPr="00ED38E9">
        <w:rPr>
          <w:rFonts w:cs="Arial"/>
        </w:rPr>
        <w:t>kolektivní systémy (KS),</w:t>
      </w:r>
    </w:p>
    <w:p w:rsidR="00324860" w:rsidRPr="00ED38E9" w:rsidRDefault="00324860" w:rsidP="002D66F0">
      <w:pPr>
        <w:pStyle w:val="Odstavecseseznamem"/>
        <w:numPr>
          <w:ilvl w:val="0"/>
          <w:numId w:val="25"/>
        </w:numPr>
        <w:contextualSpacing w:val="0"/>
        <w:rPr>
          <w:rFonts w:cs="Arial"/>
        </w:rPr>
      </w:pPr>
      <w:r w:rsidRPr="00ED38E9">
        <w:rPr>
          <w:rFonts w:cs="Arial"/>
        </w:rPr>
        <w:t>Ministerstvo životního prostředí (</w:t>
      </w:r>
      <w:r w:rsidR="00814874" w:rsidRPr="00ED38E9">
        <w:rPr>
          <w:rFonts w:cs="Arial"/>
        </w:rPr>
        <w:t xml:space="preserve">MŽP, </w:t>
      </w:r>
      <w:r w:rsidRPr="00ED38E9">
        <w:rPr>
          <w:rFonts w:cs="Arial"/>
        </w:rPr>
        <w:t>ministerstvo).</w:t>
      </w:r>
    </w:p>
    <w:p w:rsidR="00324860" w:rsidRPr="00ED38E9" w:rsidRDefault="00324860" w:rsidP="00F97AF3">
      <w:pPr>
        <w:pStyle w:val="Nadpis3"/>
      </w:pPr>
      <w:r w:rsidRPr="00ED38E9">
        <w:t>Popis cílového stavu</w:t>
      </w:r>
    </w:p>
    <w:p w:rsidR="00324860" w:rsidRPr="00ED38E9" w:rsidRDefault="00324860" w:rsidP="00324860">
      <w:pPr>
        <w:rPr>
          <w:rFonts w:cs="Arial"/>
        </w:rPr>
      </w:pPr>
      <w:r w:rsidRPr="00ED38E9">
        <w:rPr>
          <w:rFonts w:cs="Arial"/>
        </w:rPr>
        <w:t xml:space="preserve">Cílem je, aby ministerstvo mělo průběžný přehled o hospodaření </w:t>
      </w:r>
      <w:r w:rsidR="00ED73E4">
        <w:rPr>
          <w:rFonts w:cs="Arial"/>
        </w:rPr>
        <w:t>a vedení evidenc</w:t>
      </w:r>
      <w:r w:rsidR="00530496">
        <w:rPr>
          <w:rFonts w:cs="Arial"/>
        </w:rPr>
        <w:t>í</w:t>
      </w:r>
      <w:r w:rsidR="00ED73E4">
        <w:rPr>
          <w:rFonts w:cs="Arial"/>
        </w:rPr>
        <w:t xml:space="preserve"> </w:t>
      </w:r>
      <w:r w:rsidRPr="00ED38E9">
        <w:rPr>
          <w:rFonts w:cs="Arial"/>
        </w:rPr>
        <w:t>kolektivní</w:t>
      </w:r>
      <w:r w:rsidR="00530496">
        <w:rPr>
          <w:rFonts w:cs="Arial"/>
        </w:rPr>
        <w:t>c</w:t>
      </w:r>
      <w:r w:rsidRPr="00ED38E9">
        <w:rPr>
          <w:rFonts w:cs="Arial"/>
        </w:rPr>
        <w:t>h systém</w:t>
      </w:r>
      <w:r w:rsidR="00530496">
        <w:rPr>
          <w:rFonts w:cs="Arial"/>
        </w:rPr>
        <w:t>ů</w:t>
      </w:r>
      <w:r w:rsidR="00ED73E4">
        <w:rPr>
          <w:rFonts w:cs="Arial"/>
        </w:rPr>
        <w:t xml:space="preserve"> při provádění dohled</w:t>
      </w:r>
      <w:r w:rsidR="00530496">
        <w:rPr>
          <w:rFonts w:cs="Arial"/>
        </w:rPr>
        <w:t>u</w:t>
      </w:r>
      <w:r w:rsidR="00ED73E4">
        <w:rPr>
          <w:rFonts w:cs="Arial"/>
        </w:rPr>
        <w:t xml:space="preserve"> nad </w:t>
      </w:r>
      <w:r w:rsidR="00530496">
        <w:rPr>
          <w:rFonts w:cs="Arial"/>
        </w:rPr>
        <w:t xml:space="preserve">jejich </w:t>
      </w:r>
      <w:r w:rsidR="00ED73E4">
        <w:rPr>
          <w:rFonts w:cs="Arial"/>
        </w:rPr>
        <w:t>činností</w:t>
      </w:r>
      <w:r w:rsidRPr="00ED38E9">
        <w:rPr>
          <w:rFonts w:cs="Arial"/>
        </w:rPr>
        <w:t>.</w:t>
      </w:r>
    </w:p>
    <w:p w:rsidR="00324860" w:rsidRPr="00ED38E9" w:rsidRDefault="00324860" w:rsidP="00F97AF3">
      <w:pPr>
        <w:pStyle w:val="Nadpis3"/>
      </w:pPr>
      <w:r w:rsidRPr="00ED38E9">
        <w:t>Zhodnocení rizika</w:t>
      </w:r>
    </w:p>
    <w:p w:rsidR="00324860" w:rsidRPr="00ED38E9" w:rsidRDefault="00324860" w:rsidP="00324860">
      <w:pPr>
        <w:rPr>
          <w:rFonts w:cs="Arial"/>
        </w:rPr>
      </w:pPr>
      <w:r w:rsidRPr="00ED38E9">
        <w:rPr>
          <w:rFonts w:cs="Arial"/>
        </w:rPr>
        <w:t xml:space="preserve">Hlavním rizikem </w:t>
      </w:r>
      <w:r w:rsidR="00ED73E4">
        <w:rPr>
          <w:rFonts w:cs="Arial"/>
        </w:rPr>
        <w:t>je</w:t>
      </w:r>
      <w:r w:rsidRPr="00ED38E9">
        <w:rPr>
          <w:rFonts w:cs="Arial"/>
        </w:rPr>
        <w:t xml:space="preserve">, že </w:t>
      </w:r>
      <w:r w:rsidR="00ED73E4">
        <w:rPr>
          <w:rFonts w:cs="Arial"/>
        </w:rPr>
        <w:t xml:space="preserve">MŽP na </w:t>
      </w:r>
      <w:r w:rsidRPr="00ED38E9">
        <w:rPr>
          <w:rFonts w:cs="Arial"/>
        </w:rPr>
        <w:t xml:space="preserve">špatné hospodaření </w:t>
      </w:r>
      <w:r w:rsidR="00ED73E4">
        <w:rPr>
          <w:rFonts w:cs="Arial"/>
        </w:rPr>
        <w:t>či vedení evidenc</w:t>
      </w:r>
      <w:r w:rsidR="00530496">
        <w:rPr>
          <w:rFonts w:cs="Arial"/>
        </w:rPr>
        <w:t>í</w:t>
      </w:r>
      <w:r w:rsidR="00ED73E4">
        <w:rPr>
          <w:rFonts w:cs="Arial"/>
        </w:rPr>
        <w:t xml:space="preserve"> </w:t>
      </w:r>
      <w:r w:rsidRPr="00ED38E9">
        <w:rPr>
          <w:rFonts w:cs="Arial"/>
        </w:rPr>
        <w:t xml:space="preserve">nepřijde do té doby, než po kolektivním systému zůstane ekologická zátěž v podobě mnoha tun </w:t>
      </w:r>
      <w:r w:rsidR="00ED73E4">
        <w:rPr>
          <w:rFonts w:cs="Arial"/>
        </w:rPr>
        <w:t>výrobků s ukončenou životností</w:t>
      </w:r>
      <w:r w:rsidRPr="00ED38E9">
        <w:rPr>
          <w:rFonts w:cs="Arial"/>
        </w:rPr>
        <w:t>, na jejichž zpracování nebudou finance.</w:t>
      </w:r>
    </w:p>
    <w:p w:rsidR="00324860" w:rsidRPr="00ED38E9" w:rsidRDefault="00324860" w:rsidP="00F97AF3">
      <w:pPr>
        <w:pStyle w:val="Nadpis2"/>
      </w:pPr>
      <w:bookmarkStart w:id="252" w:name="_Toc441759937"/>
      <w:r w:rsidRPr="00ED38E9">
        <w:t>Návrh variant řešení</w:t>
      </w:r>
      <w:bookmarkEnd w:id="252"/>
    </w:p>
    <w:p w:rsidR="00324860" w:rsidRPr="00ED38E9" w:rsidRDefault="00324860" w:rsidP="00F97AF3">
      <w:pPr>
        <w:pStyle w:val="Nadpis3"/>
      </w:pPr>
      <w:r w:rsidRPr="00ED38E9">
        <w:t>Varianta 0</w:t>
      </w:r>
    </w:p>
    <w:p w:rsidR="00324860" w:rsidRPr="00ED38E9" w:rsidRDefault="00324860" w:rsidP="00324860">
      <w:pPr>
        <w:rPr>
          <w:rFonts w:cs="Arial"/>
        </w:rPr>
      </w:pPr>
      <w:r w:rsidRPr="00ED38E9">
        <w:rPr>
          <w:rFonts w:cs="Arial"/>
        </w:rPr>
        <w:t>Nepožadovat každoroční audit.</w:t>
      </w:r>
    </w:p>
    <w:p w:rsidR="00324860" w:rsidRPr="00ED38E9" w:rsidRDefault="00324860" w:rsidP="00F97AF3">
      <w:pPr>
        <w:pStyle w:val="Nadpis3"/>
      </w:pPr>
      <w:r w:rsidRPr="00ED38E9">
        <w:t>Varianta 1</w:t>
      </w:r>
    </w:p>
    <w:p w:rsidR="00324860" w:rsidRPr="00ED38E9" w:rsidRDefault="00324860" w:rsidP="00324860">
      <w:pPr>
        <w:rPr>
          <w:rFonts w:cs="Arial"/>
        </w:rPr>
      </w:pPr>
      <w:r w:rsidRPr="00ED38E9">
        <w:rPr>
          <w:rFonts w:cs="Arial"/>
        </w:rPr>
        <w:t>Povinnost kolektivního systému mít každoroční audit, který předloží ministerstvu.</w:t>
      </w:r>
    </w:p>
    <w:p w:rsidR="00324860" w:rsidRPr="00ED38E9" w:rsidRDefault="00324860" w:rsidP="00F97AF3">
      <w:pPr>
        <w:pStyle w:val="Nadpis2"/>
      </w:pPr>
      <w:bookmarkStart w:id="253" w:name="_Toc441759938"/>
      <w:r w:rsidRPr="00ED38E9">
        <w:t>Vyhodnocení nákladů a přínosů</w:t>
      </w:r>
      <w:bookmarkEnd w:id="253"/>
    </w:p>
    <w:p w:rsidR="00324860" w:rsidRPr="00ED38E9" w:rsidRDefault="00324860" w:rsidP="00F97AF3">
      <w:pPr>
        <w:pStyle w:val="Nadpis3"/>
      </w:pPr>
      <w:r w:rsidRPr="00ED38E9">
        <w:t>Identifikace nákladů a přínosů</w:t>
      </w:r>
    </w:p>
    <w:p w:rsidR="00324860" w:rsidRPr="00ED38E9" w:rsidRDefault="00324860" w:rsidP="002D66F0">
      <w:pPr>
        <w:pStyle w:val="Odstavecseseznamem"/>
        <w:numPr>
          <w:ilvl w:val="0"/>
          <w:numId w:val="26"/>
        </w:numPr>
        <w:spacing w:before="240" w:after="120"/>
        <w:contextualSpacing w:val="0"/>
        <w:rPr>
          <w:rFonts w:cs="Arial"/>
        </w:rPr>
      </w:pPr>
      <w:r w:rsidRPr="00ED38E9">
        <w:rPr>
          <w:rFonts w:cs="Arial"/>
        </w:rPr>
        <w:t>Varianta 0</w:t>
      </w:r>
    </w:p>
    <w:p w:rsidR="00324860" w:rsidRPr="00ED38E9" w:rsidRDefault="00324860" w:rsidP="00324860">
      <w:pPr>
        <w:rPr>
          <w:rFonts w:cs="Arial"/>
        </w:rPr>
      </w:pPr>
      <w:r w:rsidRPr="00ED38E9">
        <w:rPr>
          <w:rFonts w:cs="Arial"/>
        </w:rPr>
        <w:t>Tato varianta nepřináší žádné přínosy, pouze riziko špatného hospodaření</w:t>
      </w:r>
      <w:r w:rsidR="00ED73E4">
        <w:rPr>
          <w:rFonts w:cs="Arial"/>
        </w:rPr>
        <w:t xml:space="preserve"> a vedení evidenc</w:t>
      </w:r>
      <w:r w:rsidR="00530496">
        <w:rPr>
          <w:rFonts w:cs="Arial"/>
        </w:rPr>
        <w:t>í</w:t>
      </w:r>
      <w:r w:rsidRPr="00ED38E9">
        <w:rPr>
          <w:rFonts w:cs="Arial"/>
        </w:rPr>
        <w:t>, které nemusí být včas odhaleno.</w:t>
      </w:r>
    </w:p>
    <w:p w:rsidR="00324860" w:rsidRPr="00ED38E9" w:rsidRDefault="00324860" w:rsidP="002D66F0">
      <w:pPr>
        <w:pStyle w:val="Odstavecseseznamem"/>
        <w:keepNext/>
        <w:numPr>
          <w:ilvl w:val="0"/>
          <w:numId w:val="26"/>
        </w:numPr>
        <w:spacing w:before="240" w:after="120"/>
        <w:ind w:left="714" w:hanging="357"/>
        <w:contextualSpacing w:val="0"/>
        <w:rPr>
          <w:rFonts w:cs="Arial"/>
        </w:rPr>
      </w:pPr>
      <w:r w:rsidRPr="00ED38E9">
        <w:rPr>
          <w:rFonts w:cs="Arial"/>
        </w:rPr>
        <w:t>Varianta 1</w:t>
      </w:r>
    </w:p>
    <w:p w:rsidR="00324860" w:rsidRPr="00ED38E9" w:rsidRDefault="00324860" w:rsidP="00324860">
      <w:pPr>
        <w:rPr>
          <w:rFonts w:cs="Arial"/>
        </w:rPr>
      </w:pPr>
      <w:r w:rsidRPr="00ED38E9">
        <w:rPr>
          <w:rFonts w:cs="Arial"/>
        </w:rPr>
        <w:t xml:space="preserve">Mezi přínosy řadíme průběžnou kontrolu hospodaření </w:t>
      </w:r>
      <w:r w:rsidR="00ED73E4">
        <w:rPr>
          <w:rFonts w:cs="Arial"/>
        </w:rPr>
        <w:t>a vedení evidenc</w:t>
      </w:r>
      <w:r w:rsidR="00530496">
        <w:rPr>
          <w:rFonts w:cs="Arial"/>
        </w:rPr>
        <w:t>í</w:t>
      </w:r>
      <w:r w:rsidR="00ED73E4">
        <w:rPr>
          <w:rFonts w:cs="Arial"/>
        </w:rPr>
        <w:t xml:space="preserve"> </w:t>
      </w:r>
      <w:r w:rsidRPr="00ED38E9">
        <w:rPr>
          <w:rFonts w:cs="Arial"/>
        </w:rPr>
        <w:t>kolektivního systému a mezi náklady činnost spojenou s auditem, tj. cca 100–400 tis. Kč ročně v závislosti na společnosti, která audit provádí a velikosti subjektu, který je auditován.</w:t>
      </w:r>
    </w:p>
    <w:p w:rsidR="00324860" w:rsidRPr="00ED38E9" w:rsidRDefault="00324860" w:rsidP="00F97AF3">
      <w:pPr>
        <w:pStyle w:val="Nadpis3"/>
      </w:pPr>
      <w:r w:rsidRPr="00ED38E9">
        <w:lastRenderedPageBreak/>
        <w:t>Vyhodnocení nákladů a přínosů variant</w:t>
      </w:r>
    </w:p>
    <w:p w:rsidR="00324860" w:rsidRPr="00ED38E9" w:rsidRDefault="00324860" w:rsidP="00324860">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65</w:t>
      </w:r>
      <w:r w:rsidR="00381FB7" w:rsidRPr="00ED38E9">
        <w:rPr>
          <w:rFonts w:cs="Arial"/>
        </w:rPr>
        <w:fldChar w:fldCharType="end"/>
      </w:r>
      <w:r w:rsidRPr="00ED38E9">
        <w:rPr>
          <w:rFonts w:cs="Arial"/>
        </w:rPr>
        <w:t>: Porovnání nákladů a přínosů</w:t>
      </w:r>
    </w:p>
    <w:p w:rsidR="00324860" w:rsidRPr="00ED38E9" w:rsidRDefault="00324860" w:rsidP="00324860">
      <w:pPr>
        <w:rPr>
          <w:rFonts w:cs="Arial"/>
        </w:rPr>
      </w:pPr>
      <w:r w:rsidRPr="00ED38E9">
        <w:rPr>
          <w:rFonts w:cs="Arial"/>
          <w:lang w:eastAsia="cs-CZ" w:bidi="ar-SA"/>
        </w:rPr>
        <w:drawing>
          <wp:inline distT="0" distB="0" distL="0" distR="0" wp14:anchorId="56E4985F" wp14:editId="1AB653AC">
            <wp:extent cx="5760720" cy="1739460"/>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720" cy="1739460"/>
                    </a:xfrm>
                    <a:prstGeom prst="rect">
                      <a:avLst/>
                    </a:prstGeom>
                    <a:noFill/>
                    <a:ln>
                      <a:noFill/>
                    </a:ln>
                  </pic:spPr>
                </pic:pic>
              </a:graphicData>
            </a:graphic>
          </wp:inline>
        </w:drawing>
      </w:r>
    </w:p>
    <w:p w:rsidR="00324860" w:rsidRPr="00ED38E9" w:rsidRDefault="00324860" w:rsidP="00F97AF3">
      <w:pPr>
        <w:pStyle w:val="Nadpis2"/>
      </w:pPr>
      <w:bookmarkStart w:id="254" w:name="_Toc441759939"/>
      <w:r w:rsidRPr="00ED38E9">
        <w:t>Návrh řešení</w:t>
      </w:r>
      <w:bookmarkEnd w:id="254"/>
    </w:p>
    <w:p w:rsidR="00324860" w:rsidRPr="00ED38E9" w:rsidRDefault="00324860" w:rsidP="00F97AF3">
      <w:pPr>
        <w:pStyle w:val="Nadpis3"/>
      </w:pPr>
      <w:r w:rsidRPr="00ED38E9">
        <w:t>Stanovení pořadí variant a výběr nejvhodnějšího řešení</w:t>
      </w:r>
    </w:p>
    <w:p w:rsidR="00324860" w:rsidRPr="00ED38E9" w:rsidRDefault="00324860" w:rsidP="002D66F0">
      <w:pPr>
        <w:pStyle w:val="Odstavecseseznamem"/>
        <w:numPr>
          <w:ilvl w:val="0"/>
          <w:numId w:val="27"/>
        </w:numPr>
        <w:contextualSpacing w:val="0"/>
        <w:rPr>
          <w:rFonts w:cs="Arial"/>
          <w:b/>
          <w:bCs/>
        </w:rPr>
      </w:pPr>
      <w:r w:rsidRPr="00ED38E9">
        <w:rPr>
          <w:rFonts w:cs="Arial"/>
          <w:b/>
          <w:bCs/>
        </w:rPr>
        <w:t>Varianta 1</w:t>
      </w:r>
    </w:p>
    <w:p w:rsidR="00324860" w:rsidRPr="00ED38E9" w:rsidRDefault="00324860" w:rsidP="002D66F0">
      <w:pPr>
        <w:pStyle w:val="Odstavecseseznamem"/>
        <w:numPr>
          <w:ilvl w:val="0"/>
          <w:numId w:val="27"/>
        </w:numPr>
        <w:contextualSpacing w:val="0"/>
        <w:rPr>
          <w:rFonts w:cs="Arial"/>
        </w:rPr>
      </w:pPr>
      <w:r w:rsidRPr="00ED38E9">
        <w:rPr>
          <w:rFonts w:cs="Arial"/>
        </w:rPr>
        <w:t>Varianta 0</w:t>
      </w:r>
    </w:p>
    <w:p w:rsidR="00F35DBD" w:rsidRPr="00ED38E9" w:rsidRDefault="00324860" w:rsidP="00324860">
      <w:pPr>
        <w:rPr>
          <w:rFonts w:cs="Arial"/>
        </w:rPr>
      </w:pPr>
      <w:r w:rsidRPr="00ED38E9">
        <w:rPr>
          <w:rFonts w:cs="Arial"/>
        </w:rPr>
        <w:t xml:space="preserve">I za cenu navýšení nákladů </w:t>
      </w:r>
      <w:r w:rsidR="00F35DBD">
        <w:rPr>
          <w:rFonts w:cs="Arial"/>
        </w:rPr>
        <w:t xml:space="preserve">u kolektivních systémů </w:t>
      </w:r>
      <w:r w:rsidRPr="00ED38E9">
        <w:rPr>
          <w:rFonts w:cs="Arial"/>
        </w:rPr>
        <w:t xml:space="preserve">doporučujeme přijmout Variantu 1, protože riziko špatného hospodaření </w:t>
      </w:r>
      <w:r w:rsidR="00ED73E4">
        <w:rPr>
          <w:rFonts w:cs="Arial"/>
        </w:rPr>
        <w:t>a vedení evidenc</w:t>
      </w:r>
      <w:r w:rsidR="00530496">
        <w:rPr>
          <w:rFonts w:cs="Arial"/>
        </w:rPr>
        <w:t>í</w:t>
      </w:r>
      <w:r w:rsidR="00ED73E4">
        <w:rPr>
          <w:rFonts w:cs="Arial"/>
        </w:rPr>
        <w:t xml:space="preserve"> je proti </w:t>
      </w:r>
      <w:r w:rsidRPr="00ED38E9">
        <w:rPr>
          <w:rFonts w:cs="Arial"/>
        </w:rPr>
        <w:t>následné</w:t>
      </w:r>
      <w:r w:rsidR="00ED73E4">
        <w:rPr>
          <w:rFonts w:cs="Arial"/>
        </w:rPr>
        <w:t>mu odstranění</w:t>
      </w:r>
      <w:r w:rsidRPr="00ED38E9">
        <w:rPr>
          <w:rFonts w:cs="Arial"/>
        </w:rPr>
        <w:t xml:space="preserve"> ponech</w:t>
      </w:r>
      <w:r w:rsidR="00ED73E4">
        <w:rPr>
          <w:rFonts w:cs="Arial"/>
        </w:rPr>
        <w:t>ané</w:t>
      </w:r>
      <w:r w:rsidRPr="00ED38E9">
        <w:rPr>
          <w:rFonts w:cs="Arial"/>
        </w:rPr>
        <w:t xml:space="preserve"> ekologické zátěže </w:t>
      </w:r>
      <w:r w:rsidR="00ED73E4">
        <w:rPr>
          <w:rFonts w:cs="Arial"/>
        </w:rPr>
        <w:t>minimální</w:t>
      </w:r>
      <w:r w:rsidR="00F35DBD">
        <w:rPr>
          <w:rFonts w:cs="Arial"/>
        </w:rPr>
        <w:t>.</w:t>
      </w:r>
    </w:p>
    <w:p w:rsidR="00324860" w:rsidRPr="00ED38E9" w:rsidRDefault="00324860" w:rsidP="00F97AF3">
      <w:pPr>
        <w:pStyle w:val="Nadpis1"/>
      </w:pPr>
      <w:bookmarkStart w:id="255" w:name="_Toc441759940"/>
      <w:bookmarkStart w:id="256" w:name="_Toc441760199"/>
      <w:r w:rsidRPr="00ED38E9">
        <w:t>Povinná úroveň zpětného odběru</w:t>
      </w:r>
      <w:r w:rsidR="00FA3E75" w:rsidRPr="00ED38E9">
        <w:t xml:space="preserve"> odpadních pneumatik</w:t>
      </w:r>
      <w:bookmarkEnd w:id="255"/>
      <w:bookmarkEnd w:id="256"/>
    </w:p>
    <w:p w:rsidR="00324860" w:rsidRPr="00ED38E9" w:rsidRDefault="00324860" w:rsidP="00F97AF3">
      <w:pPr>
        <w:pStyle w:val="Nadpis2"/>
      </w:pPr>
      <w:bookmarkStart w:id="257" w:name="_Toc441759941"/>
      <w:r w:rsidRPr="00ED38E9">
        <w:t>Důvod předložení a cíle</w:t>
      </w:r>
      <w:bookmarkEnd w:id="257"/>
    </w:p>
    <w:p w:rsidR="00324860" w:rsidRPr="00ED38E9" w:rsidRDefault="00324860" w:rsidP="00F97AF3">
      <w:pPr>
        <w:pStyle w:val="Nadpis3"/>
      </w:pPr>
      <w:r w:rsidRPr="00ED38E9">
        <w:t>Definice problému</w:t>
      </w:r>
    </w:p>
    <w:p w:rsidR="00324860" w:rsidRPr="00ED38E9" w:rsidRDefault="00324860" w:rsidP="00324860">
      <w:pPr>
        <w:rPr>
          <w:rFonts w:cs="Arial"/>
        </w:rPr>
      </w:pPr>
      <w:r w:rsidRPr="00ED38E9">
        <w:rPr>
          <w:rFonts w:cs="Arial"/>
        </w:rPr>
        <w:t xml:space="preserve">Hlavním problémem v této oblasti je, že některé povinné osoby </w:t>
      </w:r>
      <w:r w:rsidR="00AC213F">
        <w:rPr>
          <w:rFonts w:cs="Arial"/>
        </w:rPr>
        <w:t>vykazovaly v</w:t>
      </w:r>
      <w:r w:rsidR="00AC213F" w:rsidRPr="00ED38E9">
        <w:rPr>
          <w:rFonts w:cs="Arial"/>
        </w:rPr>
        <w:t xml:space="preserve"> </w:t>
      </w:r>
      <w:r w:rsidRPr="00ED38E9">
        <w:rPr>
          <w:rFonts w:cs="Arial"/>
        </w:rPr>
        <w:t>roční</w:t>
      </w:r>
      <w:r w:rsidR="00AC213F">
        <w:rPr>
          <w:rFonts w:cs="Arial"/>
        </w:rPr>
        <w:t>ch</w:t>
      </w:r>
      <w:r w:rsidRPr="00ED38E9">
        <w:rPr>
          <w:rFonts w:cs="Arial"/>
        </w:rPr>
        <w:t xml:space="preserve"> zpráv</w:t>
      </w:r>
      <w:r w:rsidR="00AC213F">
        <w:rPr>
          <w:rFonts w:cs="Arial"/>
        </w:rPr>
        <w:t>ách</w:t>
      </w:r>
      <w:r w:rsidRPr="00ED38E9">
        <w:rPr>
          <w:rFonts w:cs="Arial"/>
        </w:rPr>
        <w:t> nulovou úrov</w:t>
      </w:r>
      <w:r w:rsidR="00AC213F">
        <w:rPr>
          <w:rFonts w:cs="Arial"/>
        </w:rPr>
        <w:t>eň</w:t>
      </w:r>
      <w:r w:rsidRPr="00ED38E9">
        <w:rPr>
          <w:rFonts w:cs="Arial"/>
        </w:rPr>
        <w:t xml:space="preserve"> zpětného odběru pneumatik. </w:t>
      </w:r>
      <w:r w:rsidR="00FE52B8" w:rsidRPr="00ED38E9">
        <w:rPr>
          <w:rFonts w:cs="Arial"/>
        </w:rPr>
        <w:t xml:space="preserve">Tento extrémní stav se změnil </w:t>
      </w:r>
      <w:r w:rsidR="00AC213F">
        <w:rPr>
          <w:rFonts w:cs="Arial"/>
        </w:rPr>
        <w:t>po</w:t>
      </w:r>
      <w:r w:rsidR="00FE52B8" w:rsidRPr="00ED38E9">
        <w:rPr>
          <w:rFonts w:cs="Arial"/>
        </w:rPr>
        <w:t xml:space="preserve"> novel</w:t>
      </w:r>
      <w:r w:rsidR="00AC213F">
        <w:rPr>
          <w:rFonts w:cs="Arial"/>
        </w:rPr>
        <w:t>e</w:t>
      </w:r>
      <w:r w:rsidR="00FE52B8" w:rsidRPr="00ED38E9">
        <w:rPr>
          <w:rFonts w:cs="Arial"/>
        </w:rPr>
        <w:t xml:space="preserve"> zákona o odpadech</w:t>
      </w:r>
      <w:r w:rsidR="00AC213F">
        <w:rPr>
          <w:rFonts w:cs="Arial"/>
        </w:rPr>
        <w:t xml:space="preserve"> v roce 2013</w:t>
      </w:r>
      <w:r w:rsidR="00FE52B8" w:rsidRPr="00ED38E9">
        <w:rPr>
          <w:rFonts w:cs="Arial"/>
        </w:rPr>
        <w:t>, kdy byla stan</w:t>
      </w:r>
      <w:r w:rsidR="00256558" w:rsidRPr="00ED38E9">
        <w:rPr>
          <w:rFonts w:cs="Arial"/>
        </w:rPr>
        <w:t>o</w:t>
      </w:r>
      <w:r w:rsidR="00FE52B8" w:rsidRPr="00ED38E9">
        <w:rPr>
          <w:rFonts w:cs="Arial"/>
        </w:rPr>
        <w:t xml:space="preserve">vena minimální úroveň </w:t>
      </w:r>
      <w:r w:rsidR="00AC213F">
        <w:rPr>
          <w:rFonts w:cs="Arial"/>
        </w:rPr>
        <w:t>zpětného odběru</w:t>
      </w:r>
      <w:r w:rsidR="00FE52B8" w:rsidRPr="00ED38E9">
        <w:rPr>
          <w:rFonts w:cs="Arial"/>
        </w:rPr>
        <w:t xml:space="preserve"> na</w:t>
      </w:r>
      <w:r w:rsidR="00BC680B" w:rsidRPr="00ED38E9">
        <w:rPr>
          <w:rFonts w:cs="Arial"/>
        </w:rPr>
        <w:t> </w:t>
      </w:r>
      <w:r w:rsidR="00FE52B8" w:rsidRPr="00ED38E9">
        <w:rPr>
          <w:rFonts w:cs="Arial"/>
        </w:rPr>
        <w:t>35</w:t>
      </w:r>
      <w:r w:rsidR="00BC680B" w:rsidRPr="00ED38E9">
        <w:rPr>
          <w:rFonts w:cs="Arial"/>
        </w:rPr>
        <w:t> </w:t>
      </w:r>
      <w:r w:rsidR="00FE52B8" w:rsidRPr="00ED38E9">
        <w:rPr>
          <w:rFonts w:cs="Arial"/>
        </w:rPr>
        <w:t xml:space="preserve">%, což podle našeho názoru není z hlediska sběru </w:t>
      </w:r>
      <w:r w:rsidR="00256558" w:rsidRPr="00ED38E9">
        <w:rPr>
          <w:rFonts w:cs="Arial"/>
        </w:rPr>
        <w:t xml:space="preserve">odpadních pneumatik </w:t>
      </w:r>
      <w:r w:rsidR="00FE52B8" w:rsidRPr="00ED38E9">
        <w:rPr>
          <w:rFonts w:cs="Arial"/>
        </w:rPr>
        <w:t>dostatečné.</w:t>
      </w:r>
    </w:p>
    <w:p w:rsidR="00324860" w:rsidRPr="00ED38E9" w:rsidRDefault="00324860" w:rsidP="00F97AF3">
      <w:pPr>
        <w:pStyle w:val="Nadpis3"/>
      </w:pPr>
      <w:r w:rsidRPr="00ED38E9">
        <w:t>Popis existujícího právního stavu v dané oblasti</w:t>
      </w:r>
    </w:p>
    <w:p w:rsidR="00324860" w:rsidRPr="00ED38E9" w:rsidRDefault="00324860" w:rsidP="00324860">
      <w:pPr>
        <w:rPr>
          <w:rFonts w:cs="Arial"/>
        </w:rPr>
      </w:pPr>
      <w:r w:rsidRPr="00ED38E9">
        <w:rPr>
          <w:rFonts w:cs="Arial"/>
        </w:rPr>
        <w:t>Novelou zákona</w:t>
      </w:r>
      <w:r w:rsidR="00960766" w:rsidRPr="00ED38E9">
        <w:rPr>
          <w:rFonts w:cs="Arial"/>
        </w:rPr>
        <w:t xml:space="preserve"> o odpadech zákonem</w:t>
      </w:r>
      <w:r w:rsidRPr="00ED38E9">
        <w:rPr>
          <w:rFonts w:cs="Arial"/>
        </w:rPr>
        <w:t xml:space="preserve"> č. 169/2013 Sb. ze dne 16. května 2013 </w:t>
      </w:r>
      <w:r w:rsidR="00ED73E4">
        <w:rPr>
          <w:rFonts w:cs="Arial"/>
        </w:rPr>
        <w:t>vstoupilo</w:t>
      </w:r>
      <w:r w:rsidR="00ED73E4" w:rsidRPr="00ED38E9">
        <w:rPr>
          <w:rFonts w:cs="Arial"/>
        </w:rPr>
        <w:t xml:space="preserve"> </w:t>
      </w:r>
      <w:r w:rsidRPr="00ED38E9">
        <w:rPr>
          <w:rFonts w:cs="Arial"/>
        </w:rPr>
        <w:t>v</w:t>
      </w:r>
      <w:r w:rsidR="00C36042">
        <w:rPr>
          <w:rFonts w:cs="Arial"/>
        </w:rPr>
        <w:t> </w:t>
      </w:r>
      <w:r w:rsidRPr="00ED38E9">
        <w:rPr>
          <w:rFonts w:cs="Arial"/>
        </w:rPr>
        <w:t>platnost</w:t>
      </w:r>
      <w:r w:rsidR="00C36042">
        <w:rPr>
          <w:rFonts w:cs="Arial"/>
        </w:rPr>
        <w:t xml:space="preserve"> ustanovení § 38a zákona o odpadech</w:t>
      </w:r>
      <w:r w:rsidRPr="00ED38E9">
        <w:rPr>
          <w:rFonts w:cs="Arial"/>
        </w:rPr>
        <w:t xml:space="preserve">, </w:t>
      </w:r>
      <w:r w:rsidR="00C36042">
        <w:rPr>
          <w:rFonts w:cs="Arial"/>
        </w:rPr>
        <w:t>podle kterého jsou</w:t>
      </w:r>
      <w:r w:rsidRPr="00ED38E9">
        <w:rPr>
          <w:rFonts w:cs="Arial"/>
        </w:rPr>
        <w:t xml:space="preserve"> povinn</w:t>
      </w:r>
      <w:r w:rsidR="00ED73E4">
        <w:rPr>
          <w:rFonts w:cs="Arial"/>
        </w:rPr>
        <w:t>é</w:t>
      </w:r>
      <w:r w:rsidRPr="00ED38E9">
        <w:rPr>
          <w:rFonts w:cs="Arial"/>
        </w:rPr>
        <w:t xml:space="preserve"> </w:t>
      </w:r>
      <w:r w:rsidR="00ED73E4" w:rsidRPr="00ED38E9">
        <w:rPr>
          <w:rFonts w:cs="Arial"/>
        </w:rPr>
        <w:t>osob</w:t>
      </w:r>
      <w:r w:rsidR="00ED73E4">
        <w:rPr>
          <w:rFonts w:cs="Arial"/>
        </w:rPr>
        <w:t>y</w:t>
      </w:r>
      <w:r w:rsidR="00ED73E4" w:rsidRPr="00ED38E9">
        <w:rPr>
          <w:rFonts w:cs="Arial"/>
        </w:rPr>
        <w:t xml:space="preserve"> povinn</w:t>
      </w:r>
      <w:r w:rsidR="00ED73E4">
        <w:rPr>
          <w:rFonts w:cs="Arial"/>
        </w:rPr>
        <w:t>y</w:t>
      </w:r>
      <w:r w:rsidR="00ED73E4" w:rsidRPr="00ED38E9">
        <w:rPr>
          <w:rFonts w:cs="Arial"/>
        </w:rPr>
        <w:t xml:space="preserve"> </w:t>
      </w:r>
      <w:r w:rsidRPr="00ED38E9">
        <w:rPr>
          <w:rFonts w:cs="Arial"/>
        </w:rPr>
        <w:t>zajistit minimální úroveň zpětného odběru použitých pneumatik ve výši 35 % za každý kalendářní rok. Minimální úroveň zpětného odběru je vyjádřena jako procentuální podíl celkové hmotnosti pneumatik sebraných v rámci zpětného odběru povinnou osobou v daném kalendářním roce k celkové hmotnosti pneumatik uvedených touto povinnou osobou na trh v témže kalendářním roce</w:t>
      </w:r>
      <w:r w:rsidR="00ED73E4">
        <w:rPr>
          <w:rFonts w:cs="Arial"/>
        </w:rPr>
        <w:t xml:space="preserve"> (v rámci nového zákona se výpočet </w:t>
      </w:r>
      <w:r w:rsidR="00C36042">
        <w:rPr>
          <w:rFonts w:cs="Arial"/>
        </w:rPr>
        <w:t>m</w:t>
      </w:r>
      <w:r w:rsidR="00ED73E4">
        <w:rPr>
          <w:rFonts w:cs="Arial"/>
        </w:rPr>
        <w:t xml:space="preserve">ění a bude se počítat z průměru výrobků uvedených </w:t>
      </w:r>
      <w:r w:rsidR="00C36042">
        <w:rPr>
          <w:rFonts w:cs="Arial"/>
        </w:rPr>
        <w:t xml:space="preserve">na trh </w:t>
      </w:r>
      <w:r w:rsidR="00ED73E4">
        <w:rPr>
          <w:rFonts w:cs="Arial"/>
        </w:rPr>
        <w:t>v předchozích třech letech v případě, že byly výrobky v těchto letech na trh uváděny)</w:t>
      </w:r>
      <w:r w:rsidRPr="00ED38E9">
        <w:rPr>
          <w:rFonts w:cs="Arial"/>
        </w:rPr>
        <w:t>.</w:t>
      </w:r>
    </w:p>
    <w:p w:rsidR="00324860" w:rsidRPr="00ED38E9" w:rsidRDefault="00324860" w:rsidP="00F97AF3">
      <w:pPr>
        <w:pStyle w:val="Nadpis3"/>
      </w:pPr>
      <w:r w:rsidRPr="00ED38E9">
        <w:t>Identifikace dotčených subjektů</w:t>
      </w:r>
    </w:p>
    <w:p w:rsidR="00324860" w:rsidRPr="00ED38E9" w:rsidRDefault="00324860" w:rsidP="002D66F0">
      <w:pPr>
        <w:pStyle w:val="Odstavecseseznamem"/>
        <w:numPr>
          <w:ilvl w:val="0"/>
          <w:numId w:val="34"/>
        </w:numPr>
        <w:contextualSpacing w:val="0"/>
        <w:rPr>
          <w:rFonts w:cs="Arial"/>
        </w:rPr>
      </w:pPr>
      <w:r w:rsidRPr="00ED38E9">
        <w:rPr>
          <w:rFonts w:cs="Arial"/>
        </w:rPr>
        <w:t>povinná osoba (výrobce),</w:t>
      </w:r>
    </w:p>
    <w:p w:rsidR="00324860" w:rsidRPr="00ED38E9" w:rsidRDefault="00324860" w:rsidP="002D66F0">
      <w:pPr>
        <w:pStyle w:val="Odstavecseseznamem"/>
        <w:numPr>
          <w:ilvl w:val="0"/>
          <w:numId w:val="34"/>
        </w:numPr>
        <w:contextualSpacing w:val="0"/>
        <w:rPr>
          <w:rFonts w:cs="Arial"/>
        </w:rPr>
      </w:pPr>
      <w:r w:rsidRPr="00ED38E9">
        <w:rPr>
          <w:rFonts w:cs="Arial"/>
        </w:rPr>
        <w:lastRenderedPageBreak/>
        <w:t>Ministerstvo životního prostředí (</w:t>
      </w:r>
      <w:r w:rsidR="004C7066" w:rsidRPr="00ED38E9">
        <w:rPr>
          <w:rFonts w:cs="Arial"/>
        </w:rPr>
        <w:t xml:space="preserve">MŽP, </w:t>
      </w:r>
      <w:r w:rsidRPr="00ED38E9">
        <w:rPr>
          <w:rFonts w:cs="Arial"/>
        </w:rPr>
        <w:t>ministerstvo),</w:t>
      </w:r>
    </w:p>
    <w:p w:rsidR="00324860" w:rsidRPr="00ED38E9" w:rsidRDefault="00324860" w:rsidP="002D66F0">
      <w:pPr>
        <w:pStyle w:val="Odstavecseseznamem"/>
        <w:numPr>
          <w:ilvl w:val="0"/>
          <w:numId w:val="34"/>
        </w:numPr>
        <w:contextualSpacing w:val="0"/>
        <w:rPr>
          <w:rFonts w:cs="Arial"/>
        </w:rPr>
      </w:pPr>
      <w:r w:rsidRPr="00ED38E9">
        <w:rPr>
          <w:rFonts w:cs="Arial"/>
        </w:rPr>
        <w:t>Česká inspekce životního prostředí (ČIŽP).</w:t>
      </w:r>
    </w:p>
    <w:p w:rsidR="00324860" w:rsidRPr="00ED38E9" w:rsidRDefault="00324860" w:rsidP="00F97AF3">
      <w:pPr>
        <w:pStyle w:val="Nadpis3"/>
      </w:pPr>
      <w:r w:rsidRPr="00ED38E9">
        <w:t>Popis cílového stavu</w:t>
      </w:r>
    </w:p>
    <w:p w:rsidR="00324860" w:rsidRPr="00ED38E9" w:rsidRDefault="00324860" w:rsidP="00324860">
      <w:pPr>
        <w:rPr>
          <w:rFonts w:cs="Arial"/>
        </w:rPr>
      </w:pPr>
      <w:r w:rsidRPr="00ED38E9">
        <w:rPr>
          <w:rFonts w:cs="Arial"/>
        </w:rPr>
        <w:t xml:space="preserve">Hlavním cílem navrhovaných limitů je zvýšit úroveň </w:t>
      </w:r>
      <w:r w:rsidR="00C02A81">
        <w:rPr>
          <w:rFonts w:cs="Arial"/>
        </w:rPr>
        <w:t>zpětného odběru</w:t>
      </w:r>
      <w:r w:rsidRPr="00ED38E9">
        <w:rPr>
          <w:rFonts w:cs="Arial"/>
        </w:rPr>
        <w:t xml:space="preserve"> a tím </w:t>
      </w:r>
      <w:r w:rsidR="00ED73E4">
        <w:rPr>
          <w:rFonts w:cs="Arial"/>
        </w:rPr>
        <w:t>sjedno</w:t>
      </w:r>
      <w:r w:rsidR="00C02A81">
        <w:rPr>
          <w:rFonts w:cs="Arial"/>
        </w:rPr>
        <w:t>tit</w:t>
      </w:r>
      <w:r w:rsidR="00ED73E4">
        <w:rPr>
          <w:rFonts w:cs="Arial"/>
        </w:rPr>
        <w:t xml:space="preserve"> podmínk</w:t>
      </w:r>
      <w:r w:rsidR="00C02A81">
        <w:rPr>
          <w:rFonts w:cs="Arial"/>
        </w:rPr>
        <w:t>y</w:t>
      </w:r>
      <w:r w:rsidR="00ED73E4">
        <w:rPr>
          <w:rFonts w:cs="Arial"/>
        </w:rPr>
        <w:t xml:space="preserve"> pro</w:t>
      </w:r>
      <w:r w:rsidR="00ED73E4" w:rsidRPr="00ED38E9">
        <w:rPr>
          <w:rFonts w:cs="Arial"/>
        </w:rPr>
        <w:t xml:space="preserve"> </w:t>
      </w:r>
      <w:r w:rsidRPr="00ED38E9">
        <w:rPr>
          <w:rFonts w:cs="Arial"/>
        </w:rPr>
        <w:t xml:space="preserve">všechny výrobce </w:t>
      </w:r>
      <w:r w:rsidR="00ED73E4">
        <w:rPr>
          <w:rFonts w:cs="Arial"/>
        </w:rPr>
        <w:t>v oblasti zpětného odběru pneumatik</w:t>
      </w:r>
      <w:r w:rsidR="00C02A81">
        <w:rPr>
          <w:rFonts w:cs="Arial"/>
        </w:rPr>
        <w:t>.</w:t>
      </w:r>
      <w:r w:rsidRPr="00ED38E9">
        <w:rPr>
          <w:rFonts w:cs="Arial"/>
        </w:rPr>
        <w:t xml:space="preserve"> </w:t>
      </w:r>
      <w:r w:rsidR="00C02A81">
        <w:rPr>
          <w:rFonts w:cs="Arial"/>
        </w:rPr>
        <w:t>Dalším cílem je</w:t>
      </w:r>
      <w:r w:rsidRPr="00ED38E9">
        <w:rPr>
          <w:rFonts w:cs="Arial"/>
        </w:rPr>
        <w:t xml:space="preserve"> pak zajištění sběru </w:t>
      </w:r>
      <w:r w:rsidR="00C02A81">
        <w:rPr>
          <w:rFonts w:cs="Arial"/>
        </w:rPr>
        <w:t xml:space="preserve">odpadních </w:t>
      </w:r>
      <w:r w:rsidRPr="00ED38E9">
        <w:rPr>
          <w:rFonts w:cs="Arial"/>
        </w:rPr>
        <w:t>pneumatik, které jsou volně ložené na různých prostranstvích a plochách.</w:t>
      </w:r>
    </w:p>
    <w:p w:rsidR="00324860" w:rsidRPr="00ED38E9" w:rsidRDefault="00324860" w:rsidP="00F97AF3">
      <w:pPr>
        <w:pStyle w:val="Nadpis3"/>
      </w:pPr>
      <w:r w:rsidRPr="00ED38E9">
        <w:t>Zhodnocení rizika</w:t>
      </w:r>
    </w:p>
    <w:p w:rsidR="00324860" w:rsidRPr="00ED38E9" w:rsidRDefault="00324860" w:rsidP="00324860">
      <w:pPr>
        <w:rPr>
          <w:rFonts w:cs="Arial"/>
        </w:rPr>
      </w:pPr>
      <w:r w:rsidRPr="00ED38E9">
        <w:rPr>
          <w:rFonts w:cs="Arial"/>
        </w:rPr>
        <w:t>Rizikem je malá motivace výrobců, potažmo zákazníků k odevzdávání odpadních pneumatik k recyklaci</w:t>
      </w:r>
      <w:r w:rsidR="00FB4015" w:rsidRPr="00ED38E9">
        <w:rPr>
          <w:rFonts w:cs="Arial"/>
        </w:rPr>
        <w:t xml:space="preserve"> a </w:t>
      </w:r>
      <w:r w:rsidRPr="00ED38E9">
        <w:rPr>
          <w:rFonts w:cs="Arial"/>
        </w:rPr>
        <w:t>ukládání odpadních pneumatik na místa, kter</w:t>
      </w:r>
      <w:r w:rsidR="00FB4015" w:rsidRPr="00ED38E9">
        <w:rPr>
          <w:rFonts w:cs="Arial"/>
        </w:rPr>
        <w:t>á</w:t>
      </w:r>
      <w:r w:rsidRPr="00ED38E9">
        <w:rPr>
          <w:rFonts w:cs="Arial"/>
        </w:rPr>
        <w:t xml:space="preserve"> k tomu nejsou určená (příkopy, kontejnerová stání apod.).</w:t>
      </w:r>
    </w:p>
    <w:p w:rsidR="00324860" w:rsidRPr="00ED38E9" w:rsidRDefault="00324860" w:rsidP="00F97AF3">
      <w:pPr>
        <w:pStyle w:val="Nadpis2"/>
      </w:pPr>
      <w:bookmarkStart w:id="258" w:name="_Toc441759942"/>
      <w:r w:rsidRPr="00ED38E9">
        <w:t>Návrh variant řešení</w:t>
      </w:r>
      <w:bookmarkEnd w:id="258"/>
    </w:p>
    <w:p w:rsidR="00324860" w:rsidRPr="00ED38E9" w:rsidRDefault="00324860" w:rsidP="00F97AF3">
      <w:pPr>
        <w:pStyle w:val="Nadpis3"/>
      </w:pPr>
      <w:r w:rsidRPr="00ED38E9">
        <w:t>Varianta 0</w:t>
      </w:r>
    </w:p>
    <w:p w:rsidR="00324860" w:rsidRPr="00ED38E9" w:rsidRDefault="00324860" w:rsidP="00324860">
      <w:pPr>
        <w:rPr>
          <w:rFonts w:cs="Arial"/>
        </w:rPr>
      </w:pPr>
      <w:r w:rsidRPr="00ED38E9">
        <w:rPr>
          <w:rFonts w:cs="Arial"/>
        </w:rPr>
        <w:t xml:space="preserve">Ponechání současného stavu, tj. povinnost zajištění minimálního </w:t>
      </w:r>
      <w:r w:rsidR="00C02A81">
        <w:rPr>
          <w:rFonts w:cs="Arial"/>
        </w:rPr>
        <w:t>úrovně zpětného odběru</w:t>
      </w:r>
      <w:r w:rsidRPr="00ED38E9">
        <w:rPr>
          <w:rFonts w:cs="Arial"/>
        </w:rPr>
        <w:t xml:space="preserve"> ve výši 35 %.</w:t>
      </w:r>
    </w:p>
    <w:p w:rsidR="00324860" w:rsidRPr="00ED38E9" w:rsidRDefault="00324860" w:rsidP="00F97AF3">
      <w:pPr>
        <w:pStyle w:val="Nadpis3"/>
      </w:pPr>
      <w:r w:rsidRPr="00ED38E9">
        <w:t>Varianta 1</w:t>
      </w:r>
    </w:p>
    <w:p w:rsidR="00324860" w:rsidRPr="00ED38E9" w:rsidRDefault="00324860" w:rsidP="00BC680B">
      <w:pPr>
        <w:keepNext/>
        <w:rPr>
          <w:rFonts w:cs="Arial"/>
        </w:rPr>
      </w:pPr>
      <w:r w:rsidRPr="00ED38E9">
        <w:rPr>
          <w:rFonts w:cs="Arial"/>
        </w:rPr>
        <w:t>Nastavení úrovně sběru (viz tabulka).</w:t>
      </w:r>
    </w:p>
    <w:p w:rsidR="00324860" w:rsidRPr="00ED38E9" w:rsidRDefault="00324860" w:rsidP="00324860">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66</w:t>
      </w:r>
      <w:r w:rsidR="00381FB7" w:rsidRPr="00ED38E9">
        <w:rPr>
          <w:rFonts w:cs="Arial"/>
        </w:rPr>
        <w:fldChar w:fldCharType="end"/>
      </w:r>
      <w:r w:rsidRPr="00ED38E9">
        <w:rPr>
          <w:rFonts w:cs="Arial"/>
        </w:rPr>
        <w:t>: Požadovaná úroveň zpětného odběru odpadních pneumatik</w:t>
      </w:r>
    </w:p>
    <w:p w:rsidR="00324860" w:rsidRPr="00ED38E9" w:rsidRDefault="00A32254" w:rsidP="00324860">
      <w:pPr>
        <w:rPr>
          <w:rFonts w:cs="Arial"/>
        </w:rPr>
      </w:pPr>
      <w:r>
        <w:rPr>
          <w:rFonts w:cs="Arial"/>
          <w:lang w:eastAsia="cs-CZ" w:bidi="ar-SA"/>
        </w:rPr>
        <mc:AlternateContent>
          <mc:Choice Requires="wpc">
            <w:drawing>
              <wp:inline distT="0" distB="0" distL="0" distR="0" wp14:anchorId="5FB4BB2F" wp14:editId="337DE1C7">
                <wp:extent cx="4772025" cy="704850"/>
                <wp:effectExtent l="9525" t="9525" r="9525" b="9525"/>
                <wp:docPr id="1370" name="Plátno 3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239" name="Rectangle 72"/>
                        <wps:cNvSpPr>
                          <a:spLocks noChangeArrowheads="1"/>
                        </wps:cNvSpPr>
                        <wps:spPr bwMode="auto">
                          <a:xfrm>
                            <a:off x="1114406" y="19001"/>
                            <a:ext cx="309202" cy="21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lang w:val="en-US"/>
                                </w:rPr>
                                <w:t>2016</w:t>
                              </w:r>
                            </w:p>
                          </w:txbxContent>
                        </wps:txbx>
                        <wps:bodyPr rot="0" vert="horz" wrap="none" lIns="0" tIns="0" rIns="0" bIns="0" anchor="t" anchorCtr="0" upright="1">
                          <a:spAutoFit/>
                        </wps:bodyPr>
                      </wps:wsp>
                      <wps:wsp>
                        <wps:cNvPr id="1240" name="Rectangle 73"/>
                        <wps:cNvSpPr>
                          <a:spLocks noChangeArrowheads="1"/>
                        </wps:cNvSpPr>
                        <wps:spPr bwMode="auto">
                          <a:xfrm>
                            <a:off x="1885910" y="22802"/>
                            <a:ext cx="309202" cy="21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lang w:val="en-US"/>
                                </w:rPr>
                                <w:t>2017</w:t>
                              </w:r>
                            </w:p>
                          </w:txbxContent>
                        </wps:txbx>
                        <wps:bodyPr rot="0" vert="horz" wrap="none" lIns="0" tIns="0" rIns="0" bIns="0" anchor="t" anchorCtr="0" upright="1">
                          <a:spAutoFit/>
                        </wps:bodyPr>
                      </wps:wsp>
                      <wps:wsp>
                        <wps:cNvPr id="1241" name="Rectangle 74"/>
                        <wps:cNvSpPr>
                          <a:spLocks noChangeArrowheads="1"/>
                        </wps:cNvSpPr>
                        <wps:spPr bwMode="auto">
                          <a:xfrm>
                            <a:off x="2733614" y="19001"/>
                            <a:ext cx="309202" cy="21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lang w:val="en-US"/>
                                </w:rPr>
                                <w:t>2018</w:t>
                              </w:r>
                            </w:p>
                          </w:txbxContent>
                        </wps:txbx>
                        <wps:bodyPr rot="0" vert="horz" wrap="none" lIns="0" tIns="0" rIns="0" bIns="0" anchor="t" anchorCtr="0" upright="1">
                          <a:spAutoFit/>
                        </wps:bodyPr>
                      </wps:wsp>
                      <wps:wsp>
                        <wps:cNvPr id="1242" name="Rectangle 75"/>
                        <wps:cNvSpPr>
                          <a:spLocks noChangeArrowheads="1"/>
                        </wps:cNvSpPr>
                        <wps:spPr bwMode="auto">
                          <a:xfrm>
                            <a:off x="3695719" y="19001"/>
                            <a:ext cx="724504" cy="213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lang w:val="en-US"/>
                                </w:rPr>
                                <w:t>2019 a dále</w:t>
                              </w:r>
                            </w:p>
                          </w:txbxContent>
                        </wps:txbx>
                        <wps:bodyPr rot="0" vert="horz" wrap="none" lIns="0" tIns="0" rIns="0" bIns="0" anchor="t" anchorCtr="0" upright="1">
                          <a:spAutoFit/>
                        </wps:bodyPr>
                      </wps:wsp>
                      <wps:wsp>
                        <wps:cNvPr id="1243" name="Rectangle 76"/>
                        <wps:cNvSpPr>
                          <a:spLocks noChangeArrowheads="1"/>
                        </wps:cNvSpPr>
                        <wps:spPr bwMode="auto">
                          <a:xfrm>
                            <a:off x="28500" y="219016"/>
                            <a:ext cx="756204" cy="21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lang w:val="en-US"/>
                                </w:rPr>
                                <w:t>Pneumatiky</w:t>
                              </w:r>
                            </w:p>
                          </w:txbxContent>
                        </wps:txbx>
                        <wps:bodyPr rot="0" vert="horz" wrap="none" lIns="0" tIns="0" rIns="0" bIns="0" anchor="t" anchorCtr="0" upright="1">
                          <a:spAutoFit/>
                        </wps:bodyPr>
                      </wps:wsp>
                      <wps:wsp>
                        <wps:cNvPr id="1244" name="Rectangle 77"/>
                        <wps:cNvSpPr>
                          <a:spLocks noChangeArrowheads="1"/>
                        </wps:cNvSpPr>
                        <wps:spPr bwMode="auto">
                          <a:xfrm>
                            <a:off x="1114406" y="219016"/>
                            <a:ext cx="298402" cy="21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lang w:val="en-US"/>
                                </w:rPr>
                                <w:t>35 %</w:t>
                              </w:r>
                            </w:p>
                          </w:txbxContent>
                        </wps:txbx>
                        <wps:bodyPr rot="0" vert="horz" wrap="none" lIns="0" tIns="0" rIns="0" bIns="0" anchor="t" anchorCtr="0" upright="1">
                          <a:spAutoFit/>
                        </wps:bodyPr>
                      </wps:wsp>
                      <wps:wsp>
                        <wps:cNvPr id="1245" name="Rectangle 79"/>
                        <wps:cNvSpPr>
                          <a:spLocks noChangeArrowheads="1"/>
                        </wps:cNvSpPr>
                        <wps:spPr bwMode="auto">
                          <a:xfrm>
                            <a:off x="2733614" y="219016"/>
                            <a:ext cx="298402" cy="21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lang w:val="en-US"/>
                                </w:rPr>
                                <w:t>75 %</w:t>
                              </w:r>
                            </w:p>
                          </w:txbxContent>
                        </wps:txbx>
                        <wps:bodyPr rot="0" vert="horz" wrap="none" lIns="0" tIns="0" rIns="0" bIns="0" anchor="t" anchorCtr="0" upright="1">
                          <a:spAutoFit/>
                        </wps:bodyPr>
                      </wps:wsp>
                      <wps:wsp>
                        <wps:cNvPr id="1312" name="Rectangle 80"/>
                        <wps:cNvSpPr>
                          <a:spLocks noChangeArrowheads="1"/>
                        </wps:cNvSpPr>
                        <wps:spPr bwMode="auto">
                          <a:xfrm>
                            <a:off x="3886220" y="219016"/>
                            <a:ext cx="298402" cy="21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lang w:val="en-US"/>
                                </w:rPr>
                                <w:t>80 %</w:t>
                              </w:r>
                            </w:p>
                          </w:txbxContent>
                        </wps:txbx>
                        <wps:bodyPr rot="0" vert="horz" wrap="none" lIns="0" tIns="0" rIns="0" bIns="0" anchor="t" anchorCtr="0" upright="1">
                          <a:spAutoFit/>
                        </wps:bodyPr>
                      </wps:wsp>
                      <wps:wsp>
                        <wps:cNvPr id="1313" name="Rectangle 81"/>
                        <wps:cNvSpPr>
                          <a:spLocks noChangeArrowheads="1"/>
                        </wps:cNvSpPr>
                        <wps:spPr bwMode="auto">
                          <a:xfrm>
                            <a:off x="28500" y="419130"/>
                            <a:ext cx="3973921" cy="142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16"/>
                                  <w:szCs w:val="16"/>
                                  <w:lang w:val="en-US"/>
                                </w:rPr>
                                <w:t xml:space="preserve">V povinné úrovni zpětného odběru je již zohledněn úbytek materiálu z pneumatik, který je podle </w:t>
                              </w:r>
                            </w:p>
                          </w:txbxContent>
                        </wps:txbx>
                        <wps:bodyPr rot="0" vert="horz" wrap="none" lIns="0" tIns="0" rIns="0" bIns="0" anchor="t" anchorCtr="0" upright="1">
                          <a:spAutoFit/>
                        </wps:bodyPr>
                      </wps:wsp>
                      <wps:wsp>
                        <wps:cNvPr id="1315" name="Rectangle 82"/>
                        <wps:cNvSpPr>
                          <a:spLocks noChangeArrowheads="1"/>
                        </wps:cNvSpPr>
                        <wps:spPr bwMode="auto">
                          <a:xfrm>
                            <a:off x="28500" y="561940"/>
                            <a:ext cx="2009211" cy="14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16"/>
                                  <w:szCs w:val="16"/>
                                  <w:lang w:val="en-US"/>
                                </w:rPr>
                                <w:t xml:space="preserve">dostupných informací od 10-15 % hmotnostních. </w:t>
                              </w:r>
                            </w:p>
                          </w:txbxContent>
                        </wps:txbx>
                        <wps:bodyPr rot="0" vert="horz" wrap="none" lIns="0" tIns="0" rIns="0" bIns="0" anchor="t" anchorCtr="0" upright="1">
                          <a:spAutoFit/>
                        </wps:bodyPr>
                      </wps:wsp>
                      <wps:wsp>
                        <wps:cNvPr id="1316" name="Line 83"/>
                        <wps:cNvCnPr/>
                        <wps:spPr bwMode="auto">
                          <a:xfrm flipV="1">
                            <a:off x="0"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17" name="Rectangle 84"/>
                        <wps:cNvSpPr>
                          <a:spLocks noChangeArrowheads="1"/>
                        </wps:cNvSpPr>
                        <wps:spPr bwMode="auto">
                          <a:xfrm>
                            <a:off x="0" y="-9501"/>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Line 85"/>
                        <wps:cNvCnPr/>
                        <wps:spPr bwMode="auto">
                          <a:xfrm flipV="1">
                            <a:off x="838204"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19" name="Rectangle 86"/>
                        <wps:cNvSpPr>
                          <a:spLocks noChangeArrowheads="1"/>
                        </wps:cNvSpPr>
                        <wps:spPr bwMode="auto">
                          <a:xfrm>
                            <a:off x="838204" y="-9501"/>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Line 87"/>
                        <wps:cNvCnPr/>
                        <wps:spPr bwMode="auto">
                          <a:xfrm flipV="1">
                            <a:off x="1647809"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21" name="Rectangle 88"/>
                        <wps:cNvSpPr>
                          <a:spLocks noChangeArrowheads="1"/>
                        </wps:cNvSpPr>
                        <wps:spPr bwMode="auto">
                          <a:xfrm>
                            <a:off x="1647809" y="-9501"/>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Line 89"/>
                        <wps:cNvCnPr/>
                        <wps:spPr bwMode="auto">
                          <a:xfrm flipV="1">
                            <a:off x="2457413"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23" name="Rectangle 90"/>
                        <wps:cNvSpPr>
                          <a:spLocks noChangeArrowheads="1"/>
                        </wps:cNvSpPr>
                        <wps:spPr bwMode="auto">
                          <a:xfrm>
                            <a:off x="2457413" y="-9501"/>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Line 91"/>
                        <wps:cNvCnPr/>
                        <wps:spPr bwMode="auto">
                          <a:xfrm flipV="1">
                            <a:off x="3267017" y="0"/>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25" name="Rectangle 92"/>
                        <wps:cNvSpPr>
                          <a:spLocks noChangeArrowheads="1"/>
                        </wps:cNvSpPr>
                        <wps:spPr bwMode="auto">
                          <a:xfrm>
                            <a:off x="3267017" y="-9501"/>
                            <a:ext cx="96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93"/>
                        <wps:cNvSpPr>
                          <a:spLocks noChangeArrowheads="1"/>
                        </wps:cNvSpPr>
                        <wps:spPr bwMode="auto">
                          <a:xfrm>
                            <a:off x="9500" y="-9501"/>
                            <a:ext cx="4762525" cy="190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94"/>
                        <wps:cNvCnPr/>
                        <wps:spPr bwMode="auto">
                          <a:xfrm flipV="1">
                            <a:off x="4762525"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28" name="Rectangle 95"/>
                        <wps:cNvSpPr>
                          <a:spLocks noChangeArrowheads="1"/>
                        </wps:cNvSpPr>
                        <wps:spPr bwMode="auto">
                          <a:xfrm>
                            <a:off x="4762525" y="-9501"/>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Line 96"/>
                        <wps:cNvCnPr/>
                        <wps:spPr bwMode="auto">
                          <a:xfrm>
                            <a:off x="1647809" y="9501"/>
                            <a:ext cx="0" cy="18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0" name="Rectangle 97"/>
                        <wps:cNvSpPr>
                          <a:spLocks noChangeArrowheads="1"/>
                        </wps:cNvSpPr>
                        <wps:spPr bwMode="auto">
                          <a:xfrm>
                            <a:off x="1647809" y="9501"/>
                            <a:ext cx="9500" cy="18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98"/>
                        <wps:cNvCnPr/>
                        <wps:spPr bwMode="auto">
                          <a:xfrm>
                            <a:off x="2457413" y="9501"/>
                            <a:ext cx="0" cy="18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2" name="Rectangle 99"/>
                        <wps:cNvSpPr>
                          <a:spLocks noChangeArrowheads="1"/>
                        </wps:cNvSpPr>
                        <wps:spPr bwMode="auto">
                          <a:xfrm>
                            <a:off x="2457413" y="9501"/>
                            <a:ext cx="9500" cy="18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100"/>
                        <wps:cNvCnPr/>
                        <wps:spPr bwMode="auto">
                          <a:xfrm>
                            <a:off x="3267017" y="9501"/>
                            <a:ext cx="0" cy="18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4" name="Rectangle 101"/>
                        <wps:cNvSpPr>
                          <a:spLocks noChangeArrowheads="1"/>
                        </wps:cNvSpPr>
                        <wps:spPr bwMode="auto">
                          <a:xfrm>
                            <a:off x="3267017" y="9501"/>
                            <a:ext cx="9600" cy="18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 name="Rectangle 102"/>
                        <wps:cNvSpPr>
                          <a:spLocks noChangeArrowheads="1"/>
                        </wps:cNvSpPr>
                        <wps:spPr bwMode="auto">
                          <a:xfrm>
                            <a:off x="9500" y="190514"/>
                            <a:ext cx="4762525" cy="190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 name="Line 103"/>
                        <wps:cNvCnPr/>
                        <wps:spPr bwMode="auto">
                          <a:xfrm>
                            <a:off x="4762525" y="9501"/>
                            <a:ext cx="0" cy="18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37" name="Rectangle 104"/>
                        <wps:cNvSpPr>
                          <a:spLocks noChangeArrowheads="1"/>
                        </wps:cNvSpPr>
                        <wps:spPr bwMode="auto">
                          <a:xfrm>
                            <a:off x="4762525" y="9501"/>
                            <a:ext cx="9500" cy="18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 name="Rectangle 105"/>
                        <wps:cNvSpPr>
                          <a:spLocks noChangeArrowheads="1"/>
                        </wps:cNvSpPr>
                        <wps:spPr bwMode="auto">
                          <a:xfrm>
                            <a:off x="-9500" y="-9501"/>
                            <a:ext cx="19000" cy="4190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Rectangle 106"/>
                        <wps:cNvSpPr>
                          <a:spLocks noChangeArrowheads="1"/>
                        </wps:cNvSpPr>
                        <wps:spPr bwMode="auto">
                          <a:xfrm>
                            <a:off x="9500" y="390528"/>
                            <a:ext cx="4762525" cy="1900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Line 107"/>
                        <wps:cNvCnPr/>
                        <wps:spPr bwMode="auto">
                          <a:xfrm>
                            <a:off x="4762525" y="209515"/>
                            <a:ext cx="0" cy="18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1" name="Rectangle 108"/>
                        <wps:cNvSpPr>
                          <a:spLocks noChangeArrowheads="1"/>
                        </wps:cNvSpPr>
                        <wps:spPr bwMode="auto">
                          <a:xfrm>
                            <a:off x="4762525" y="209515"/>
                            <a:ext cx="9500" cy="18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09"/>
                        <wps:cNvSpPr>
                          <a:spLocks noChangeArrowheads="1"/>
                        </wps:cNvSpPr>
                        <wps:spPr bwMode="auto">
                          <a:xfrm>
                            <a:off x="828604" y="9501"/>
                            <a:ext cx="19100" cy="40002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Line 110"/>
                        <wps:cNvCnPr/>
                        <wps:spPr bwMode="auto">
                          <a:xfrm>
                            <a:off x="1647809" y="209515"/>
                            <a:ext cx="0" cy="18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4" name="Rectangle 111"/>
                        <wps:cNvSpPr>
                          <a:spLocks noChangeArrowheads="1"/>
                        </wps:cNvSpPr>
                        <wps:spPr bwMode="auto">
                          <a:xfrm>
                            <a:off x="1647809" y="209515"/>
                            <a:ext cx="9500" cy="18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Line 112"/>
                        <wps:cNvCnPr/>
                        <wps:spPr bwMode="auto">
                          <a:xfrm>
                            <a:off x="2457413" y="209515"/>
                            <a:ext cx="0" cy="18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6" name="Rectangle 113"/>
                        <wps:cNvSpPr>
                          <a:spLocks noChangeArrowheads="1"/>
                        </wps:cNvSpPr>
                        <wps:spPr bwMode="auto">
                          <a:xfrm>
                            <a:off x="2457413" y="209515"/>
                            <a:ext cx="9500" cy="18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Line 114"/>
                        <wps:cNvCnPr/>
                        <wps:spPr bwMode="auto">
                          <a:xfrm>
                            <a:off x="3267017" y="209515"/>
                            <a:ext cx="0" cy="18101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348" name="Rectangle 115"/>
                        <wps:cNvSpPr>
                          <a:spLocks noChangeArrowheads="1"/>
                        </wps:cNvSpPr>
                        <wps:spPr bwMode="auto">
                          <a:xfrm>
                            <a:off x="3267017" y="209515"/>
                            <a:ext cx="9600" cy="18101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Line 116"/>
                        <wps:cNvCnPr/>
                        <wps:spPr bwMode="auto">
                          <a:xfrm>
                            <a:off x="0" y="409529"/>
                            <a:ext cx="600" cy="2953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50" name="Rectangle 117"/>
                        <wps:cNvSpPr>
                          <a:spLocks noChangeArrowheads="1"/>
                        </wps:cNvSpPr>
                        <wps:spPr bwMode="auto">
                          <a:xfrm>
                            <a:off x="0" y="409529"/>
                            <a:ext cx="9500" cy="30482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Line 118"/>
                        <wps:cNvCnPr/>
                        <wps:spPr bwMode="auto">
                          <a:xfrm>
                            <a:off x="838204" y="70485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52" name="Rectangle 119"/>
                        <wps:cNvSpPr>
                          <a:spLocks noChangeArrowheads="1"/>
                        </wps:cNvSpPr>
                        <wps:spPr bwMode="auto">
                          <a:xfrm>
                            <a:off x="838204" y="704850"/>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Line 120"/>
                        <wps:cNvCnPr/>
                        <wps:spPr bwMode="auto">
                          <a:xfrm>
                            <a:off x="1647809" y="70485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54" name="Rectangle 121"/>
                        <wps:cNvSpPr>
                          <a:spLocks noChangeArrowheads="1"/>
                        </wps:cNvSpPr>
                        <wps:spPr bwMode="auto">
                          <a:xfrm>
                            <a:off x="1647809" y="704850"/>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Line 122"/>
                        <wps:cNvCnPr/>
                        <wps:spPr bwMode="auto">
                          <a:xfrm>
                            <a:off x="2457413" y="70485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56" name="Rectangle 123"/>
                        <wps:cNvSpPr>
                          <a:spLocks noChangeArrowheads="1"/>
                        </wps:cNvSpPr>
                        <wps:spPr bwMode="auto">
                          <a:xfrm>
                            <a:off x="2457413" y="704850"/>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Line 124"/>
                        <wps:cNvCnPr/>
                        <wps:spPr bwMode="auto">
                          <a:xfrm>
                            <a:off x="3267017" y="704850"/>
                            <a:ext cx="7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58" name="Rectangle 125"/>
                        <wps:cNvSpPr>
                          <a:spLocks noChangeArrowheads="1"/>
                        </wps:cNvSpPr>
                        <wps:spPr bwMode="auto">
                          <a:xfrm>
                            <a:off x="3267017" y="704850"/>
                            <a:ext cx="96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Line 126"/>
                        <wps:cNvCnPr/>
                        <wps:spPr bwMode="auto">
                          <a:xfrm>
                            <a:off x="4762525" y="409529"/>
                            <a:ext cx="600" cy="295321"/>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0" name="Rectangle 127"/>
                        <wps:cNvSpPr>
                          <a:spLocks noChangeArrowheads="1"/>
                        </wps:cNvSpPr>
                        <wps:spPr bwMode="auto">
                          <a:xfrm>
                            <a:off x="4762525" y="409529"/>
                            <a:ext cx="9500" cy="304822"/>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128"/>
                        <wps:cNvCnPr/>
                        <wps:spPr bwMode="auto">
                          <a:xfrm>
                            <a:off x="4772025" y="0"/>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2" name="Rectangle 129"/>
                        <wps:cNvSpPr>
                          <a:spLocks noChangeArrowheads="1"/>
                        </wps:cNvSpPr>
                        <wps:spPr bwMode="auto">
                          <a:xfrm>
                            <a:off x="4772025" y="0"/>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Line 130"/>
                        <wps:cNvCnPr/>
                        <wps:spPr bwMode="auto">
                          <a:xfrm>
                            <a:off x="4772025" y="200014"/>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4" name="Rectangle 131"/>
                        <wps:cNvSpPr>
                          <a:spLocks noChangeArrowheads="1"/>
                        </wps:cNvSpPr>
                        <wps:spPr bwMode="auto">
                          <a:xfrm>
                            <a:off x="4772025" y="200014"/>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Line 132"/>
                        <wps:cNvCnPr/>
                        <wps:spPr bwMode="auto">
                          <a:xfrm>
                            <a:off x="4772025" y="400028"/>
                            <a:ext cx="600"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6" name="Rectangle 133"/>
                        <wps:cNvSpPr>
                          <a:spLocks noChangeArrowheads="1"/>
                        </wps:cNvSpPr>
                        <wps:spPr bwMode="auto">
                          <a:xfrm>
                            <a:off x="4772025" y="400028"/>
                            <a:ext cx="9500"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Line 134"/>
                        <wps:cNvCnPr/>
                        <wps:spPr bwMode="auto">
                          <a:xfrm>
                            <a:off x="0" y="695349"/>
                            <a:ext cx="4772025" cy="600"/>
                          </a:xfrm>
                          <a:prstGeom prst="line">
                            <a:avLst/>
                          </a:prstGeom>
                          <a:noFill/>
                          <a:ln w="0">
                            <a:solidFill>
                              <a:srgbClr val="D4D4D4"/>
                            </a:solidFill>
                            <a:round/>
                            <a:headEnd/>
                            <a:tailEnd/>
                          </a:ln>
                          <a:extLst>
                            <a:ext uri="{909E8E84-426E-40DD-AFC4-6F175D3DCCD1}">
                              <a14:hiddenFill xmlns:a14="http://schemas.microsoft.com/office/drawing/2010/main">
                                <a:noFill/>
                              </a14:hiddenFill>
                            </a:ext>
                          </a:extLst>
                        </wps:spPr>
                        <wps:bodyPr/>
                      </wps:wsp>
                      <wps:wsp>
                        <wps:cNvPr id="1368" name="Rectangle 135"/>
                        <wps:cNvSpPr>
                          <a:spLocks noChangeArrowheads="1"/>
                        </wps:cNvSpPr>
                        <wps:spPr bwMode="auto">
                          <a:xfrm>
                            <a:off x="0" y="695349"/>
                            <a:ext cx="4781525" cy="9501"/>
                          </a:xfrm>
                          <a:prstGeom prst="rect">
                            <a:avLst/>
                          </a:prstGeom>
                          <a:solidFill>
                            <a:srgbClr val="D4D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Rectangle 77"/>
                        <wps:cNvSpPr>
                          <a:spLocks noChangeArrowheads="1"/>
                        </wps:cNvSpPr>
                        <wps:spPr bwMode="auto">
                          <a:xfrm>
                            <a:off x="1913510" y="218115"/>
                            <a:ext cx="298402" cy="21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sidP="00CE3DE8">
                              <w:pPr>
                                <w:pStyle w:val="Normlnweb"/>
                                <w:spacing w:before="0" w:beforeAutospacing="0" w:after="0" w:afterAutospacing="0" w:line="276" w:lineRule="auto"/>
                                <w:jc w:val="both"/>
                              </w:pPr>
                              <w:r>
                                <w:rPr>
                                  <w:rFonts w:ascii="Calibri" w:hAnsi="Calibri" w:cs="Calibri"/>
                                  <w:color w:val="000000"/>
                                  <w:szCs w:val="22"/>
                                  <w:lang w:val="en-US"/>
                                </w:rPr>
                                <w:t>35 %</w:t>
                              </w:r>
                            </w:p>
                          </w:txbxContent>
                        </wps:txbx>
                        <wps:bodyPr rot="0" vert="horz" wrap="none" lIns="0" tIns="0" rIns="0" bIns="0" anchor="t" anchorCtr="0" upright="1">
                          <a:spAutoFit/>
                        </wps:bodyPr>
                      </wps:wsp>
                    </wpc:wpc>
                  </a:graphicData>
                </a:graphic>
              </wp:inline>
            </w:drawing>
          </mc:Choice>
          <mc:Fallback>
            <w:pict>
              <v:group id="Plátno 368" o:spid="_x0000_s1032" editas="canvas" style="width:375.75pt;height:55.5pt;mso-position-horizontal-relative:char;mso-position-vertical-relative:line" coordsize="47720,7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47720;height:7048;visibility:visible;mso-wrap-style:square">
                  <v:fill o:detectmouseclick="t"/>
                  <v:path o:connecttype="none"/>
                </v:shape>
                <v:rect id="Rectangle 72" o:spid="_x0000_s1034" style="position:absolute;left:11144;top:190;width:3092;height:21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xAMAA&#10;AADdAAAADwAAAGRycy9kb3ducmV2LnhtbERP22oCMRB9L/gPYQTfatYViq5GEUHQ0hdXP2DYzF4w&#10;mSxJ6m7/3hQKfZvDuc52P1ojnuRD51jBYp6BIK6c7rhRcL+d3lcgQkTWaByTgh8KsN9N3rZYaDfw&#10;lZ5lbEQK4VCggjbGvpAyVC1ZDHPXEyeudt5iTNA3UnscUrg1Ms+yD2mx49TQYk/HlqpH+W0VyFt5&#10;Glal8Zn7zOsvczlfa3JKzabjYQMi0hj/xX/us07z8+Uafr9JJ8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FyxAMAAAADdAAAADwAAAAAAAAAAAAAAAACYAgAAZHJzL2Rvd25y&#10;ZXYueG1sUEsFBgAAAAAEAAQA9QAAAIUDAAAAAA==&#10;" filled="f" stroked="f">
                  <v:textbox style="mso-fit-shape-to-text:t" inset="0,0,0,0">
                    <w:txbxContent>
                      <w:p w:rsidR="00962E44" w:rsidRDefault="00962E44">
                        <w:r>
                          <w:rPr>
                            <w:rFonts w:ascii="Calibri" w:hAnsi="Calibri" w:cs="Calibri"/>
                            <w:b/>
                            <w:bCs/>
                            <w:color w:val="000000"/>
                            <w:lang w:val="en-US"/>
                          </w:rPr>
                          <w:t>2016</w:t>
                        </w:r>
                      </w:p>
                    </w:txbxContent>
                  </v:textbox>
                </v:rect>
                <v:rect id="Rectangle 73" o:spid="_x0000_s1035" style="position:absolute;left:18859;top:228;width:3092;height:21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4MQA&#10;AADdAAAADwAAAGRycy9kb3ducmV2LnhtbESPzWoDMQyE74W8g1Ght8bbpZSwjRNCIJCGXrLJA4i1&#10;9ofa8mI72e3bR4dCbxIzmvm03s7eqTvFNAQ28LYsQBE3wQ7cGbheDq8rUCkjW3SBycAvJdhuFk9r&#10;rGyY+Ez3OndKQjhVaKDPeay0Tk1PHtMyjMSitSF6zLLGTtuIk4R7p8ui+NAeB5aGHkfa99T81Ddv&#10;QF/qw7SqXSzCqWy/3dfx3FIw5uV53n2CyjTnf/Pf9dEKfvku/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ga+DEAAAA3QAAAA8AAAAAAAAAAAAAAAAAmAIAAGRycy9k&#10;b3ducmV2LnhtbFBLBQYAAAAABAAEAPUAAACJAwAAAAA=&#10;" filled="f" stroked="f">
                  <v:textbox style="mso-fit-shape-to-text:t" inset="0,0,0,0">
                    <w:txbxContent>
                      <w:p w:rsidR="00962E44" w:rsidRDefault="00962E44">
                        <w:r>
                          <w:rPr>
                            <w:rFonts w:ascii="Calibri" w:hAnsi="Calibri" w:cs="Calibri"/>
                            <w:b/>
                            <w:bCs/>
                            <w:color w:val="000000"/>
                            <w:lang w:val="en-US"/>
                          </w:rPr>
                          <w:t>2017</w:t>
                        </w:r>
                      </w:p>
                    </w:txbxContent>
                  </v:textbox>
                </v:rect>
                <v:rect id="Rectangle 74" o:spid="_x0000_s1036" style="position:absolute;left:27336;top:190;width:3092;height:21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Oe8AA&#10;AADdAAAADwAAAGRycy9kb3ducmV2LnhtbERP24rCMBB9X/Afwgi+ralFFukaZVkQVHyx+gFDM72w&#10;yaQk0da/N4Kwb3M411lvR2vEnXzoHCtYzDMQxJXTHTcKrpfd5wpEiMgajWNS8KAA283kY42FdgOf&#10;6V7GRqQQDgUqaGPsCylD1ZLFMHc9ceJq5y3GBH0jtcchhVsj8yz7khY7Tg0t9vTbUvVX3qwCeSl3&#10;w6o0PnPHvD6Zw/5ck1NqNh1/vkFEGuO/+O3e6zQ/Xy7g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zOe8AAAADdAAAADwAAAAAAAAAAAAAAAACYAgAAZHJzL2Rvd25y&#10;ZXYueG1sUEsFBgAAAAAEAAQA9QAAAIUDAAAAAA==&#10;" filled="f" stroked="f">
                  <v:textbox style="mso-fit-shape-to-text:t" inset="0,0,0,0">
                    <w:txbxContent>
                      <w:p w:rsidR="00962E44" w:rsidRDefault="00962E44">
                        <w:r>
                          <w:rPr>
                            <w:rFonts w:ascii="Calibri" w:hAnsi="Calibri" w:cs="Calibri"/>
                            <w:b/>
                            <w:bCs/>
                            <w:color w:val="000000"/>
                            <w:lang w:val="en-US"/>
                          </w:rPr>
                          <w:t>2018</w:t>
                        </w:r>
                      </w:p>
                    </w:txbxContent>
                  </v:textbox>
                </v:rect>
                <v:rect id="Rectangle 75" o:spid="_x0000_s1037" style="position:absolute;left:36957;top:190;width:7245;height:21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QDMAA&#10;AADdAAAADwAAAGRycy9kb3ducmV2LnhtbERP24rCMBB9F/yHMMK+aWqRRbpGEUFQ2RfrfsDQTC+Y&#10;TEoSbf17s7Cwb3M419nsRmvEk3zoHCtYLjIQxJXTHTcKfm7H+RpEiMgajWNS8KIAu+10ssFCu4Gv&#10;9CxjI1IIhwIVtDH2hZShasliWLieOHG18xZjgr6R2uOQwq2ReZZ9Sosdp4YWezq0VN3Lh1Ugb+Vx&#10;WJfGZ+6S19/mfLrW5JT6mI37LxCRxvgv/nOfdJqfr3L4/Sad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5QDMAAAADdAAAADwAAAAAAAAAAAAAAAACYAgAAZHJzL2Rvd25y&#10;ZXYueG1sUEsFBgAAAAAEAAQA9QAAAIUDAAAAAA==&#10;" filled="f" stroked="f">
                  <v:textbox style="mso-fit-shape-to-text:t" inset="0,0,0,0">
                    <w:txbxContent>
                      <w:p w:rsidR="00962E44" w:rsidRDefault="00962E44">
                        <w:r>
                          <w:rPr>
                            <w:rFonts w:ascii="Calibri" w:hAnsi="Calibri" w:cs="Calibri"/>
                            <w:b/>
                            <w:bCs/>
                            <w:color w:val="000000"/>
                            <w:lang w:val="en-US"/>
                          </w:rPr>
                          <w:t>2019 a dále</w:t>
                        </w:r>
                      </w:p>
                    </w:txbxContent>
                  </v:textbox>
                </v:rect>
                <v:rect id="Rectangle 76" o:spid="_x0000_s1038" style="position:absolute;left:285;top:2190;width:7562;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1l8AA&#10;AADdAAAADwAAAGRycy9kb3ducmV2LnhtbERP22oCMRB9F/yHMIJvmnUtRVajiCDY0hdXP2DYzF4w&#10;mSxJdLd/3xQKfZvDuc7uMFojXuRD51jBapmBIK6c7rhRcL+dFxsQISJrNI5JwTcFOOynkx0W2g18&#10;pVcZG5FCOBSooI2xL6QMVUsWw9L1xImrnbcYE/SN1B6HFG6NzLPsXVrsODW02NOppepRPq0CeSvP&#10;w6Y0PnOfef1lPi7XmpxS89l43IKINMZ/8Z/7otP8/G0N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L1l8AAAADdAAAADwAAAAAAAAAAAAAAAACYAgAAZHJzL2Rvd25y&#10;ZXYueG1sUEsFBgAAAAAEAAQA9QAAAIUDAAAAAA==&#10;" filled="f" stroked="f">
                  <v:textbox style="mso-fit-shape-to-text:t" inset="0,0,0,0">
                    <w:txbxContent>
                      <w:p w:rsidR="00962E44" w:rsidRDefault="00962E44">
                        <w:r>
                          <w:rPr>
                            <w:rFonts w:ascii="Calibri" w:hAnsi="Calibri" w:cs="Calibri"/>
                            <w:b/>
                            <w:bCs/>
                            <w:color w:val="000000"/>
                            <w:lang w:val="en-US"/>
                          </w:rPr>
                          <w:t>Pneumatiky</w:t>
                        </w:r>
                      </w:p>
                    </w:txbxContent>
                  </v:textbox>
                </v:rect>
                <v:rect id="Rectangle 77" o:spid="_x0000_s1039" style="position:absolute;left:11144;top:2190;width:2984;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tt48AA&#10;AADdAAAADwAAAGRycy9kb3ducmV2LnhtbERP24rCMBB9F/Yfwgj7pqlFFqlGEUFwxRerHzA00wsm&#10;k5JkbffvzYKwb3M419nsRmvEk3zoHCtYzDMQxJXTHTcK7rfjbAUiRGSNxjEp+KUAu+3HZIOFdgNf&#10;6VnGRqQQDgUqaGPsCylD1ZLFMHc9ceJq5y3GBH0jtcchhVsj8yz7khY7Tg0t9nRoqXqUP1aBvJXH&#10;YVUan7lzXl/M9+lak1Pqczru1yAijfFf/HafdJqfL5f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tt48AAAADdAAAADwAAAAAAAAAAAAAAAACYAgAAZHJzL2Rvd25y&#10;ZXYueG1sUEsFBgAAAAAEAAQA9QAAAIUDAAAAAA==&#10;" filled="f" stroked="f">
                  <v:textbox style="mso-fit-shape-to-text:t" inset="0,0,0,0">
                    <w:txbxContent>
                      <w:p w:rsidR="00962E44" w:rsidRDefault="00962E44">
                        <w:r>
                          <w:rPr>
                            <w:rFonts w:ascii="Calibri" w:hAnsi="Calibri" w:cs="Calibri"/>
                            <w:color w:val="000000"/>
                            <w:lang w:val="en-US"/>
                          </w:rPr>
                          <w:t>35 %</w:t>
                        </w:r>
                      </w:p>
                    </w:txbxContent>
                  </v:textbox>
                </v:rect>
                <v:rect id="Rectangle 79" o:spid="_x0000_s1040" style="position:absolute;left:27336;top:2190;width:2984;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fIeMAA&#10;AADdAAAADwAAAGRycy9kb3ducmV2LnhtbERP22oCMRB9F/yHMIJvmnWxRVajiCDY0hdXP2DYzF4w&#10;mSxJdLd/3xQKfZvDuc7uMFojXuRD51jBapmBIK6c7rhRcL+dFxsQISJrNI5JwTcFOOynkx0W2g18&#10;pVcZG5FCOBSooI2xL6QMVUsWw9L1xImrnbcYE/SN1B6HFG6NzLPsXVrsODW02NOppepRPq0CeSvP&#10;w6Y0PnOfef1lPi7XmpxS89l43IKINMZ/8Z/7otP8fP0G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fIeMAAAADdAAAADwAAAAAAAAAAAAAAAACYAgAAZHJzL2Rvd25y&#10;ZXYueG1sUEsFBgAAAAAEAAQA9QAAAIUDAAAAAA==&#10;" filled="f" stroked="f">
                  <v:textbox style="mso-fit-shape-to-text:t" inset="0,0,0,0">
                    <w:txbxContent>
                      <w:p w:rsidR="00962E44" w:rsidRDefault="00962E44">
                        <w:r>
                          <w:rPr>
                            <w:rFonts w:ascii="Calibri" w:hAnsi="Calibri" w:cs="Calibri"/>
                            <w:color w:val="000000"/>
                            <w:lang w:val="en-US"/>
                          </w:rPr>
                          <w:t>75 %</w:t>
                        </w:r>
                      </w:p>
                    </w:txbxContent>
                  </v:textbox>
                </v:rect>
                <v:rect id="Rectangle 80" o:spid="_x0000_s1041" style="position:absolute;left:38862;top:2190;width:2984;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wjMAA&#10;AADdAAAADwAAAGRycy9kb3ducmV2LnhtbERP24rCMBB9X/Afwgi+rakVFu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xwjMAAAADdAAAADwAAAAAAAAAAAAAAAACYAgAAZHJzL2Rvd25y&#10;ZXYueG1sUEsFBgAAAAAEAAQA9QAAAIUDAAAAAA==&#10;" filled="f" stroked="f">
                  <v:textbox style="mso-fit-shape-to-text:t" inset="0,0,0,0">
                    <w:txbxContent>
                      <w:p w:rsidR="00962E44" w:rsidRDefault="00962E44">
                        <w:r>
                          <w:rPr>
                            <w:rFonts w:ascii="Calibri" w:hAnsi="Calibri" w:cs="Calibri"/>
                            <w:color w:val="000000"/>
                            <w:lang w:val="en-US"/>
                          </w:rPr>
                          <w:t>80 %</w:t>
                        </w:r>
                      </w:p>
                    </w:txbxContent>
                  </v:textbox>
                </v:rect>
                <v:rect id="Rectangle 81" o:spid="_x0000_s1042" style="position:absolute;left:285;top:4191;width:39739;height:14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VF8AA&#10;AADdAAAADwAAAGRycy9kb3ducmV2LnhtbERP24rCMBB9F/Yfwgi+2VSFRbpGWQRBxRfrfsDQTC9s&#10;MilJ1ta/N4Kwb3M419nsRmvEnXzoHCtYZDkI4srpjhsFP7fDfA0iRGSNxjEpeFCA3fZjssFCu4Gv&#10;dC9jI1IIhwIVtDH2hZShasliyFxPnLjaeYsxQd9I7XFI4dbIZZ5/Sosdp4YWe9q3VP2Wf1aBvJWH&#10;YV0an7vzsr6Y0/Fak1NqNh2/v0BEGuO/+O0+6jR/tVj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DVF8AAAADdAAAADwAAAAAAAAAAAAAAAACYAgAAZHJzL2Rvd25y&#10;ZXYueG1sUEsFBgAAAAAEAAQA9QAAAIUDAAAAAA==&#10;" filled="f" stroked="f">
                  <v:textbox style="mso-fit-shape-to-text:t" inset="0,0,0,0">
                    <w:txbxContent>
                      <w:p w:rsidR="00962E44" w:rsidRDefault="00962E44">
                        <w:r>
                          <w:rPr>
                            <w:rFonts w:ascii="Calibri" w:hAnsi="Calibri" w:cs="Calibri"/>
                            <w:color w:val="000000"/>
                            <w:sz w:val="16"/>
                            <w:szCs w:val="16"/>
                            <w:lang w:val="en-US"/>
                          </w:rPr>
                          <w:t xml:space="preserve">V povinné úrovni zpětného odběru je již zohledněn úbytek materiálu z pneumatik, který je podle </w:t>
                        </w:r>
                      </w:p>
                    </w:txbxContent>
                  </v:textbox>
                </v:rect>
                <v:rect id="Rectangle 82" o:spid="_x0000_s1043" style="position:absolute;left:285;top:5619;width:20092;height:14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Xo+MAA&#10;AADdAAAADwAAAGRycy9kb3ducmV2LnhtbERP24rCMBB9F/yHMIJvmqq4SDWKCIK7+GL1A4ZmesFk&#10;UpJou3+/WVjYtzmc6+wOgzXiTT60jhUs5hkI4tLplmsFj/t5tgERIrJG45gUfFOAw3482mGuXc83&#10;ehexFimEQ44Kmhi7XMpQNmQxzF1HnLjKeYsxQV9L7bFP4dbIZZZ9SIstp4YGOzo1VD6Ll1Ug78W5&#10;3xTGZ+5rWV3N5+VWkVNqOhmOWxCRhvgv/nNfdJq/Wqz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Xo+MAAAADdAAAADwAAAAAAAAAAAAAAAACYAgAAZHJzL2Rvd25y&#10;ZXYueG1sUEsFBgAAAAAEAAQA9QAAAIUDAAAAAA==&#10;" filled="f" stroked="f">
                  <v:textbox style="mso-fit-shape-to-text:t" inset="0,0,0,0">
                    <w:txbxContent>
                      <w:p w:rsidR="00962E44" w:rsidRDefault="00962E44">
                        <w:r>
                          <w:rPr>
                            <w:rFonts w:ascii="Calibri" w:hAnsi="Calibri" w:cs="Calibri"/>
                            <w:color w:val="000000"/>
                            <w:sz w:val="16"/>
                            <w:szCs w:val="16"/>
                            <w:lang w:val="en-US"/>
                          </w:rPr>
                          <w:t xml:space="preserve">dostupných informací od 10-15 % hmotnostních. </w:t>
                        </w:r>
                      </w:p>
                    </w:txbxContent>
                  </v:textbox>
                </v:rect>
                <v:line id="Line 83" o:spid="_x0000_s1044" style="position:absolute;flip:y;visibility:visible;mso-wrap-style:square" from="0,0" to="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EvsQAAADdAAAADwAAAGRycy9kb3ducmV2LnhtbERPTWvCQBC9F/oflil4q5tUkBKzEREq&#10;9aI0KYq3ITsmwexsml1j/PduodDbPN7npMvRtGKg3jWWFcTTCARxaXXDlYLv4uP1HYTzyBpby6Tg&#10;Tg6W2fNTiom2N/6iIfeVCCHsElRQe98lUrqyJoNuajviwJ1tb9AH2FdS93gL4aaVb1E0lwYbDg01&#10;drSuqbzkV6PgZ3+MT0U+zPz+VByO8W6zzc1GqcnLuFqA8DT6f/Gf+1OH+bN4Dr/fhBNk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0S+xAAAAN0AAAAPAAAAAAAAAAAA&#10;AAAAAKECAABkcnMvZG93bnJldi54bWxQSwUGAAAAAAQABAD5AAAAkgMAAAAA&#10;" strokecolor="#d4d4d4" strokeweight="0"/>
                <v:rect id="Rectangle 84" o:spid="_x0000_s1045" style="position:absolute;top:-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HA98MA&#10;AADdAAAADwAAAGRycy9kb3ducmV2LnhtbERPyWrDMBC9F/IPYgK9lEROSzbHSgilhfaW7QMGa2LZ&#10;sUZGUhK3X18VCr3N461TbHrbihv5UDtWMBlnIIhLp2uuFJyO76MFiBCRNbaOScEXBdisBw8F5trd&#10;eU+3Q6xECuGQowITY5dLGUpDFsPYdcSJOztvMSboK6k93lO4beVzls2kxZpTg8GOXg2Vl8PVKpDN&#10;Tteye5v55vx00UvzOcXvqVKPw367AhGpj//iP/eHTvNfJnP4/Sad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HA98MAAADdAAAADwAAAAAAAAAAAAAAAACYAgAAZHJzL2Rv&#10;d25yZXYueG1sUEsFBgAAAAAEAAQA9QAAAIgDAAAAAA==&#10;" fillcolor="#d4d4d4" stroked="f"/>
                <v:line id="Line 85" o:spid="_x0000_s1046" style="position:absolute;flip:y;visibility:visible;mso-wrap-style:square" from="8382,0" to="8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B1V8cAAADdAAAADwAAAGRycy9kb3ducmV2LnhtbESPQWvCQBCF70L/wzJCb7qJQinRVUSo&#10;tJdKk1LxNmTHJJidjdltTP9951DobYb35r1v1tvRtWqgPjSeDaTzBBRx6W3DlYHP4mX2DCpEZIut&#10;ZzLwQwG2m4fJGjPr7/xBQx4rJSEcMjRQx9hlWoeyJodh7jti0S6+dxhl7Stte7xLuGv1IkmetMOG&#10;paHGjvY1ldf82xm4HU/puciHZTyei69T+n54y93BmMfpuFuBijTGf/Pf9asV/GUqu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cHVXxwAAAN0AAAAPAAAAAAAA&#10;AAAAAAAAAKECAABkcnMvZG93bnJldi54bWxQSwUGAAAAAAQABAD5AAAAlQMAAAAA&#10;" strokecolor="#d4d4d4" strokeweight="0"/>
                <v:rect id="Rectangle 86" o:spid="_x0000_s1047" style="position:absolute;left:8382;top:-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HsMA&#10;AADdAAAADwAAAGRycy9kb3ducmV2LnhtbERPzWoCMRC+C32HMAUvolktiq4bpRQL9dZaH2DYzG5W&#10;N5Mlibrt0zdCwdt8fL9TbHvbiiv50DhWMJ1kIIhLpxuuFRy/38dLECEia2wdk4IfCrDdPA0KzLW7&#10;8RddD7EWKYRDjgpMjF0uZSgNWQwT1xEnrnLeYkzQ11J7vKVw28pZli2kxYZTg8GO3gyV58PFKpCn&#10;T93Ibrfwp2p01iuzn+PvXKnhc/+6BhGpjw/xv/tDp/kv0xXcv0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HsMAAADdAAAADwAAAAAAAAAAAAAAAACYAgAAZHJzL2Rv&#10;d25yZXYueG1sUEsFBgAAAAAEAAQA9QAAAIgDAAAAAA==&#10;" fillcolor="#d4d4d4" stroked="f"/>
                <v:line id="Line 87" o:spid="_x0000_s1048" style="position:absolute;flip:y;visibility:visible;mso-wrap-style:square" from="16478,0" to="16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qz7McAAADdAAAADwAAAGRycy9kb3ducmV2LnhtbESPQWvCQBCF74X+h2UKvdVNFEpJXUWE&#10;ir0oTaTibciOSTA7m2bXGP9951DobYb35r1v5svRtWqgPjSeDaSTBBRx6W3DlYFD8fHyBipEZIut&#10;ZzJwpwDLxePDHDPrb/xFQx4rJSEcMjRQx9hlWoeyJodh4jti0c6+dxhl7Stte7xJuGv1NEletcOG&#10;paHGjtY1lZf86gz87I/pqciHWdyfiu9jutt85m5jzPPTuHoHFWmM/+a/660V/NlU+OUbG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arPsxwAAAN0AAAAPAAAAAAAA&#10;AAAAAAAAAKECAABkcnMvZG93bnJldi54bWxQSwUGAAAAAAQABAD5AAAAlQMAAAAA&#10;" strokecolor="#d4d4d4" strokeweight="0"/>
                <v:rect id="Rectangle 88" o:spid="_x0000_s1049" style="position:absolute;left:16478;top:-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pcIA&#10;AADdAAAADwAAAGRycy9kb3ducmV2LnhtbERPzWoCMRC+F3yHMEIvpWZVlHY1ikgL9qZrH2DYjJvV&#10;zWRJom59elMQvM3H9zvzZWcbcSEfascKhoMMBHHpdM2Vgt/99/sHiBCRNTaOScEfBVguei9zzLW7&#10;8o4uRaxECuGQowITY5tLGUpDFsPAtcSJOzhvMSboK6k9XlO4beQoy6bSYs2pwWBLa0PlqThbBfK4&#10;1bVsv6b+eHg76U/zM8HbRKnXfreagYjUxaf44d7oNH88GsL/N+kE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6DelwgAAAN0AAAAPAAAAAAAAAAAAAAAAAJgCAABkcnMvZG93&#10;bnJldi54bWxQSwUGAAAAAAQABAD1AAAAhwMAAAAA&#10;" fillcolor="#d4d4d4" stroked="f"/>
                <v:line id="Line 89" o:spid="_x0000_s1050" style="position:absolute;flip:y;visibility:visible;mso-wrap-style:square" from="24574,0" to="245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IAMQAAADdAAAADwAAAGRycy9kb3ducmV2LnhtbERPTWvCQBC9C/6HZYTedJMIUlJXKQXF&#10;XiompeJtyI5JMDsbs2tM/70rFHqbx/uc5Xowjeipc7VlBfEsAkFcWF1zqeA730xfQTiPrLGxTAp+&#10;ycF6NR4tMdX2zgfqM1+KEMIuRQWV920qpSsqMuhmtiUO3Nl2Bn2AXSl1h/cQbhqZRNFCGqw5NFTY&#10;0kdFxSW7GQXX/TE+5Vk/9/tT/nOMv7afmdkq9TIZ3t9AeBr8v/jPvdNh/jxJ4PlNO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9IgAxAAAAN0AAAAPAAAAAAAAAAAA&#10;AAAAAKECAABkcnMvZG93bnJldi54bWxQSwUGAAAAAAQABAD5AAAAkgMAAAAA&#10;" strokecolor="#d4d4d4" strokeweight="0"/>
                <v:rect id="Rectangle 90" o:spid="_x0000_s1051" style="position:absolute;left:24574;top:-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MScMA&#10;AADdAAAADwAAAGRycy9kb3ducmV2LnhtbERP3WrCMBS+H/gO4QjejJmqKFttFJEJ292se4BDc2xa&#10;m5OSZNrt6ZfBwLvz8f2eYjvYTlzJh8axgtk0A0FcOd1wreDzdHh6BhEissbOMSn4pgDbzeihwFy7&#10;Gx/pWsZapBAOOSowMfa5lKEyZDFMXU+cuLPzFmOCvpba4y2F207Os2wlLTacGgz2tDdUXcovq0C2&#10;H7qR/evKt+fHi34x70v8WSo1GQ+7NYhIQ7yL/91vOs1fzBfw9006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YMScMAAADdAAAADwAAAAAAAAAAAAAAAACYAgAAZHJzL2Rv&#10;d25yZXYueG1sUEsFBgAAAAAEAAQA9QAAAIgDAAAAAA==&#10;" fillcolor="#d4d4d4" stroked="f"/>
                <v:line id="Line 91" o:spid="_x0000_s1052" style="position:absolute;flip:y;visibility:visible;mso-wrap-style:square" from="32670,0" to="32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178UAAADdAAAADwAAAGRycy9kb3ducmV2LnhtbERPTWvCQBC9F/wPywi91U1UpKRZRYRK&#10;e1GalEpuQ3ZMgtnZNLuN6b/vFgRv83ifk25G04qBetdYVhDPIhDEpdUNVwo+89enZxDOI2tsLZOC&#10;X3KwWU8eUky0vfIHDZmvRAhhl6CC2vsukdKVNRl0M9sRB+5se4M+wL6SusdrCDetnEfRShpsODTU&#10;2NGupvKS/RgF38dTXOTZsPDHIv86xYf9e2b2Sj1Ox+0LCE+jv4tv7jcd5i/mS/j/Jp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G178UAAADdAAAADwAAAAAAAAAA&#10;AAAAAAChAgAAZHJzL2Rvd25yZXYueG1sUEsFBgAAAAAEAAQA+QAAAJMDAAAAAA==&#10;" strokecolor="#d4d4d4" strokeweight="0"/>
                <v:rect id="Rectangle 92" o:spid="_x0000_s1053" style="position:absolute;left:32670;top:-95;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xpsMA&#10;AADdAAAADwAAAGRycy9kb3ducmV2LnhtbERP3WrCMBS+F/YO4Qx2IzOdo7J1jTJkgrtTtwc4NKdN&#10;tTkpSdTq0y8Dwbvz8f2ecjHYTpzIh9axgpdJBoK4crrlRsHvz+r5DUSIyBo7x6TgQgEW84dRiYV2&#10;Z97SaRcbkUI4FKjAxNgXUobKkMUwcT1x4mrnLcYEfSO1x3MKt52cZtlMWmw5NRjsaWmoOuyOVoHc&#10;b3Qr+6+Z39fjg3433zlec6WeHofPDxCRhngX39xrnea/Tn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MxpsMAAADdAAAADwAAAAAAAAAAAAAAAACYAgAAZHJzL2Rv&#10;d25yZXYueG1sUEsFBgAAAAAEAAQA9QAAAIgDAAAAAA==&#10;" fillcolor="#d4d4d4" stroked="f"/>
                <v:rect id="Rectangle 93" o:spid="_x0000_s1054" style="position:absolute;left:95;top:-95;width:4762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9GsUA&#10;AADdAAAADwAAAGRycy9kb3ducmV2LnhtbERPTWsCMRC9F/wPYQRvNetaRbdG0UKhl4LaHvQ2bqa7&#10;i5vJNkl16683guBtHu9zZovW1OJEzleWFQz6CQji3OqKCwXfX+/PExA+IGusLZOCf/KwmHeeZphp&#10;e+YNnbahEDGEfYYKyhCaTEqfl2TQ921DHLkf6wyGCF0htcNzDDe1TJNkLA1WHBtKbOitpPy4/TMK&#10;VtPJ6nf9wp+XzWFP+93hOEpdolSv2y5fQQRqw0N8d3/oOH+Y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30axQAAAN0AAAAPAAAAAAAAAAAAAAAAAJgCAABkcnMv&#10;ZG93bnJldi54bWxQSwUGAAAAAAQABAD1AAAAigMAAAAA&#10;" fillcolor="black" stroked="f"/>
                <v:line id="Line 94" o:spid="_x0000_s1055" style="position:absolute;flip:y;visibility:visible;mso-wrap-style:square" from="47625,0" to="476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MrmMUAAADdAAAADwAAAGRycy9kb3ducmV2LnhtbERPTWvCQBC9F/wPywi91U0UtKRZRYRK&#10;e1GalEpuQ3ZMgtnZNLuN6b/vFgRv83ifk25G04qBetdYVhDPIhDEpdUNVwo+89enZxDOI2tsLZOC&#10;X3KwWU8eUky0vfIHDZmvRAhhl6CC2vsukdKVNRl0M9sRB+5se4M+wL6SusdrCDetnEfRUhpsODTU&#10;2NGupvKS/RgF38dTXOTZsPDHIv86xYf9e2b2Sj1Ox+0LCE+jv4tv7jcd5i/mK/j/Jp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MrmMUAAADdAAAADwAAAAAAAAAA&#10;AAAAAAChAgAAZHJzL2Rvd25yZXYueG1sUEsFBgAAAAAEAAQA+QAAAJMDAAAAAA==&#10;" strokecolor="#d4d4d4" strokeweight="0"/>
                <v:rect id="Rectangle 95" o:spid="_x0000_s1056" style="position:absolute;left:47625;top:-95;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KeOMUA&#10;AADdAAAADwAAAGRycy9kb3ducmV2LnhtbESPQWsCMRCF74X+hzAFL0WzVRS7NUoRhfZWbX/AsBk3&#10;q5vJkkRd++udQ6G3Gd6b975ZrHrfqgvF1AQ28DIqQBFXwTZcG/j53g7noFJGttgGJgM3SrBaPj4s&#10;sLThyju67HOtJIRTiQZczl2pdaoceUyj0BGLdgjRY5Y11tpGvEq4b/W4KGbaY8PS4LCjtaPqtD97&#10;A/r4ZRvdbWbxeHg+2Vf3OcXfqTGDp/79DVSmPv+b/64/rOBPxoIr38gI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p44xQAAAN0AAAAPAAAAAAAAAAAAAAAAAJgCAABkcnMv&#10;ZG93bnJldi54bWxQSwUGAAAAAAQABAD1AAAAigMAAAAA&#10;" fillcolor="#d4d4d4" stroked="f"/>
                <v:line id="Line 96" o:spid="_x0000_s1057" style="position:absolute;visibility:visible;mso-wrap-style:square" from="16478,95" to="16478,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OwsQAAADdAAAADwAAAGRycy9kb3ducmV2LnhtbERPTWvCQBC9C/0PyxR6040WbZK6SikV&#10;661NDfQ4ZKfJYnY2ZFeN/74rCN7m8T5nuR5sK07Ue+NYwXSSgCCunDZcK9j/bMYpCB+QNbaOScGF&#10;PKxXD6Ml5tqd+ZtORahFDGGfo4ImhC6X0lcNWfQT1xFH7s/1FkOEfS11j+cYbls5S5KFtGg4NjTY&#10;0XtD1aE4WgXma7Gd717KrJQf2zD9TQ+psXulnh6Ht1cQgYZwF9/cnzrOf55lcP0mni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U7CxAAAAN0AAAAPAAAAAAAAAAAA&#10;AAAAAKECAABkcnMvZG93bnJldi54bWxQSwUGAAAAAAQABAD5AAAAkgMAAAAA&#10;" strokeweight="0"/>
                <v:rect id="Rectangle 97" o:spid="_x0000_s1058" style="position:absolute;left:16478;top:95;width:9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KM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YoyAAAAN0AAAAPAAAAAAAAAAAAAAAAAJgCAABk&#10;cnMvZG93bnJldi54bWxQSwUGAAAAAAQABAD1AAAAjQMAAAAA&#10;" fillcolor="black" stroked="f"/>
                <v:line id="Line 98" o:spid="_x0000_s1059" style="position:absolute;visibility:visible;mso-wrap-style:square" from="24574,95" to="24574,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7UGcMAAADdAAAADwAAAGRycy9kb3ducmV2LnhtbERPS2vCQBC+F/wPywje6iaVaoyuIsWi&#10;vfkEj0N2TBazsyG71fTfu4VCb/PxPWe+7Gwt7tR641hBOkxAEBdOGy4VnI6frxkIH5A11o5JwQ95&#10;WC56L3PMtXvwnu6HUIoYwj5HBVUITS6lLyqy6IeuIY7c1bUWQ4RtKXWLjxhua/mWJGNp0XBsqLCh&#10;j4qK2+HbKjC78eb9a3KenuV6E9JLdsuMPSk16HerGYhAXfgX/7m3Os4fjVL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1BnDAAAA3QAAAA8AAAAAAAAAAAAA&#10;AAAAoQIAAGRycy9kb3ducmV2LnhtbFBLBQYAAAAABAAEAPkAAACRAwAAAAA=&#10;" strokeweight="0"/>
                <v:rect id="Rectangle 99" o:spid="_x0000_s1060" style="position:absolute;left:24574;top:95;width:9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txMUA&#10;AADdAAAADwAAAGRycy9kb3ducmV2LnhtbERPTWvCQBC9C/6HZQq9mU2jLZq6igqFXgpqe9DbmJ0m&#10;wexs3N1q7K93hUJv83ifM513phFncr62rOApSUEQF1bXXCr4+nwbjEH4gKyxsUwKruRhPuv3pphr&#10;e+ENnbehFDGEfY4KqhDaXEpfVGTQJ7Yljty3dQZDhK6U2uElhptGZmn6Ig3WHBsqbGlVUXHc/hgF&#10;y8l4eVqP+ON3c9jTfnc4PmcuVerxoVu8ggjUhX/xn/tdx/nD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3ExQAAAN0AAAAPAAAAAAAAAAAAAAAAAJgCAABkcnMv&#10;ZG93bnJldi54bWxQSwUGAAAAAAQABAD1AAAAigMAAAAA&#10;" fillcolor="black" stroked="f"/>
                <v:line id="Line 100" o:spid="_x0000_s1061" style="position:absolute;visibility:visible;mso-wrap-style:square" from="32670,95" to="32670,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Dv9cMAAADdAAAADwAAAGRycy9kb3ducmV2LnhtbERPS2vCQBC+F/wPywje6saGaoyuIsWi&#10;vfkEj0N2TBazsyG71fTfu4VCb/PxPWe+7Gwt7tR641jBaJiAIC6cNlwqOB0/XzMQPiBrrB2Tgh/y&#10;sFz0XuaYa/fgPd0PoRQxhH2OCqoQmlxKX1Rk0Q9dQxy5q2sthgjbUuoWHzHc1vItScbSouHYUGFD&#10;HxUVt8O3VWB248371+Q8Pcv1Jowu2S0z9qTUoN+tZiACdeFf/Ofe6jg/TV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g7/XDAAAA3QAAAA8AAAAAAAAAAAAA&#10;AAAAoQIAAGRycy9kb3ducmV2LnhtbFBLBQYAAAAABAAEAPkAAACRAwAAAAA=&#10;" strokeweight="0"/>
                <v:rect id="Rectangle 101" o:spid="_x0000_s1062" style="position:absolute;left:32670;top:95;width:9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jQK8UA&#10;AADdAAAADwAAAGRycy9kb3ducmV2LnhtbERPS2sCMRC+C/0PYQreNFsfRVejVEHoRajWg97GzXR3&#10;cTPZJlG3/vpGELzNx/ec6bwxlbiQ86VlBW/dBARxZnXJuYLd96ozAuEDssbKMin4Iw/z2Utriqm2&#10;V97QZRtyEUPYp6igCKFOpfRZQQZ919bEkfuxzmCI0OVSO7zGcFPJXpK8S4Mlx4YCa1oWlJ22Z6Ng&#10;MR4tfr8GvL5tjgc67I+nYc8lSrVfm48JiEBNeIof7k8d5/f7A7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NArxQAAAN0AAAAPAAAAAAAAAAAAAAAAAJgCAABkcnMv&#10;ZG93bnJldi54bWxQSwUGAAAAAAQABAD1AAAAigMAAAAA&#10;" fillcolor="black" stroked="f"/>
                <v:rect id="Rectangle 102" o:spid="_x0000_s1063" style="position:absolute;left:95;top:1905;width:4762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R1sMQA&#10;AADdAAAADwAAAGRycy9kb3ducmV2LnhtbERPTWsCMRC9C/0PYQreNFutRVejqCD0IlTrQW/jZrq7&#10;uJmsSdS1v74RCt7m8T5nMmtMJa7kfGlZwVs3AUGcWV1yrmD3veoMQfiArLGyTAru5GE2fWlNMNX2&#10;xhu6bkMuYgj7FBUUIdSplD4ryKDv2po4cj/WGQwRulxqh7cYbirZS5IPabDk2FBgTcuCstP2YhQs&#10;RsPF+eud17+b44EO++Np0HOJUu3XZj4GEagJT/G/+1PH+f3+AB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bDEAAAA3QAAAA8AAAAAAAAAAAAAAAAAmAIAAGRycy9k&#10;b3ducmV2LnhtbFBLBQYAAAAABAAEAPUAAACJAwAAAAA=&#10;" fillcolor="black" stroked="f"/>
                <v:line id="Line 103" o:spid="_x0000_s1064" style="position:absolute;visibility:visible;mso-wrap-style:square" from="47625,95" to="47625,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MbcMAAADdAAAADwAAAGRycy9kb3ducmV2LnhtbERPS2vCQBC+F/wPywje6sZKY4yuIsWi&#10;vfkEj0N2TBazsyG71fTfu4VCb/PxPWe+7Gwt7tR641jBaJiAIC6cNlwqOB0/XzMQPiBrrB2Tgh/y&#10;sFz0XuaYa/fgPd0PoRQxhH2OCqoQmlxKX1Rk0Q9dQxy5q2sthgjbUuoWHzHc1vItSVJp0XBsqLCh&#10;j4qK2+HbKjC7dPP+NTlPz3K9CaNLdsuMPSk16HerGYhAXfgX/7m3Os4fj1P4/Sae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XTG3DAAAA3QAAAA8AAAAAAAAAAAAA&#10;AAAAoQIAAGRycy9kb3ducmV2LnhtbFBLBQYAAAAABAAEAPkAAACRAwAAAAA=&#10;" strokeweight="0"/>
                <v:rect id="Rectangle 104" o:spid="_x0000_s1065" style="position:absolute;left:47625;top:95;width:9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OXMYA&#10;AADdAAAADwAAAGRycy9kb3ducmV2LnhtbERPS2sCMRC+F/ofwhR662bV1sdqlFoo9FLwddDbuBl3&#10;FzeTbZLq1l/fCIK3+fieM5m1phYncr6yrKCTpCCIc6srLhRs1p8vQxA+IGusLZOCP/Iwmz4+TDDT&#10;9sxLOq1CIWII+wwVlCE0mZQ+L8mgT2xDHLmDdQZDhK6Q2uE5hptadtO0Lw1WHBtKbOijpPy4+jUK&#10;5qPh/Gfxyt+X5X5Hu+3++NZ1qVLPT+37GESgNtzFN/eXjvN7vQFcv4kn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OXMYAAADdAAAADwAAAAAAAAAAAAAAAACYAgAAZHJz&#10;L2Rvd25yZXYueG1sUEsFBgAAAAAEAAQA9QAAAIsDAAAAAA==&#10;" fillcolor="black" stroked="f"/>
                <v:rect id="Rectangle 105" o:spid="_x0000_s1066" style="position:absolute;left:-95;top:-95;width:190;height:4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aLs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4Ir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pdouyAAAAN0AAAAPAAAAAAAAAAAAAAAAAJgCAABk&#10;cnMvZG93bnJldi54bWxQSwUGAAAAAAQABAD1AAAAjQMAAAAA&#10;" fillcolor="black" stroked="f"/>
                <v:rect id="Rectangle 106" o:spid="_x0000_s1067" style="position:absolute;left:95;top:3905;width:4762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line id="Line 107" o:spid="_x0000_s1068" style="position:absolute;visibility:visible;mso-wrap-style:square" from="47625,2095" to="47625,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QC/8cAAADdAAAADwAAAGRycy9kb3ducmV2LnhtbESPT2/CMAzF75P2HSIj7TZStsFKIaBp&#10;2gS7bfyROFqNaSMap2oyKN8eHybtZus9v/fzfNn7Rp2piy6wgdEwA0VcBuu4MrDbfj7moGJCttgE&#10;JgNXirBc3N/NsbDhwj903qRKSQjHAg3UKbWF1rGsyWMchpZYtGPoPCZZu0rbDi8S7hv9lGUT7dGx&#10;NNTY0ntN5Wnz6w2478lq/PW6n+71xyqNDvkpd35nzMOgf5uBStSnf/Pf9doK/vOL8Ms3MoJ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tAL/xwAAAN0AAAAPAAAAAAAA&#10;AAAAAAAAAKECAABkcnMvZG93bnJldi54bWxQSwUGAAAAAAQABAD5AAAAlQMAAAAA&#10;" strokeweight="0"/>
                <v:rect id="Rectangle 108" o:spid="_x0000_s1069" style="position:absolute;left:47625;top:2095;width:9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zsUA&#10;AADdAAAADwAAAGRycy9kb3ducmV2LnhtbERPS2sCMRC+F/wPYQRvNeujoqtRVCj0UvB10Nu4GXcX&#10;N5M1SXXbX28Khd7m43vObNGYStzJ+dKygl43AUGcWV1yruCwf38dg/ABWWNlmRR8k4fFvPUyw1Tb&#10;B2/pvgu5iCHsU1RQhFCnUvqsIIO+a2viyF2sMxgidLnUDh8x3FSynyQjabDk2FBgTeuCsuvuyyhY&#10;Tcar22bInz/b84lOx/P1re8SpTrtZjkFEagJ/+I/94eO8wf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QDOxQAAAN0AAAAPAAAAAAAAAAAAAAAAAJgCAABkcnMv&#10;ZG93bnJldi54bWxQSwUGAAAAAAQABAD1AAAAigMAAAAA&#10;" fillcolor="black" stroked="f"/>
                <v:rect id="Rectangle 109" o:spid="_x0000_s1070" style="position:absolute;left:8286;top:95;width:191;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eucUA&#10;AADdAAAADwAAAGRycy9kb3ducmV2LnhtbERPS2sCMRC+F/wPYQRvNetqRVejaKHQS6E+DnobN+Pu&#10;4mayTVLd9tc3QsHbfHzPmS9bU4srOV9ZVjDoJyCIc6srLhTsd2/PExA+IGusLZOCH/KwXHSe5php&#10;e+MNXbehEDGEfYYKyhCaTEqfl2TQ921DHLmzdQZDhK6Q2uEthptapkkylgYrjg0lNvRaUn7ZfhsF&#10;6+lk/fU54o/fzelIx8Pp8pK6RKlet13NQARqw0P8737Xcf5w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565xQAAAN0AAAAPAAAAAAAAAAAAAAAAAJgCAABkcnMv&#10;ZG93bnJldi54bWxQSwUGAAAAAAQABAD1AAAAigMAAAAA&#10;" fillcolor="black" stroked="f"/>
                <v:line id="Line 110" o:spid="_x0000_s1071" style="position:absolute;visibility:visible;mso-wrap-style:square" from="16478,2095" to="16478,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aciMQAAADdAAAADwAAAGRycy9kb3ducmV2LnhtbERPTWvCQBC9C/0PyxS86Sa12jTNKkUs&#10;2ltrFXocstNkMTsbsqvGf+8KQm/zeJ9TLHrbiBN13jhWkI4TEMSl04YrBbufj1EGwgdkjY1jUnAh&#10;D4v5w6DAXLszf9NpGyoRQ9jnqKAOoc2l9GVNFv3YtcSR+3OdxRBhV0nd4TmG20Y+JclMWjQcG2ps&#10;aVlTedgerQLzNVtPP1/2r3u5Wof0Nztkxu6UGj72728gAvXhX3x3b3ScP3mewO2beIK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pyIxAAAAN0AAAAPAAAAAAAAAAAA&#10;AAAAAKECAABkcnMvZG93bnJldi54bWxQSwUGAAAAAAQABAD5AAAAkgMAAAAA&#10;" strokeweight="0"/>
                <v:rect id="Rectangle 111" o:spid="_x0000_s1072" style="position:absolute;left:16478;top:2095;width:9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jVsUA&#10;AADdAAAADwAAAGRycy9kb3ducmV2LnhtbERPS2sCMRC+F/wPYQRvNatuRVejaKHQS6E+DnobN+Pu&#10;4mayTVLd9tc3QsHbfHzPmS9bU4srOV9ZVjDoJyCIc6srLhTsd2/PExA+IGusLZOCH/KwXHSe5php&#10;e+MNXbehEDGEfYYKyhCaTEqfl2TQ921DHLmzdQZDhK6Q2uEthptaDpNkLA1WHBtKbOi1pPyy/TYK&#10;1tPJ+usz5Y/fzelIx8Pp8jJ0iVK9bruagQjUhof43/2u4/xR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7qNWxQAAAN0AAAAPAAAAAAAAAAAAAAAAAJgCAABkcnMv&#10;ZG93bnJldi54bWxQSwUGAAAAAAQABAD1AAAAigMAAAAA&#10;" fillcolor="black" stroked="f"/>
                <v:line id="Line 112" o:spid="_x0000_s1073" style="position:absolute;visibility:visible;mso-wrap-style:square" from="24574,2095" to="24574,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OhZ8MAAADdAAAADwAAAGRycy9kb3ducmV2LnhtbERPS2sCMRC+F/wPYQRvNeuz29UoIort&#10;Ta1Cj8Nm3A1uJssm6vrvm0Kht/n4njNftrYSd2q8caxg0E9AEOdOGy4UnL62rykIH5A1Vo5JwZM8&#10;LBedlzlm2j34QPdjKEQMYZ+hgjKEOpPS5yVZ9H1XE0fu4hqLIcKmkLrBRwy3lRwmyVRaNBwbSqxp&#10;XVJ+Pd6sArOf7iafb+f3s9zswuA7vabGnpTqddvVDESgNvyL/9wfOs4fjSf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DoWfDAAAA3QAAAA8AAAAAAAAAAAAA&#10;AAAAoQIAAGRycy9kb3ducmV2LnhtbFBLBQYAAAAABAAEAPkAAACRAwAAAAA=&#10;" strokeweight="0"/>
                <v:rect id="Rectangle 113" o:spid="_x0000_s1074" style="position:absolute;left:24574;top:2095;width:95;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YusQA&#10;AADdAAAADwAAAGRycy9kb3ducmV2LnhtbERPS2sCMRC+C/0PYQreNFtf2K1RVBC8FNT2UG/jZrq7&#10;uJmsSdStv94IQm/z8T1nMmtMJS7kfGlZwVs3AUGcWV1yruD7a9UZg/ABWWNlmRT8kYfZ9KU1wVTb&#10;K2/psgu5iCHsU1RQhFCnUvqsIIO+a2viyP1aZzBE6HKpHV5juKlkL0lG0mDJsaHAmpYFZcfd2ShY&#10;vI8Xp82AP2/bw572P4fjsOcSpdqvzfwDRKAm/Iuf7rWO8/u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wmLrEAAAA3QAAAA8AAAAAAAAAAAAAAAAAmAIAAGRycy9k&#10;b3ducmV2LnhtbFBLBQYAAAAABAAEAPUAAACJAwAAAAA=&#10;" fillcolor="black" stroked="f"/>
                <v:line id="Line 114" o:spid="_x0000_s1075" style="position:absolute;visibility:visible;mso-wrap-style:square" from="32670,2095" to="32670,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2ai8MAAADdAAAADwAAAGRycy9kb3ducmV2LnhtbERPTWsCMRC9C/6HMII3zaqtbrdGKcWi&#10;valV6HHYjLvBzWTZRF3/vREKvc3jfc582dpKXKnxxrGC0TABQZw7bbhQcPj5GqQgfEDWWDkmBXfy&#10;sFx0O3PMtLvxjq77UIgYwj5DBWUIdSalz0uy6IeuJo7cyTUWQ4RNIXWDtxhuKzlOkqm0aDg2lFjT&#10;Z0n5eX+xCsx2un79nh3fjnK1DqPf9Jwae1Cq32s/3kEEasO/+M+90XH+5GUGz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dmovDAAAA3QAAAA8AAAAAAAAAAAAA&#10;AAAAoQIAAGRycy9kb3ducmV2LnhtbFBLBQYAAAAABAAEAPkAAACRAwAAAAA=&#10;" strokeweight="0"/>
                <v:rect id="Rectangle 115" o:spid="_x0000_s1076" style="position:absolute;left:32670;top:2095;width:9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pU8gA&#10;AADdAAAADwAAAGRycy9kb3ducmV2LnhtbESPT2/CMAzF75P2HSJP2m2kYwxBIaAxadIuk8afA9xM&#10;47UVjdMlGXR8enxA4mbrPb/383TeuUYdKcTas4HnXgaKuPC25tLAZv3xNAIVE7LFxjMZ+KcI89n9&#10;3RRz60+8pOMqlUpCOOZooEqpzbWORUUOY8+3xKL9+OAwyRpKbQOeJNw1up9lQ+2wZmmosKX3iorD&#10;6s8ZWIxHi9/vAX+dl/sd7bb7w2s/ZMY8PnRvE1CJunQzX68/reC/DA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6lTyAAAAN0AAAAPAAAAAAAAAAAAAAAAAJgCAABk&#10;cnMvZG93bnJldi54bWxQSwUGAAAAAAQABAD1AAAAjQMAAAAA&#10;" fillcolor="black" stroked="f"/>
                <v:line id="Line 116" o:spid="_x0000_s1077" style="position:absolute;visibility:visible;mso-wrap-style:square" from="0,4095" to="6,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8qP8YAAADdAAAADwAAAGRycy9kb3ducmV2LnhtbERP22oCMRB9L/QfwhT6UjSrLaKrUdRW&#10;aUEQb/g6bsbdxc1kSVLd9uubQqFvczjXGU0aU4krOV9aVtBpJyCIM6tLzhXsd4tWH4QPyBory6Tg&#10;izxMxvd3I0y1vfGGrtuQixjCPkUFRQh1KqXPCjLo27YmjtzZOoMhQpdL7fAWw00lu0nSkwZLjg0F&#10;1jQvKLtsP42CY+cj+97s3Ww5Oz6tXvm0fjvIs1KPD810CCJQE/7Ff+53Hec/vwz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fKj/GAAAA3QAAAA8AAAAAAAAA&#10;AAAAAAAAoQIAAGRycy9kb3ducmV2LnhtbFBLBQYAAAAABAAEAPkAAACUAwAAAAA=&#10;" strokecolor="#d4d4d4" strokeweight="0"/>
                <v:rect id="Rectangle 117" o:spid="_x0000_s1078" style="position:absolute;top:4095;width:9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hQ8YA&#10;AADdAAAADwAAAGRycy9kb3ducmV2LnhtbESPQW/CMAyF75P2HyJP2mWCdENFoyOgaRoS3Da2H2A1&#10;pik0TpVkUPj1+IC0m633/N7n+XLwnTpSTG1gA8/jAhRxHWzLjYHfn9XoFVTKyBa7wGTgTAmWi/u7&#10;OVY2nPibjtvcKAnhVKEBl3NfaZ1qRx7TOPTEou1C9JhljY22EU8S7jv9UhRT7bFlaXDY04ej+rD9&#10;8wb0/su2uv+cxv3u6WBnblPipTTm8WF4fwOVacj/5tv12gr+pBR++UZG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LhQ8YAAADdAAAADwAAAAAAAAAAAAAAAACYAgAAZHJz&#10;L2Rvd25yZXYueG1sUEsFBgAAAAAEAAQA9QAAAIsDAAAAAA==&#10;" fillcolor="#d4d4d4" stroked="f"/>
                <v:line id="Line 118" o:spid="_x0000_s1079" style="position:absolute;visibility:visible;mso-wrap-style:square" from="8382,7048" to="8388,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5MYAAADdAAAADwAAAGRycy9kb3ducmV2LnhtbERP22oCMRB9L/Qfwgi+FM1ui1K2Rqmt&#10;SgWheCm+jptxd+lmsiRRt/16IxT6NodzndGkNbU4k/OVZQVpPwFBnFtdcaFgt533nkH4gKyxtkwK&#10;fsjDZHx/N8JM2wuv6bwJhYgh7DNUUIbQZFL6vCSDvm8b4sgdrTMYInSF1A4vMdzU8jFJhtJgxbGh&#10;xIbeSsq/NyejYJ8u89/1zk0X0/3D6p0Pn7MveVSq22lfX0AEasO/+M/9oeP8p0EKt2/iCXJ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wsOTGAAAA3QAAAA8AAAAAAAAA&#10;AAAAAAAAoQIAAGRycy9kb3ducmV2LnhtbFBLBQYAAAAABAAEAPkAAACUAwAAAAA=&#10;" strokecolor="#d4d4d4" strokeweight="0"/>
                <v:rect id="Rectangle 119" o:spid="_x0000_s1080" style="position:absolute;left:8382;top:704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ar8MA&#10;AADdAAAADwAAAGRycy9kb3ducmV2LnhtbERP3WrCMBS+F/YO4Qx2IzOdo7J1jTJkgrtTtwc4NKdN&#10;tTkpSdTq0y8Dwbvz8f2ecjHYTpzIh9axgpdJBoK4crrlRsHvz+r5DUSIyBo7x6TgQgEW84dRiYV2&#10;Z97SaRcbkUI4FKjAxNgXUobKkMUwcT1x4mrnLcYEfSO1x3MKt52cZtlMWmw5NRjsaWmoOuyOVoHc&#10;b3Qr+6+Z39fjg3433zlec6WeHofPDxCRhngX39xrnea/5l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ar8MAAADdAAAADwAAAAAAAAAAAAAAAACYAgAAZHJzL2Rv&#10;d25yZXYueG1sUEsFBgAAAAAEAAQA9QAAAIgDAAAAAA==&#10;" fillcolor="#d4d4d4" stroked="f"/>
                <v:line id="Line 120" o:spid="_x0000_s1081" style="position:absolute;visibility:visible;mso-wrap-style:square" from="16478,7048" to="1648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6LCMUAAADdAAAADwAAAGRycy9kb3ducmV2LnhtbERP22oCMRB9F/oPYQp9KZq1YpGtUeqt&#10;VBCKN3ydbsbdpZvJkkTd+vWNUPBtDuc6w3FjKnEm50vLCrqdBARxZnXJuYLddtEegPABWWNlmRT8&#10;kofx6KE1xFTbC6/pvAm5iCHsU1RQhFCnUvqsIIO+Y2viyB2tMxgidLnUDi8x3FTyJUlepcGSY0OB&#10;NU0Lyn42J6Pg0F1m1/XOTT4mh+fVjL+/5nt5VOrpsXl/AxGoCXfxv/tTx/m9fg9u38QT5Og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6LCMUAAADdAAAADwAAAAAAAAAA&#10;AAAAAAChAgAAZHJzL2Rvd25yZXYueG1sUEsFBgAAAAAEAAQA+QAAAJMDAAAAAA==&#10;" strokecolor="#d4d4d4" strokeweight="0"/>
                <v:rect id="Rectangle 121" o:spid="_x0000_s1082" style="position:absolute;left:16478;top:704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nQMMA&#10;AADdAAAADwAAAGRycy9kb3ducmV2LnhtbERPzWoCMRC+F3yHMIKXolltV9qtUaRYsDdd+wDDZtys&#10;biZLkurap2+EQm/z8f3OYtXbVlzIh8axgukkA0FcOd1wreDr8DF+AREissbWMSm4UYDVcvCwwEK7&#10;K+/pUsZapBAOBSowMXaFlKEyZDFMXEecuKPzFmOCvpba4zWF21bOsmwuLTacGgx29G6oOpffVoE8&#10;7XQju83cn46PZ/1qPnP8yZUaDfv1G4hIffwX/7m3Os1/yp/h/k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nnQMMAAADdAAAADwAAAAAAAAAAAAAAAACYAgAAZHJzL2Rv&#10;d25yZXYueG1sUEsFBgAAAAAEAAQA9QAAAIgDAAAAAA==&#10;" fillcolor="#d4d4d4" stroked="f"/>
                <v:line id="Line 122" o:spid="_x0000_s1083" style="position:absolute;visibility:visible;mso-wrap-style:square" from="24574,7048" to="24580,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258UAAADdAAAADwAAAGRycy9kb3ducmV2LnhtbERP22oCMRB9L/QfwhT6Ipq1YpGtUeqt&#10;VBCKN3ydbsbdpZvJkkTd+vWmIPRtDuc6w3FjKnEm50vLCrqdBARxZnXJuYLddtEegPABWWNlmRT8&#10;kofx6PFhiKm2F17TeRNyEUPYp6igCKFOpfRZQQZ9x9bEkTtaZzBE6HKpHV5iuKnkS5K8SoMlx4YC&#10;a5oWlP1sTkbBobvMruudm3xMDq3VjL+/5nt5VOr5qXl/AxGoCf/iu/tTx/m9fh/+vokn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u258UAAADdAAAADwAAAAAAAAAA&#10;AAAAAAChAgAAZHJzL2Rvd25yZXYueG1sUEsFBgAAAAAEAAQA+QAAAJMDAAAAAA==&#10;" strokecolor="#d4d4d4" strokeweight="0"/>
                <v:rect id="Rectangle 123" o:spid="_x0000_s1084" style="position:absolute;left:24574;top:7048;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crMMA&#10;AADdAAAADwAAAGRycy9kb3ducmV2LnhtbERP22oCMRB9L/gPYYS+FM22ZRddjSJFoX2rlw8YNuNm&#10;dTNZkqhrv74pFHybw7nOfNnbVlzJh8axgtdxBoK4crrhWsFhvxlNQISIrLF1TAruFGC5GDzNsdTu&#10;xlu67mItUgiHEhWYGLtSylAZshjGriNO3NF5izFBX0vt8ZbCbSvfsqyQFhtODQY7+jBUnXcXq0Ce&#10;vnUju3XhT8eXs56arxx/cqWeh/1qBiJSHx/if/enTvPf8wL+vk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fcrMMAAADdAAAADwAAAAAAAAAAAAAAAACYAgAAZHJzL2Rv&#10;d25yZXYueG1sUEsFBgAAAAAEAAQA9QAAAIgDAAAAAA==&#10;" fillcolor="#d4d4d4" stroked="f"/>
                <v:line id="Line 124" o:spid="_x0000_s1085" style="position:absolute;visibility:visible;mso-wrap-style:square" from="32670,7048" to="32677,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WNC8YAAADdAAAADwAAAGRycy9kb3ducmV2LnhtbERP22oCMRB9L/QfwhT6UjSrpSqrUdRW&#10;aUEQb/g6bsbdxc1kSVLd9uubQqFvczjXGU0aU4krOV9aVtBpJyCIM6tLzhXsd4vWAIQPyBory6Tg&#10;izxMxvd3I0y1vfGGrtuQixjCPkUFRQh1KqXPCjLo27YmjtzZOoMhQpdL7fAWw00lu0nSkwZLjg0F&#10;1jQvKLtsP42CY+cj+97s3Ww5Oz6tXvm0fjvIs1KPD810CCJQE/7Ff+53Hec/v/Th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VjQvGAAAA3QAAAA8AAAAAAAAA&#10;AAAAAAAAoQIAAGRycy9kb3ducmV2LnhtbFBLBQYAAAAABAAEAPkAAACUAwAAAAA=&#10;" strokecolor="#d4d4d4" strokeweight="0"/>
                <v:rect id="Rectangle 125" o:spid="_x0000_s1086" style="position:absolute;left:32670;top:7048;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tRcYA&#10;AADdAAAADwAAAGRycy9kb3ducmV2LnhtbESPQW/CMAyF75P2HyJP2mWCdENFoyOgaRoS3Da2H2A1&#10;pik0TpVkUPj1+IC0m633/N7n+XLwnTpSTG1gA8/jAhRxHWzLjYHfn9XoFVTKyBa7wGTgTAmWi/u7&#10;OVY2nPibjtvcKAnhVKEBl3NfaZ1qRx7TOPTEou1C9JhljY22EU8S7jv9UhRT7bFlaXDY04ej+rD9&#10;8wb0/su2uv+cxv3u6WBnblPipTTm8WF4fwOVacj/5tv12gr+pBRc+UZG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TtRcYAAADdAAAADwAAAAAAAAAAAAAAAACYAgAAZHJz&#10;L2Rvd25yZXYueG1sUEsFBgAAAAAEAAQA9QAAAIsDAAAAAA==&#10;" fillcolor="#d4d4d4" stroked="f"/>
                <v:line id="Line 126" o:spid="_x0000_s1087" style="position:absolute;visibility:visible;mso-wrap-style:square" from="47625,4095" to="4763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84sYAAADdAAAADwAAAGRycy9kb3ducmV2LnhtbERP22oCMRB9L/QfwhT6UjSrpaKrUdRW&#10;aUEQb/g6bsbdxc1kSVLd9uubQqFvczjXGU0aU4krOV9aVtBpJyCIM6tLzhXsd4tWH4QPyBory6Tg&#10;izxMxvd3I0y1vfGGrtuQixjCPkUFRQh1KqXPCjLo27YmjtzZOoMhQpdL7fAWw00lu0nSkwZLjg0F&#10;1jQvKLtsP42CY+cj+97s3Ww5Oz6tXvm0fjvIs1KPD810CCJQE/7Ff+53Hec/vwzg95t4gh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GvOLGAAAA3QAAAA8AAAAAAAAA&#10;AAAAAAAAoQIAAGRycy9kb3ducmV2LnhtbFBLBQYAAAAABAAEAPkAAACUAwAAAAA=&#10;" strokecolor="#d4d4d4" strokeweight="0"/>
                <v:rect id="Rectangle 127" o:spid="_x0000_s1088" style="position:absolute;left:47625;top:4095;width:9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r/sYA&#10;AADdAAAADwAAAGRycy9kb3ducmV2LnhtbESPQW/CMAyF75P2HyJP4jJBOhDV6AhomoY0bhvbD7Aa&#10;0xQap0oyKPv1+IC0m633/N7n5XrwnTpRTG1gA0+TAhRxHWzLjYGf7834GVTKyBa7wGTgQgnWq/u7&#10;JVY2nPmLTrvcKAnhVKEBl3NfaZ1qRx7TJPTEou1D9JhljY22Ec8S7js9LYpSe2xZGhz29OaoPu5+&#10;vQF9+LSt7t/LeNg/Hu3Cbef4Nzdm9DC8voDKNOR/8+36wwr+rBR++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4r/sYAAADdAAAADwAAAAAAAAAAAAAAAACYAgAAZHJz&#10;L2Rvd25yZXYueG1sUEsFBgAAAAAEAAQA9QAAAIsDAAAAAA==&#10;" fillcolor="#d4d4d4" stroked="f"/>
                <v:line id="Line 128" o:spid="_x0000_s1089" style="position:absolute;visibility:visible;mso-wrap-style:square" from="47720,0" to="477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6WcUAAADdAAAADwAAAGRycy9kb3ducmV2LnhtbERP22oCMRB9L/gPYYS+FM2uBSmrUbS1&#10;0oJQvOHruBl3FzeTJYm67dc3hYJvczjXGU9bU4srOV9ZVpD2ExDEudUVFwp22/feCwgfkDXWlknB&#10;N3mYTjoPY8y0vfGarptQiBjCPkMFZQhNJqXPSzLo+7YhjtzJOoMhQldI7fAWw00tB0kylAYrjg0l&#10;NvRaUn7eXIyCQ/qZ/6x3br6cH55Wb3z8WuzlSanHbjsbgQjUhrv43/2h4/znYQp/38QT5O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6WcUAAADdAAAADwAAAAAAAAAA&#10;AAAAAAChAgAAZHJzL2Rvd25yZXYueG1sUEsFBgAAAAAEAAQA+QAAAJMDAAAAAA==&#10;" strokecolor="#d4d4d4" strokeweight="0"/>
                <v:rect id="Rectangle 129" o:spid="_x0000_s1090" style="position:absolute;left:4772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QEsMA&#10;AADdAAAADwAAAGRycy9kb3ducmV2LnhtbERP3WrCMBS+F/YO4Qx2IzOdw7J1jTJkgrtTtwc4NKdN&#10;tTkpSdTq0y8Dwbvz8f2ecjHYTpzIh9axgpdJBoK4crrlRsHvz+r5DUSIyBo7x6TgQgEW84dRiYV2&#10;Z97SaRcbkUI4FKjAxNgXUobKkMUwcT1x4mrnLcYEfSO1x3MKt52cZlkuLbacGgz2tDRUHXZHq0Du&#10;N7qV/Vfu9/X4oN/N9wyvM6WeHofPDxCRhngX39xrnea/5lP4/yad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AQEsMAAADdAAAADwAAAAAAAAAAAAAAAACYAgAAZHJzL2Rv&#10;d25yZXYueG1sUEsFBgAAAAAEAAQA9QAAAIgDAAAAAA==&#10;" fillcolor="#d4d4d4" stroked="f"/>
                <v:line id="Line 130" o:spid="_x0000_s1091" style="position:absolute;visibility:visible;mso-wrap-style:square" from="47720,2000" to="47726,2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JBtcUAAADdAAAADwAAAGRycy9kb3ducmV2LnhtbERP22oCMRB9L/gPYYS+FM1aQWQ1SrW1&#10;WBDEG75ON+Pu4mayJFHXfn1TKPg2h3Od8bQxlbiS86VlBb1uAoI4s7rkXMF+t+gMQfiArLGyTAru&#10;5GE6aT2NMdX2xhu6bkMuYgj7FBUUIdSplD4ryKDv2po4cifrDIYIXS61w1sMN5V8TZKBNFhybCiw&#10;pnlB2Xl7MQqOva/sZ7N3s8/Z8WX1zt/rj4M8KfXcbt5GIAI14SH+dy91nN8f9OHvm3iCn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JBtcUAAADdAAAADwAAAAAAAAAA&#10;AAAAAAChAgAAZHJzL2Rvd25yZXYueG1sUEsFBgAAAAAEAAQA+QAAAJMDAAAAAA==&#10;" strokecolor="#d4d4d4" strokeweight="0"/>
                <v:rect id="Rectangle 131" o:spid="_x0000_s1092" style="position:absolute;left:47720;top:200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Ut/cMA&#10;AADdAAAADwAAAGRycy9kb3ducmV2LnhtbERP22oCMRB9L/gPYQRfima13aXdGkWKBfvmpR8wbMbN&#10;6mayJKmu/fpGKPRtDuc682VvW3EhHxrHCqaTDARx5XTDtYKvw8f4BUSIyBpbx6TgRgGWi8HDHEvt&#10;rryjyz7WIoVwKFGBibErpQyVIYth4jrixB2dtxgT9LXUHq8p3LZylmWFtNhwajDY0buh6rz/tgrk&#10;aasb2a0Lfzo+nvWr+czxJ1dqNOxXbyAi9fFf/Ofe6DT/qXiG+zfp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Ut/cMAAADdAAAADwAAAAAAAAAAAAAAAACYAgAAZHJzL2Rv&#10;d25yZXYueG1sUEsFBgAAAAAEAAQA9QAAAIgDAAAAAA==&#10;" fillcolor="#d4d4d4" stroked="f"/>
                <v:line id="Line 132" o:spid="_x0000_s1093" style="position:absolute;visibility:visible;mso-wrap-style:square" from="47720,4000" to="47726,4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8WsUAAADdAAAADwAAAGRycy9kb3ducmV2LnhtbERP22oCMRB9F/oPYQp9KZq1UpGtUeqt&#10;VCgUb/g63Yy7SzeTJYm69euNUPBtDuc6w3FjKnEi50vLCrqdBARxZnXJuYLtZtEegPABWWNlmRT8&#10;kYfx6KE1xFTbM6/otA65iCHsU1RQhFCnUvqsIIO+Y2viyB2sMxgidLnUDs8x3FTyJUn60mDJsaHA&#10;mqYFZb/ro1Gw7y6zy2rrJh+T/fPXjH++5zt5UOrpsXl/AxGoCXfxv/tTx/m9/ivcvoknyNE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d8WsUAAADdAAAADwAAAAAAAAAA&#10;AAAAAAChAgAAZHJzL2Rvd25yZXYueG1sUEsFBgAAAAAEAAQA+QAAAJMDAAAAAA==&#10;" strokecolor="#d4d4d4" strokeweight="0"/>
                <v:rect id="Rectangle 133" o:spid="_x0000_s1094" style="position:absolute;left:47720;top:4000;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WEcMA&#10;AADdAAAADwAAAGRycy9kb3ducmV2LnhtbERP3WrCMBS+F3yHcITdyEzdsGy1UUQcbHdT9wCH5rSp&#10;Niclidrt6ZfBwLvz8f2ecj3YTlzJh9axgvksA0FcOd1yo+Dr+Pb4AiJEZI2dY1LwTQHWq/GoxEK7&#10;G+/peoiNSCEcClRgYuwLKUNlyGKYuZ44cbXzFmOCvpHa4y2F204+ZVkuLbacGgz2tDVUnQ8Xq0Ce&#10;PnUr+13uT/X0rF/NxwJ/Fko9TIbNEkSkId7F/+53neY/5zn8fZNO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sWEcMAAADdAAAADwAAAAAAAAAAAAAAAACYAgAAZHJzL2Rv&#10;d25yZXYueG1sUEsFBgAAAAAEAAQA9QAAAIgDAAAAAA==&#10;" fillcolor="#d4d4d4" stroked="f"/>
                <v:line id="Line 134" o:spid="_x0000_s1095" style="position:absolute;visibility:visible;mso-wrap-style:square" from="0,6953" to="47720,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HtsUAAADdAAAADwAAAGRycy9kb3ducmV2LnhtbERP22oCMRB9L/QfwhT6Ipq1gpWtUeqt&#10;VBCKN3ydbsbdpZvJkkTd+vWmIPRtDuc6w3FjKnEm50vLCrqdBARxZnXJuYLddtEegPABWWNlmRT8&#10;kofx6PFhiKm2F17TeRNyEUPYp6igCKFOpfRZQQZ9x9bEkTtaZzBE6HKpHV5iuKnkS5L0pcGSY0OB&#10;NU0Lyn42J6Pg0F1m1/XOTT4mh9Zqxt9f8708KvX81Ly/gQjUhH/x3f2p4/xe/xX+voknyN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lHtsUAAADdAAAADwAAAAAAAAAA&#10;AAAAAAChAgAAZHJzL2Rvd25yZXYueG1sUEsFBgAAAAAEAAQA+QAAAJMDAAAAAA==&#10;" strokecolor="#d4d4d4" strokeweight="0"/>
                <v:rect id="Rectangle 135" o:spid="_x0000_s1096" style="position:absolute;top:6953;width:4781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n+MYA&#10;AADdAAAADwAAAGRycy9kb3ducmV2LnhtbESPQW/CMAyF75P2HyJP4jJBOhDV6AhomoY0bhvbD7Aa&#10;0xQap0oyKPv1+IC0m633/N7n5XrwnTpRTG1gA0+TAhRxHWzLjYGf7834GVTKyBa7wGTgQgnWq/u7&#10;JVY2nPmLTrvcKAnhVKEBl3NfaZ1qRx7TJPTEou1D9JhljY22Ec8S7js9LYpSe2xZGhz29OaoPu5+&#10;vQF9+LSt7t/LeNg/Hu3Cbef4Nzdm9DC8voDKNOR/8+36wwr+rBRc+UZG0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n+MYAAADdAAAADwAAAAAAAAAAAAAAAACYAgAAZHJz&#10;L2Rvd25yZXYueG1sUEsFBgAAAAAEAAQA9QAAAIsDAAAAAA==&#10;" fillcolor="#d4d4d4" stroked="f"/>
                <v:rect id="Rectangle 77" o:spid="_x0000_s1097" style="position:absolute;left:19135;top:2181;width:2984;height:2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RgMAA&#10;AADdAAAADwAAAGRycy9kb3ducmV2LnhtbERP24rCMBB9F/yHMIJvmqogbjWKCIIu+2LdDxia6QWT&#10;SUmirX+/WVjYtzmc6+wOgzXiRT60jhUs5hkI4tLplmsF3/fzbAMiRGSNxjEpeFOAw3482mGuXc83&#10;ehWxFimEQ44Kmhi7XMpQNmQxzF1HnLjKeYsxQV9L7bFP4dbIZZatpcWWU0ODHZ0aKh/F0yqQ9+Lc&#10;bwrjM/e5rL7M9XKryCk1nQzHLYhIQ/wX/7kvOs1frT/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6RgMAAAADdAAAADwAAAAAAAAAAAAAAAACYAgAAZHJzL2Rvd25y&#10;ZXYueG1sUEsFBgAAAAAEAAQA9QAAAIUDAAAAAA==&#10;" filled="f" stroked="f">
                  <v:textbox style="mso-fit-shape-to-text:t" inset="0,0,0,0">
                    <w:txbxContent>
                      <w:p w:rsidR="00962E44" w:rsidRDefault="00962E44" w:rsidP="00CE3DE8">
                        <w:pPr>
                          <w:pStyle w:val="Normlnweb"/>
                          <w:spacing w:before="0" w:beforeAutospacing="0" w:after="0" w:afterAutospacing="0" w:line="276" w:lineRule="auto"/>
                          <w:jc w:val="both"/>
                        </w:pPr>
                        <w:r>
                          <w:rPr>
                            <w:rFonts w:ascii="Calibri" w:hAnsi="Calibri" w:cs="Calibri"/>
                            <w:color w:val="000000"/>
                            <w:szCs w:val="22"/>
                            <w:lang w:val="en-US"/>
                          </w:rPr>
                          <w:t>35 %</w:t>
                        </w:r>
                      </w:p>
                    </w:txbxContent>
                  </v:textbox>
                </v:rect>
                <w10:anchorlock/>
              </v:group>
            </w:pict>
          </mc:Fallback>
        </mc:AlternateContent>
      </w:r>
    </w:p>
    <w:p w:rsidR="00324860" w:rsidRPr="00ED38E9" w:rsidRDefault="00324860" w:rsidP="00F97AF3">
      <w:pPr>
        <w:pStyle w:val="Nadpis2"/>
      </w:pPr>
      <w:bookmarkStart w:id="259" w:name="_Toc441759943"/>
      <w:r w:rsidRPr="00ED38E9">
        <w:t>Vyhodnocení nákladů a přínosů</w:t>
      </w:r>
      <w:bookmarkEnd w:id="259"/>
    </w:p>
    <w:p w:rsidR="00324860" w:rsidRPr="00ED38E9" w:rsidRDefault="00324860" w:rsidP="00F97AF3">
      <w:pPr>
        <w:pStyle w:val="Nadpis3"/>
      </w:pPr>
      <w:r w:rsidRPr="00ED38E9">
        <w:t>Identifikace nákladů a přínosů</w:t>
      </w:r>
    </w:p>
    <w:p w:rsidR="00324860" w:rsidRPr="00ED38E9" w:rsidRDefault="00324860" w:rsidP="002D66F0">
      <w:pPr>
        <w:pStyle w:val="Odstavecseseznamem"/>
        <w:numPr>
          <w:ilvl w:val="0"/>
          <w:numId w:val="33"/>
        </w:numPr>
        <w:spacing w:before="240" w:after="120"/>
        <w:contextualSpacing w:val="0"/>
        <w:rPr>
          <w:rFonts w:cs="Arial"/>
        </w:rPr>
      </w:pPr>
      <w:r w:rsidRPr="00ED38E9">
        <w:rPr>
          <w:rFonts w:cs="Arial"/>
        </w:rPr>
        <w:t>Varianta 0</w:t>
      </w:r>
    </w:p>
    <w:p w:rsidR="00324860" w:rsidRPr="00ED38E9" w:rsidRDefault="00324860" w:rsidP="00324860">
      <w:pPr>
        <w:rPr>
          <w:rFonts w:cs="Arial"/>
        </w:rPr>
      </w:pPr>
      <w:r w:rsidRPr="00ED38E9">
        <w:rPr>
          <w:rFonts w:cs="Arial"/>
        </w:rPr>
        <w:t xml:space="preserve">Současný stav, který představuje úroveň </w:t>
      </w:r>
      <w:r w:rsidR="00C02A81">
        <w:rPr>
          <w:rFonts w:cs="Arial"/>
        </w:rPr>
        <w:t>zpětného odběru</w:t>
      </w:r>
      <w:r w:rsidRPr="00ED38E9">
        <w:rPr>
          <w:rFonts w:cs="Arial"/>
        </w:rPr>
        <w:t xml:space="preserve"> ve výši 35 %. </w:t>
      </w:r>
      <w:r w:rsidR="00F35DBD">
        <w:rPr>
          <w:rFonts w:cs="Arial"/>
        </w:rPr>
        <w:t>T</w:t>
      </w:r>
      <w:r w:rsidRPr="00ED38E9">
        <w:rPr>
          <w:rFonts w:cs="Arial"/>
        </w:rPr>
        <w:t xml:space="preserve">éto hodnoty </w:t>
      </w:r>
      <w:r w:rsidR="00F97AF3">
        <w:rPr>
          <w:rFonts w:cs="Arial"/>
        </w:rPr>
        <w:t>a</w:t>
      </w:r>
      <w:r w:rsidR="00F35DBD">
        <w:rPr>
          <w:rFonts w:cs="Arial"/>
        </w:rPr>
        <w:t xml:space="preserve">ktuálně </w:t>
      </w:r>
      <w:r w:rsidRPr="00ED38E9">
        <w:rPr>
          <w:rFonts w:cs="Arial"/>
        </w:rPr>
        <w:t xml:space="preserve">nedosahuje cca </w:t>
      </w:r>
      <w:r w:rsidR="00645350" w:rsidRPr="00ED38E9">
        <w:rPr>
          <w:rFonts w:cs="Arial"/>
        </w:rPr>
        <w:t>6</w:t>
      </w:r>
      <w:r w:rsidRPr="00ED38E9">
        <w:rPr>
          <w:rFonts w:cs="Arial"/>
        </w:rPr>
        <w:t>0 % povinných osob, které podal</w:t>
      </w:r>
      <w:r w:rsidR="00DE27AD" w:rsidRPr="00ED38E9">
        <w:rPr>
          <w:rFonts w:cs="Arial"/>
        </w:rPr>
        <w:t>y</w:t>
      </w:r>
      <w:r w:rsidRPr="00ED38E9">
        <w:rPr>
          <w:rFonts w:cs="Arial"/>
        </w:rPr>
        <w:t xml:space="preserve"> roční hlášení prostřednictvím ISPOP za</w:t>
      </w:r>
      <w:r w:rsidR="00BC680B" w:rsidRPr="00ED38E9">
        <w:rPr>
          <w:rFonts w:cs="Arial"/>
        </w:rPr>
        <w:t> </w:t>
      </w:r>
      <w:r w:rsidRPr="00ED38E9">
        <w:rPr>
          <w:rFonts w:cs="Arial"/>
        </w:rPr>
        <w:t>rok 201</w:t>
      </w:r>
      <w:r w:rsidR="00237E65" w:rsidRPr="00ED38E9">
        <w:rPr>
          <w:rFonts w:cs="Arial"/>
        </w:rPr>
        <w:t>3</w:t>
      </w:r>
      <w:r w:rsidR="00FE52B8" w:rsidRPr="00ED38E9">
        <w:rPr>
          <w:rFonts w:cs="Arial"/>
        </w:rPr>
        <w:t xml:space="preserve">, ale celková úroveň </w:t>
      </w:r>
      <w:r w:rsidR="00C02A81">
        <w:rPr>
          <w:rFonts w:cs="Arial"/>
        </w:rPr>
        <w:t>zpětného odběru</w:t>
      </w:r>
      <w:r w:rsidR="00FE52B8" w:rsidRPr="00ED38E9">
        <w:rPr>
          <w:rFonts w:cs="Arial"/>
        </w:rPr>
        <w:t xml:space="preserve"> se blíží k 70 %</w:t>
      </w:r>
      <w:r w:rsidRPr="00ED38E9">
        <w:rPr>
          <w:rFonts w:cs="Arial"/>
        </w:rPr>
        <w:t xml:space="preserve">. Hlavním nedostatkem této varianty je, že </w:t>
      </w:r>
      <w:r w:rsidR="00F35DBD">
        <w:rPr>
          <w:rFonts w:cs="Arial"/>
        </w:rPr>
        <w:t xml:space="preserve">stanovená </w:t>
      </w:r>
      <w:r w:rsidRPr="00ED38E9">
        <w:rPr>
          <w:rFonts w:cs="Arial"/>
        </w:rPr>
        <w:t>úroveň je velmi nízká</w:t>
      </w:r>
      <w:r w:rsidR="00F35DBD">
        <w:rPr>
          <w:rFonts w:cs="Arial"/>
        </w:rPr>
        <w:t>,</w:t>
      </w:r>
      <w:r w:rsidRPr="00ED38E9">
        <w:rPr>
          <w:rFonts w:cs="Arial"/>
        </w:rPr>
        <w:t xml:space="preserve"> a tak chybí nástroj, který by více nutil výrobce plnit svoji zákonnou povinnost, aby umožnil ve větší míře zákazníkovi předání odpadní pneumatiky k recyklaci. Vzniká pak free-riding, kdy povinnosti </w:t>
      </w:r>
      <w:r w:rsidR="00C02A81">
        <w:rPr>
          <w:rFonts w:cs="Arial"/>
        </w:rPr>
        <w:t xml:space="preserve">určité osoby </w:t>
      </w:r>
      <w:r w:rsidRPr="00ED38E9">
        <w:rPr>
          <w:rFonts w:cs="Arial"/>
        </w:rPr>
        <w:t>plní někdo jiný. Z těchto důvodů varianta</w:t>
      </w:r>
      <w:r w:rsidR="00D24792" w:rsidRPr="00ED38E9">
        <w:rPr>
          <w:rFonts w:cs="Arial"/>
        </w:rPr>
        <w:t xml:space="preserve"> 0</w:t>
      </w:r>
      <w:r w:rsidRPr="00ED38E9">
        <w:rPr>
          <w:rFonts w:cs="Arial"/>
        </w:rPr>
        <w:t xml:space="preserve"> </w:t>
      </w:r>
      <w:r w:rsidR="00CE3DE8">
        <w:rPr>
          <w:rFonts w:cs="Arial"/>
        </w:rPr>
        <w:t>přináší</w:t>
      </w:r>
      <w:r w:rsidRPr="00ED38E9">
        <w:rPr>
          <w:rFonts w:cs="Arial"/>
        </w:rPr>
        <w:t xml:space="preserve"> pro spotřebitele</w:t>
      </w:r>
      <w:r w:rsidR="00CE3DE8">
        <w:rPr>
          <w:rFonts w:cs="Arial"/>
        </w:rPr>
        <w:t xml:space="preserve"> překážky pro</w:t>
      </w:r>
      <w:r w:rsidRPr="00ED38E9">
        <w:rPr>
          <w:rFonts w:cs="Arial"/>
        </w:rPr>
        <w:t xml:space="preserve"> vrace</w:t>
      </w:r>
      <w:r w:rsidR="00CE3DE8">
        <w:rPr>
          <w:rFonts w:cs="Arial"/>
        </w:rPr>
        <w:t>ní</w:t>
      </w:r>
      <w:r w:rsidRPr="00ED38E9">
        <w:rPr>
          <w:rFonts w:cs="Arial"/>
        </w:rPr>
        <w:t xml:space="preserve"> </w:t>
      </w:r>
      <w:r w:rsidR="00CE3DE8">
        <w:rPr>
          <w:rFonts w:cs="Arial"/>
        </w:rPr>
        <w:t>použitých</w:t>
      </w:r>
      <w:r w:rsidR="00CE3DE8" w:rsidRPr="00ED38E9">
        <w:rPr>
          <w:rFonts w:cs="Arial"/>
        </w:rPr>
        <w:t xml:space="preserve"> </w:t>
      </w:r>
      <w:r w:rsidRPr="00ED38E9">
        <w:rPr>
          <w:rFonts w:cs="Arial"/>
        </w:rPr>
        <w:t>pneumatik</w:t>
      </w:r>
      <w:r w:rsidR="00CE3DE8" w:rsidRPr="00CE3DE8">
        <w:rPr>
          <w:rFonts w:cs="Arial"/>
        </w:rPr>
        <w:t xml:space="preserve"> </w:t>
      </w:r>
      <w:r w:rsidR="00CE3DE8" w:rsidRPr="00ED38E9">
        <w:rPr>
          <w:rFonts w:cs="Arial"/>
        </w:rPr>
        <w:t>výrobcům</w:t>
      </w:r>
      <w:r w:rsidR="00D24792" w:rsidRPr="00ED38E9">
        <w:rPr>
          <w:rFonts w:cs="Arial"/>
        </w:rPr>
        <w:t>,</w:t>
      </w:r>
      <w:r w:rsidRPr="00ED38E9">
        <w:rPr>
          <w:rFonts w:cs="Arial"/>
        </w:rPr>
        <w:t xml:space="preserve"> a tak dochází k</w:t>
      </w:r>
      <w:r w:rsidR="00A13596" w:rsidRPr="00ED38E9">
        <w:rPr>
          <w:rFonts w:cs="Arial"/>
        </w:rPr>
        <w:t> </w:t>
      </w:r>
      <w:r w:rsidRPr="00ED38E9">
        <w:rPr>
          <w:rFonts w:cs="Arial"/>
        </w:rPr>
        <w:t xml:space="preserve">odkládání </w:t>
      </w:r>
      <w:r w:rsidR="00C02A81">
        <w:rPr>
          <w:rFonts w:cs="Arial"/>
        </w:rPr>
        <w:t xml:space="preserve">odpadních </w:t>
      </w:r>
      <w:r w:rsidRPr="00ED38E9">
        <w:rPr>
          <w:rFonts w:cs="Arial"/>
        </w:rPr>
        <w:t>pneumatik na místech, kter</w:t>
      </w:r>
      <w:r w:rsidR="00DE27AD" w:rsidRPr="00ED38E9">
        <w:rPr>
          <w:rFonts w:cs="Arial"/>
        </w:rPr>
        <w:t>á</w:t>
      </w:r>
      <w:r w:rsidRPr="00ED38E9">
        <w:rPr>
          <w:rFonts w:cs="Arial"/>
        </w:rPr>
        <w:t xml:space="preserve"> </w:t>
      </w:r>
      <w:r w:rsidR="00C02A81">
        <w:rPr>
          <w:rFonts w:cs="Arial"/>
        </w:rPr>
        <w:t xml:space="preserve">pro to </w:t>
      </w:r>
      <w:r w:rsidRPr="00ED38E9">
        <w:rPr>
          <w:rFonts w:cs="Arial"/>
        </w:rPr>
        <w:t>nejsou určen</w:t>
      </w:r>
      <w:r w:rsidR="00DE27AD" w:rsidRPr="00ED38E9">
        <w:rPr>
          <w:rFonts w:cs="Arial"/>
        </w:rPr>
        <w:t>á</w:t>
      </w:r>
      <w:r w:rsidRPr="00ED38E9">
        <w:rPr>
          <w:rFonts w:cs="Arial"/>
        </w:rPr>
        <w:t xml:space="preserve"> (příkopy, kontejnerová stání apod.). Tímto </w:t>
      </w:r>
      <w:r w:rsidR="00F35DBD">
        <w:rPr>
          <w:rFonts w:cs="Arial"/>
        </w:rPr>
        <w:t xml:space="preserve">vzniká riziko </w:t>
      </w:r>
      <w:r w:rsidRPr="00ED38E9">
        <w:rPr>
          <w:rFonts w:cs="Arial"/>
        </w:rPr>
        <w:t xml:space="preserve"> pro životního prostředí</w:t>
      </w:r>
      <w:r w:rsidR="00DE27AD" w:rsidRPr="00ED38E9">
        <w:rPr>
          <w:rFonts w:cs="Arial"/>
        </w:rPr>
        <w:t>.</w:t>
      </w:r>
      <w:r w:rsidRPr="00ED38E9">
        <w:rPr>
          <w:rFonts w:cs="Arial"/>
        </w:rPr>
        <w:t xml:space="preserve"> </w:t>
      </w:r>
    </w:p>
    <w:p w:rsidR="00324860" w:rsidRPr="00ED38E9" w:rsidRDefault="00324860" w:rsidP="002D66F0">
      <w:pPr>
        <w:pStyle w:val="Odstavecseseznamem"/>
        <w:numPr>
          <w:ilvl w:val="0"/>
          <w:numId w:val="33"/>
        </w:numPr>
        <w:spacing w:before="240" w:after="120"/>
        <w:contextualSpacing w:val="0"/>
        <w:rPr>
          <w:rFonts w:cs="Arial"/>
        </w:rPr>
      </w:pPr>
      <w:r w:rsidRPr="00ED38E9">
        <w:rPr>
          <w:rFonts w:cs="Arial"/>
        </w:rPr>
        <w:t>Varianta 1</w:t>
      </w:r>
    </w:p>
    <w:p w:rsidR="00324860" w:rsidRPr="00ED38E9" w:rsidRDefault="00324860" w:rsidP="00324860">
      <w:pPr>
        <w:rPr>
          <w:rFonts w:cs="Arial"/>
        </w:rPr>
      </w:pPr>
      <w:r w:rsidRPr="00ED38E9">
        <w:rPr>
          <w:rFonts w:cs="Arial"/>
        </w:rPr>
        <w:lastRenderedPageBreak/>
        <w:t>Nastavení úrovně zpětného odběru odpadních pneumatik přináší zvýšenou zodpovědnost výrobců za produkty, které uvádějí na trh. Předpokládáme, že nastavení úrovně přinese mnoho výhod zejména pro občany, protože tato regulace částečně podporuje vznik kolektivního systému</w:t>
      </w:r>
      <w:r w:rsidR="00D24792" w:rsidRPr="00ED38E9">
        <w:rPr>
          <w:rFonts w:cs="Arial"/>
        </w:rPr>
        <w:t>,</w:t>
      </w:r>
      <w:r w:rsidRPr="00ED38E9">
        <w:rPr>
          <w:rFonts w:cs="Arial"/>
        </w:rPr>
        <w:t xml:space="preserve"> a tím i snížení nákladů subjektů na zpětný odběr</w:t>
      </w:r>
      <w:r w:rsidR="00F35DBD">
        <w:rPr>
          <w:rFonts w:cs="Arial"/>
        </w:rPr>
        <w:t>,</w:t>
      </w:r>
      <w:r w:rsidRPr="00ED38E9">
        <w:rPr>
          <w:rFonts w:cs="Arial"/>
        </w:rPr>
        <w:t xml:space="preserve"> a zapojení více povinných osob. Dále pak očekáváme, že podpoří uvádění recyklačního </w:t>
      </w:r>
      <w:r w:rsidR="00E84B4E">
        <w:rPr>
          <w:rFonts w:cs="Arial"/>
        </w:rPr>
        <w:t>příspěvku</w:t>
      </w:r>
      <w:r w:rsidR="00E84B4E" w:rsidRPr="00ED38E9">
        <w:rPr>
          <w:rFonts w:cs="Arial"/>
        </w:rPr>
        <w:t xml:space="preserve"> </w:t>
      </w:r>
      <w:r w:rsidRPr="00ED38E9">
        <w:rPr>
          <w:rFonts w:cs="Arial"/>
        </w:rPr>
        <w:t>na daňovém dokladu, který je chápán mnoha subjekty jako motivace pro spotřebitele k odevzdání</w:t>
      </w:r>
      <w:r w:rsidR="00F35DBD">
        <w:rPr>
          <w:rFonts w:cs="Arial"/>
        </w:rPr>
        <w:t>,</w:t>
      </w:r>
      <w:r w:rsidRPr="00ED38E9">
        <w:rPr>
          <w:rFonts w:cs="Arial"/>
        </w:rPr>
        <w:t xml:space="preserve"> a tím zvýšení úrovně zpětného odběru pneumatik, které jinak končí ve sklepech, stodolách, garážích, dílnách, příkopech, les</w:t>
      </w:r>
      <w:r w:rsidR="00DE27AD" w:rsidRPr="00ED38E9">
        <w:rPr>
          <w:rFonts w:cs="Arial"/>
        </w:rPr>
        <w:t>í</w:t>
      </w:r>
      <w:r w:rsidRPr="00ED38E9">
        <w:rPr>
          <w:rFonts w:cs="Arial"/>
        </w:rPr>
        <w:t>ch apod.</w:t>
      </w:r>
    </w:p>
    <w:p w:rsidR="00324860" w:rsidRPr="00ED38E9" w:rsidRDefault="00324860" w:rsidP="00324860">
      <w:pPr>
        <w:rPr>
          <w:rFonts w:cs="Arial"/>
        </w:rPr>
      </w:pPr>
      <w:r w:rsidRPr="00ED38E9">
        <w:rPr>
          <w:rFonts w:cs="Arial"/>
        </w:rPr>
        <w:t>V níže uvedené tabulce je zobrazena úroveň zpětného odběru odpadních pneumatik v letech 2011</w:t>
      </w:r>
      <w:r w:rsidR="009C23D5" w:rsidRPr="00ED38E9">
        <w:rPr>
          <w:rFonts w:cs="Arial"/>
        </w:rPr>
        <w:t>–</w:t>
      </w:r>
      <w:r w:rsidRPr="00ED38E9">
        <w:rPr>
          <w:rFonts w:cs="Arial"/>
        </w:rPr>
        <w:t>201</w:t>
      </w:r>
      <w:r w:rsidR="009C23D5" w:rsidRPr="00ED38E9">
        <w:rPr>
          <w:rFonts w:cs="Arial"/>
        </w:rPr>
        <w:t>3</w:t>
      </w:r>
      <w:r w:rsidRPr="00ED38E9">
        <w:rPr>
          <w:rFonts w:cs="Arial"/>
        </w:rPr>
        <w:t xml:space="preserve"> a můžeme z ní vyčíst, kteří výrobci zřejmě parazitují na systému větších výrobců. Současné hodnoty nedosahují finálních 80 %, ale předpokládáme, že v případě zjednodušení systému zpětného odběru pneumatik díky </w:t>
      </w:r>
      <w:r w:rsidR="00693537" w:rsidRPr="00ED38E9">
        <w:rPr>
          <w:rFonts w:cs="Arial"/>
        </w:rPr>
        <w:t xml:space="preserve">možnosti </w:t>
      </w:r>
      <w:r w:rsidRPr="00ED38E9">
        <w:rPr>
          <w:rFonts w:cs="Arial"/>
        </w:rPr>
        <w:t>kolektivní</w:t>
      </w:r>
      <w:r w:rsidR="00693537" w:rsidRPr="00ED38E9">
        <w:rPr>
          <w:rFonts w:cs="Arial"/>
        </w:rPr>
        <w:t>ho</w:t>
      </w:r>
      <w:r w:rsidRPr="00ED38E9">
        <w:rPr>
          <w:rFonts w:cs="Arial"/>
        </w:rPr>
        <w:t xml:space="preserve"> </w:t>
      </w:r>
      <w:r w:rsidR="00DE27AD" w:rsidRPr="00ED38E9">
        <w:rPr>
          <w:rFonts w:cs="Arial"/>
        </w:rPr>
        <w:t xml:space="preserve">plnění </w:t>
      </w:r>
      <w:r w:rsidRPr="00ED38E9">
        <w:rPr>
          <w:rFonts w:cs="Arial"/>
        </w:rPr>
        <w:t>a tím zjednodušení odevzdání odpadní pneumatiky, budou spotřebitelé odevzdávat odpadní pneumatiky více</w:t>
      </w:r>
      <w:r w:rsidR="00693537" w:rsidRPr="00ED38E9">
        <w:rPr>
          <w:rFonts w:cs="Arial"/>
        </w:rPr>
        <w:t>,</w:t>
      </w:r>
      <w:r w:rsidRPr="00ED38E9">
        <w:rPr>
          <w:rFonts w:cs="Arial"/>
        </w:rPr>
        <w:t xml:space="preserve"> než je tomu v dnešní době (příklad: zákazník zakoupí nové pneumatiky přes internet </w:t>
      </w:r>
      <w:r w:rsidR="00F35DBD">
        <w:rPr>
          <w:rFonts w:cs="Arial"/>
        </w:rPr>
        <w:t xml:space="preserve"> </w:t>
      </w:r>
      <w:r w:rsidRPr="00ED38E9">
        <w:rPr>
          <w:rFonts w:cs="Arial"/>
        </w:rPr>
        <w:t>a star</w:t>
      </w:r>
      <w:r w:rsidR="00F35DBD">
        <w:rPr>
          <w:rFonts w:cs="Arial"/>
        </w:rPr>
        <w:t>é může</w:t>
      </w:r>
      <w:r w:rsidRPr="00ED38E9">
        <w:rPr>
          <w:rFonts w:cs="Arial"/>
        </w:rPr>
        <w:t xml:space="preserve"> </w:t>
      </w:r>
      <w:r w:rsidR="00F35DBD">
        <w:rPr>
          <w:rFonts w:cs="Arial"/>
        </w:rPr>
        <w:t xml:space="preserve">odevzdat </w:t>
      </w:r>
      <w:r w:rsidRPr="00ED38E9">
        <w:rPr>
          <w:rFonts w:cs="Arial"/>
        </w:rPr>
        <w:t>pneuservis</w:t>
      </w:r>
      <w:r w:rsidR="00F35DBD">
        <w:rPr>
          <w:rFonts w:cs="Arial"/>
        </w:rPr>
        <w:t>u</w:t>
      </w:r>
      <w:r w:rsidRPr="00ED38E9">
        <w:rPr>
          <w:rFonts w:cs="Arial"/>
        </w:rPr>
        <w:t xml:space="preserve"> </w:t>
      </w:r>
      <w:r w:rsidR="00F35DBD">
        <w:rPr>
          <w:rFonts w:cs="Arial"/>
        </w:rPr>
        <w:t xml:space="preserve">či </w:t>
      </w:r>
      <w:r w:rsidR="00F35DBD" w:rsidRPr="00ED38E9">
        <w:rPr>
          <w:rFonts w:cs="Arial"/>
        </w:rPr>
        <w:t xml:space="preserve"> </w:t>
      </w:r>
      <w:r w:rsidR="00F35DBD">
        <w:rPr>
          <w:rFonts w:cs="Arial"/>
        </w:rPr>
        <w:t xml:space="preserve">na </w:t>
      </w:r>
      <w:r w:rsidRPr="00ED38E9">
        <w:rPr>
          <w:rFonts w:cs="Arial"/>
        </w:rPr>
        <w:t>sběrný dvůr v místě bydliště</w:t>
      </w:r>
      <w:r w:rsidR="00F35DBD">
        <w:rPr>
          <w:rFonts w:cs="Arial"/>
        </w:rPr>
        <w:t xml:space="preserve">, ale </w:t>
      </w:r>
      <w:r w:rsidRPr="00ED38E9">
        <w:rPr>
          <w:rFonts w:cs="Arial"/>
        </w:rPr>
        <w:t xml:space="preserve"> pouze </w:t>
      </w:r>
      <w:r w:rsidR="00E84B4E">
        <w:rPr>
          <w:rFonts w:cs="Arial"/>
        </w:rPr>
        <w:t>za úplatu</w:t>
      </w:r>
      <w:r w:rsidRPr="00ED38E9">
        <w:rPr>
          <w:rFonts w:cs="Arial"/>
        </w:rPr>
        <w:t xml:space="preserve">. Někteří </w:t>
      </w:r>
      <w:r w:rsidR="00E84B4E">
        <w:rPr>
          <w:rFonts w:cs="Arial"/>
        </w:rPr>
        <w:t>požadovanou platbu</w:t>
      </w:r>
      <w:r w:rsidRPr="00ED38E9">
        <w:rPr>
          <w:rFonts w:cs="Arial"/>
        </w:rPr>
        <w:t xml:space="preserve"> </w:t>
      </w:r>
      <w:r w:rsidR="00C67383">
        <w:rPr>
          <w:rFonts w:cs="Arial"/>
        </w:rPr>
        <w:t>nechtějí hradit</w:t>
      </w:r>
      <w:r w:rsidR="00E84B4E">
        <w:rPr>
          <w:rFonts w:cs="Arial"/>
        </w:rPr>
        <w:t>,</w:t>
      </w:r>
      <w:r w:rsidR="00C67383">
        <w:rPr>
          <w:rFonts w:cs="Arial"/>
        </w:rPr>
        <w:t xml:space="preserve"> a tak </w:t>
      </w:r>
      <w:r w:rsidRPr="00ED38E9">
        <w:rPr>
          <w:rFonts w:cs="Arial"/>
        </w:rPr>
        <w:t xml:space="preserve"> uloží </w:t>
      </w:r>
      <w:r w:rsidR="00C67383">
        <w:rPr>
          <w:rFonts w:cs="Arial"/>
        </w:rPr>
        <w:t xml:space="preserve">pneumatiky </w:t>
      </w:r>
      <w:r w:rsidRPr="00ED38E9">
        <w:rPr>
          <w:rFonts w:cs="Arial"/>
        </w:rPr>
        <w:t>do garáže, dílny, stodoly, příkopu apod.).</w:t>
      </w:r>
    </w:p>
    <w:p w:rsidR="00324860" w:rsidRPr="00ED38E9" w:rsidRDefault="00324860" w:rsidP="00324860">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67</w:t>
      </w:r>
      <w:r w:rsidR="00381FB7" w:rsidRPr="00ED38E9">
        <w:rPr>
          <w:rFonts w:cs="Arial"/>
        </w:rPr>
        <w:fldChar w:fldCharType="end"/>
      </w:r>
      <w:r w:rsidRPr="00ED38E9">
        <w:rPr>
          <w:rFonts w:cs="Arial"/>
        </w:rPr>
        <w:t>: Přehled úrovně sběru v letech 2011</w:t>
      </w:r>
      <w:r w:rsidR="009C23D5" w:rsidRPr="00ED38E9">
        <w:rPr>
          <w:rFonts w:cs="Arial"/>
        </w:rPr>
        <w:t>–</w:t>
      </w:r>
      <w:r w:rsidRPr="00ED38E9">
        <w:rPr>
          <w:rFonts w:cs="Arial"/>
        </w:rPr>
        <w:t xml:space="preserve"> 201</w:t>
      </w:r>
      <w:r w:rsidR="009C23D5" w:rsidRPr="00ED38E9">
        <w:rPr>
          <w:rFonts w:cs="Arial"/>
        </w:rPr>
        <w:t>3</w:t>
      </w:r>
      <w:r w:rsidRPr="00ED38E9">
        <w:rPr>
          <w:rFonts w:cs="Arial"/>
        </w:rPr>
        <w:t xml:space="preserve"> dle kategorie výrobců (zdroj: ISPOP)</w:t>
      </w:r>
    </w:p>
    <w:p w:rsidR="00324860" w:rsidRPr="00ED38E9" w:rsidRDefault="009C23D5" w:rsidP="00324860">
      <w:pPr>
        <w:rPr>
          <w:rFonts w:cs="Arial"/>
        </w:rPr>
      </w:pPr>
      <w:r w:rsidRPr="00ED38E9">
        <w:rPr>
          <w:rFonts w:cs="Arial"/>
          <w:lang w:eastAsia="cs-CZ" w:bidi="ar-SA"/>
        </w:rPr>
        <w:drawing>
          <wp:inline distT="0" distB="0" distL="0" distR="0" wp14:anchorId="7F4B51C0" wp14:editId="078C3760">
            <wp:extent cx="5760720" cy="151039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1510395"/>
                    </a:xfrm>
                    <a:prstGeom prst="rect">
                      <a:avLst/>
                    </a:prstGeom>
                    <a:noFill/>
                    <a:ln>
                      <a:noFill/>
                    </a:ln>
                  </pic:spPr>
                </pic:pic>
              </a:graphicData>
            </a:graphic>
          </wp:inline>
        </w:drawing>
      </w:r>
    </w:p>
    <w:p w:rsidR="00324860" w:rsidRPr="00ED38E9" w:rsidRDefault="00324860" w:rsidP="00F97AF3">
      <w:pPr>
        <w:pStyle w:val="Nadpis3"/>
      </w:pPr>
      <w:r w:rsidRPr="00ED38E9">
        <w:lastRenderedPageBreak/>
        <w:t>Vyhodnocení nákladů a přínosů variant</w:t>
      </w:r>
    </w:p>
    <w:p w:rsidR="00324860" w:rsidRPr="00ED38E9" w:rsidRDefault="00324860" w:rsidP="00324860">
      <w:pPr>
        <w:pStyle w:val="Titulek"/>
        <w:jc w:val="left"/>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68</w:t>
      </w:r>
      <w:r w:rsidR="00381FB7" w:rsidRPr="00ED38E9">
        <w:rPr>
          <w:rFonts w:cs="Arial"/>
        </w:rPr>
        <w:fldChar w:fldCharType="end"/>
      </w:r>
      <w:r w:rsidRPr="00ED38E9">
        <w:rPr>
          <w:rFonts w:cs="Arial"/>
        </w:rPr>
        <w:t>: Porovnání přínosů a nákladů</w:t>
      </w:r>
    </w:p>
    <w:p w:rsidR="00324860" w:rsidRPr="00ED38E9" w:rsidRDefault="008A0801" w:rsidP="00324860">
      <w:pPr>
        <w:spacing w:after="200"/>
        <w:jc w:val="left"/>
        <w:rPr>
          <w:rFonts w:cs="Arial"/>
        </w:rPr>
      </w:pPr>
      <w:r w:rsidRPr="00ED38E9">
        <w:rPr>
          <w:rFonts w:cs="Arial"/>
          <w:lang w:eastAsia="cs-CZ" w:bidi="ar-SA"/>
        </w:rPr>
        <w:drawing>
          <wp:inline distT="0" distB="0" distL="0" distR="0" wp14:anchorId="293524AF" wp14:editId="76CD1A00">
            <wp:extent cx="5760720" cy="4254981"/>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4254981"/>
                    </a:xfrm>
                    <a:prstGeom prst="rect">
                      <a:avLst/>
                    </a:prstGeom>
                    <a:noFill/>
                    <a:ln>
                      <a:noFill/>
                    </a:ln>
                  </pic:spPr>
                </pic:pic>
              </a:graphicData>
            </a:graphic>
          </wp:inline>
        </w:drawing>
      </w:r>
    </w:p>
    <w:p w:rsidR="00324860" w:rsidRPr="00ED38E9" w:rsidRDefault="00324860" w:rsidP="00F97AF3">
      <w:pPr>
        <w:pStyle w:val="Nadpis2"/>
      </w:pPr>
      <w:bookmarkStart w:id="260" w:name="_Toc441759944"/>
      <w:r w:rsidRPr="00ED38E9">
        <w:t>Návrh řešení</w:t>
      </w:r>
      <w:bookmarkEnd w:id="260"/>
    </w:p>
    <w:p w:rsidR="00324860" w:rsidRPr="00ED38E9" w:rsidRDefault="00324860" w:rsidP="00F97AF3">
      <w:pPr>
        <w:pStyle w:val="Nadpis3"/>
      </w:pPr>
      <w:r w:rsidRPr="00ED38E9">
        <w:t>Stanovení pořadí variant a výběr nejvhodnějšího řešení</w:t>
      </w:r>
    </w:p>
    <w:p w:rsidR="00324860" w:rsidRPr="00ED38E9" w:rsidRDefault="00324860" w:rsidP="002D66F0">
      <w:pPr>
        <w:pStyle w:val="Odstavecseseznamem"/>
        <w:numPr>
          <w:ilvl w:val="0"/>
          <w:numId w:val="32"/>
        </w:numPr>
        <w:contextualSpacing w:val="0"/>
        <w:rPr>
          <w:rFonts w:cs="Arial"/>
          <w:b/>
          <w:bCs/>
        </w:rPr>
      </w:pPr>
      <w:r w:rsidRPr="00ED38E9">
        <w:rPr>
          <w:rFonts w:cs="Arial"/>
          <w:b/>
          <w:bCs/>
        </w:rPr>
        <w:t>Varianta 1</w:t>
      </w:r>
    </w:p>
    <w:p w:rsidR="00324860" w:rsidRPr="00ED38E9" w:rsidRDefault="00324860" w:rsidP="002D66F0">
      <w:pPr>
        <w:pStyle w:val="Odstavecseseznamem"/>
        <w:numPr>
          <w:ilvl w:val="0"/>
          <w:numId w:val="32"/>
        </w:numPr>
        <w:contextualSpacing w:val="0"/>
        <w:rPr>
          <w:rFonts w:cs="Arial"/>
        </w:rPr>
      </w:pPr>
      <w:r w:rsidRPr="00ED38E9">
        <w:rPr>
          <w:rFonts w:cs="Arial"/>
        </w:rPr>
        <w:t>Varianta 0</w:t>
      </w:r>
    </w:p>
    <w:p w:rsidR="00324860" w:rsidRPr="00ED38E9" w:rsidRDefault="00324860" w:rsidP="00324860">
      <w:pPr>
        <w:rPr>
          <w:rFonts w:cs="Arial"/>
        </w:rPr>
      </w:pPr>
      <w:r w:rsidRPr="00ED38E9">
        <w:rPr>
          <w:rFonts w:cs="Arial"/>
        </w:rPr>
        <w:t>Hlavním cílem je, aby odpadní pneumatiky byly dále využívány. K tomu je třeba je vracet výrobcům a neodkládat na nevhodná místa. Nastavení úrovně sběru je jedním z mnoha prvků, které mohou dopomoci k plnění tohoto cíle</w:t>
      </w:r>
      <w:r w:rsidR="00743073" w:rsidRPr="00ED38E9">
        <w:rPr>
          <w:rFonts w:cs="Arial"/>
        </w:rPr>
        <w:t>,</w:t>
      </w:r>
      <w:r w:rsidRPr="00ED38E9">
        <w:rPr>
          <w:rFonts w:cs="Arial"/>
        </w:rPr>
        <w:t xml:space="preserve"> </w:t>
      </w:r>
      <w:r w:rsidR="00743073" w:rsidRPr="00ED38E9">
        <w:rPr>
          <w:rFonts w:cs="Arial"/>
        </w:rPr>
        <w:t>proto</w:t>
      </w:r>
      <w:r w:rsidRPr="00ED38E9">
        <w:rPr>
          <w:rFonts w:cs="Arial"/>
        </w:rPr>
        <w:t xml:space="preserve"> navrhujeme přijmout Variantu 1.</w:t>
      </w:r>
    </w:p>
    <w:p w:rsidR="00324860" w:rsidRPr="00ED38E9" w:rsidRDefault="00324860" w:rsidP="00324860">
      <w:pPr>
        <w:rPr>
          <w:rFonts w:cs="Arial"/>
          <w:kern w:val="32"/>
          <w:sz w:val="28"/>
          <w:szCs w:val="28"/>
        </w:rPr>
      </w:pPr>
      <w:r w:rsidRPr="00ED38E9">
        <w:rPr>
          <w:rFonts w:cs="Arial"/>
        </w:rPr>
        <w:br w:type="page"/>
      </w:r>
    </w:p>
    <w:p w:rsidR="00BE2D4A" w:rsidRPr="00ED38E9" w:rsidRDefault="00BE2D4A" w:rsidP="00F97AF3">
      <w:pPr>
        <w:pStyle w:val="Nadpis1"/>
      </w:pPr>
      <w:bookmarkStart w:id="261" w:name="_Toc441759945"/>
      <w:bookmarkStart w:id="262" w:name="_Toc441760200"/>
      <w:r w:rsidRPr="00ED38E9">
        <w:lastRenderedPageBreak/>
        <w:t xml:space="preserve">Povolení pro zařízení </w:t>
      </w:r>
      <w:r w:rsidR="00D67460">
        <w:t>ke</w:t>
      </w:r>
      <w:r w:rsidRPr="00ED38E9">
        <w:t xml:space="preserve"> sběr</w:t>
      </w:r>
      <w:r w:rsidR="00D67460">
        <w:t>u</w:t>
      </w:r>
      <w:r w:rsidRPr="00ED38E9">
        <w:t xml:space="preserve"> a zpracování vozidel s ukončenou životností</w:t>
      </w:r>
      <w:bookmarkEnd w:id="261"/>
      <w:bookmarkEnd w:id="262"/>
    </w:p>
    <w:p w:rsidR="00BE2D4A" w:rsidRPr="00ED38E9" w:rsidRDefault="00BE2D4A" w:rsidP="00F97AF3">
      <w:pPr>
        <w:pStyle w:val="Nadpis2"/>
      </w:pPr>
      <w:bookmarkStart w:id="263" w:name="_Toc441759946"/>
      <w:r w:rsidRPr="00ED38E9">
        <w:t>Důvod předložení a cíle</w:t>
      </w:r>
      <w:bookmarkEnd w:id="263"/>
    </w:p>
    <w:p w:rsidR="00BE2D4A" w:rsidRPr="00ED38E9" w:rsidRDefault="00BE2D4A" w:rsidP="00F97AF3">
      <w:pPr>
        <w:pStyle w:val="Nadpis3"/>
      </w:pPr>
      <w:r w:rsidRPr="00ED38E9">
        <w:t>Definice problému</w:t>
      </w:r>
    </w:p>
    <w:p w:rsidR="00BE2D4A" w:rsidRPr="00ED38E9" w:rsidRDefault="00BE2D4A" w:rsidP="00BE2D4A">
      <w:pPr>
        <w:rPr>
          <w:rFonts w:cs="Arial"/>
        </w:rPr>
      </w:pPr>
      <w:r w:rsidRPr="00ED38E9">
        <w:rPr>
          <w:rFonts w:cs="Arial"/>
        </w:rPr>
        <w:t xml:space="preserve">Hlavním problémem v této oblasti je udělování souhlasu </w:t>
      </w:r>
      <w:r w:rsidR="006B1254" w:rsidRPr="00ED38E9">
        <w:rPr>
          <w:rFonts w:cs="Arial"/>
        </w:rPr>
        <w:t xml:space="preserve">k provozování zařízení </w:t>
      </w:r>
      <w:r w:rsidR="007D23B2">
        <w:rPr>
          <w:rFonts w:cs="Arial"/>
        </w:rPr>
        <w:t>ke</w:t>
      </w:r>
      <w:r w:rsidR="006B1254" w:rsidRPr="00ED38E9">
        <w:rPr>
          <w:rFonts w:cs="Arial"/>
        </w:rPr>
        <w:t xml:space="preserve"> sběr</w:t>
      </w:r>
      <w:r w:rsidR="007D23B2">
        <w:rPr>
          <w:rFonts w:cs="Arial"/>
        </w:rPr>
        <w:t>u</w:t>
      </w:r>
      <w:r w:rsidR="006B1254" w:rsidRPr="00ED38E9">
        <w:rPr>
          <w:rFonts w:cs="Arial"/>
        </w:rPr>
        <w:t xml:space="preserve"> a</w:t>
      </w:r>
      <w:r w:rsidR="002C2251" w:rsidRPr="00ED38E9">
        <w:rPr>
          <w:rFonts w:cs="Arial"/>
        </w:rPr>
        <w:t> </w:t>
      </w:r>
      <w:r w:rsidR="006B1254" w:rsidRPr="00ED38E9">
        <w:rPr>
          <w:rFonts w:cs="Arial"/>
        </w:rPr>
        <w:t xml:space="preserve">zpracování vozidel s ukončenou životností </w:t>
      </w:r>
      <w:r w:rsidRPr="00ED38E9">
        <w:rPr>
          <w:rFonts w:cs="Arial"/>
        </w:rPr>
        <w:t>na dobu neurčitou v některých krajích. Dále pak zákon o odpadech neřeší změnu provozního řádu</w:t>
      </w:r>
      <w:r w:rsidR="006B1254" w:rsidRPr="00ED38E9">
        <w:rPr>
          <w:rFonts w:cs="Arial"/>
        </w:rPr>
        <w:t xml:space="preserve"> daného zařízení</w:t>
      </w:r>
      <w:r w:rsidRPr="00ED38E9">
        <w:rPr>
          <w:rFonts w:cs="Arial"/>
        </w:rPr>
        <w:t xml:space="preserve"> v případě změny legislativy</w:t>
      </w:r>
      <w:r w:rsidR="007D23B2">
        <w:rPr>
          <w:rFonts w:cs="Arial"/>
        </w:rPr>
        <w:t>,</w:t>
      </w:r>
      <w:r w:rsidRPr="00ED38E9">
        <w:rPr>
          <w:rFonts w:cs="Arial"/>
        </w:rPr>
        <w:t xml:space="preserve"> a tak i při změně zákona nemají povinnost někteří provozovatelé měnit provozní řád. Tím může docházet k nerovným podmínkám mezi provozovateli. Dalším problémem je velké množství provozovatel</w:t>
      </w:r>
      <w:r w:rsidR="007869A0" w:rsidRPr="00ED38E9">
        <w:rPr>
          <w:rFonts w:cs="Arial"/>
        </w:rPr>
        <w:t xml:space="preserve">ů, kdy </w:t>
      </w:r>
      <w:r w:rsidR="003211D6" w:rsidRPr="00ED38E9">
        <w:rPr>
          <w:rFonts w:cs="Arial"/>
        </w:rPr>
        <w:t>c</w:t>
      </w:r>
      <w:r w:rsidRPr="00ED38E9">
        <w:rPr>
          <w:rFonts w:cs="Arial"/>
        </w:rPr>
        <w:t>hybí dostatečná kontrolovatelnost demontáží a</w:t>
      </w:r>
      <w:r w:rsidR="00BA233C" w:rsidRPr="00ED38E9">
        <w:rPr>
          <w:rFonts w:cs="Arial"/>
        </w:rPr>
        <w:t> </w:t>
      </w:r>
      <w:r w:rsidRPr="00ED38E9">
        <w:rPr>
          <w:rFonts w:cs="Arial"/>
        </w:rPr>
        <w:t>dostatečné technické zázemí potřebné ke kvalitní demontáži bez ohrožení životního prostředí v některých provozovnách.</w:t>
      </w:r>
    </w:p>
    <w:p w:rsidR="00BE2D4A" w:rsidRPr="00ED38E9" w:rsidRDefault="00BE2D4A" w:rsidP="00F97AF3">
      <w:pPr>
        <w:pStyle w:val="Nadpis3"/>
      </w:pPr>
      <w:r w:rsidRPr="00ED38E9">
        <w:t>Popis existujícího právního stavu v dané oblasti</w:t>
      </w:r>
    </w:p>
    <w:p w:rsidR="00BE2D4A" w:rsidRPr="00ED38E9" w:rsidRDefault="004471E8" w:rsidP="00BE2D4A">
      <w:pPr>
        <w:rPr>
          <w:rFonts w:cs="Arial"/>
        </w:rPr>
      </w:pPr>
      <w:r w:rsidRPr="00ED38E9">
        <w:rPr>
          <w:rFonts w:cs="Arial"/>
        </w:rPr>
        <w:t>Platný z</w:t>
      </w:r>
      <w:r w:rsidR="00BE2D4A" w:rsidRPr="00ED38E9">
        <w:rPr>
          <w:rFonts w:cs="Arial"/>
        </w:rPr>
        <w:t>ákon o odpadech</w:t>
      </w:r>
      <w:r w:rsidRPr="00ED38E9">
        <w:rPr>
          <w:rFonts w:cs="Arial"/>
        </w:rPr>
        <w:t xml:space="preserve"> </w:t>
      </w:r>
      <w:r w:rsidR="00BE2D4A" w:rsidRPr="00ED38E9">
        <w:rPr>
          <w:rFonts w:cs="Arial"/>
        </w:rPr>
        <w:t>uvádí v</w:t>
      </w:r>
      <w:r w:rsidR="00BA233C" w:rsidRPr="00ED38E9">
        <w:rPr>
          <w:rFonts w:cs="Arial"/>
        </w:rPr>
        <w:t> </w:t>
      </w:r>
      <w:r w:rsidR="00BE2D4A" w:rsidRPr="00ED38E9">
        <w:rPr>
          <w:rFonts w:cs="Arial"/>
        </w:rPr>
        <w:t>§</w:t>
      </w:r>
      <w:r w:rsidR="00BA233C" w:rsidRPr="00ED38E9">
        <w:rPr>
          <w:rFonts w:cs="Arial"/>
        </w:rPr>
        <w:t> </w:t>
      </w:r>
      <w:r w:rsidR="00BE2D4A" w:rsidRPr="00ED38E9">
        <w:rPr>
          <w:rFonts w:cs="Arial"/>
        </w:rPr>
        <w:t xml:space="preserve">14 odst. 1: </w:t>
      </w:r>
      <w:r w:rsidRPr="00ED38E9">
        <w:rPr>
          <w:rFonts w:cs="Arial"/>
        </w:rPr>
        <w:t>„</w:t>
      </w:r>
      <w:r w:rsidR="00BE2D4A" w:rsidRPr="00ED38E9">
        <w:rPr>
          <w:rFonts w:cs="Arial"/>
        </w:rPr>
        <w:t>Zařízení k využívání, odstraňování, sběru nebo výkupu odpadů lze provozovat pouze na základě rozhodnutí krajského úřadu, kterým je udělen souhlas k provozování tohoto zařízení a s jeho provozním řádem.</w:t>
      </w:r>
      <w:r w:rsidRPr="00ED38E9">
        <w:rPr>
          <w:rFonts w:cs="Arial"/>
        </w:rPr>
        <w:t>“</w:t>
      </w:r>
    </w:p>
    <w:p w:rsidR="00BE2D4A" w:rsidRPr="00ED38E9" w:rsidRDefault="00BE2D4A" w:rsidP="00F97AF3">
      <w:pPr>
        <w:pStyle w:val="Nadpis3"/>
      </w:pPr>
      <w:r w:rsidRPr="00ED38E9">
        <w:t>Identifikace dotčených subjektů</w:t>
      </w:r>
    </w:p>
    <w:p w:rsidR="00BE2D4A" w:rsidRPr="00ED38E9" w:rsidRDefault="00BE2D4A" w:rsidP="00620E6B">
      <w:pPr>
        <w:pStyle w:val="Odstavecseseznamem"/>
        <w:numPr>
          <w:ilvl w:val="0"/>
          <w:numId w:val="4"/>
        </w:numPr>
        <w:rPr>
          <w:rFonts w:cs="Arial"/>
        </w:rPr>
      </w:pPr>
      <w:r w:rsidRPr="00ED38E9">
        <w:rPr>
          <w:rFonts w:cs="Arial"/>
        </w:rPr>
        <w:t>provozovatelé zařízení,</w:t>
      </w:r>
    </w:p>
    <w:p w:rsidR="00BE2D4A" w:rsidRPr="00ED38E9" w:rsidRDefault="00BE2D4A" w:rsidP="00620E6B">
      <w:pPr>
        <w:pStyle w:val="Odstavecseseznamem"/>
        <w:numPr>
          <w:ilvl w:val="0"/>
          <w:numId w:val="4"/>
        </w:numPr>
        <w:rPr>
          <w:rFonts w:cs="Arial"/>
        </w:rPr>
      </w:pPr>
      <w:r w:rsidRPr="00ED38E9">
        <w:rPr>
          <w:rFonts w:cs="Arial"/>
        </w:rPr>
        <w:t>Ministerstvo životního prostředí (</w:t>
      </w:r>
      <w:r w:rsidR="004C7066" w:rsidRPr="00ED38E9">
        <w:rPr>
          <w:rFonts w:cs="Arial"/>
        </w:rPr>
        <w:t xml:space="preserve">MŽP, </w:t>
      </w:r>
      <w:r w:rsidRPr="00ED38E9">
        <w:rPr>
          <w:rFonts w:cs="Arial"/>
        </w:rPr>
        <w:t>ministerstvo),</w:t>
      </w:r>
    </w:p>
    <w:p w:rsidR="00BE2D4A" w:rsidRPr="00ED38E9" w:rsidRDefault="00BE2D4A" w:rsidP="00620E6B">
      <w:pPr>
        <w:pStyle w:val="Odstavecseseznamem"/>
        <w:numPr>
          <w:ilvl w:val="0"/>
          <w:numId w:val="4"/>
        </w:numPr>
        <w:rPr>
          <w:rFonts w:cs="Arial"/>
        </w:rPr>
      </w:pPr>
      <w:r w:rsidRPr="00ED38E9">
        <w:rPr>
          <w:rFonts w:cs="Arial"/>
        </w:rPr>
        <w:t>krajské úřady (KÚ).</w:t>
      </w:r>
    </w:p>
    <w:p w:rsidR="00BE2D4A" w:rsidRPr="00ED38E9" w:rsidRDefault="00BE2D4A" w:rsidP="00F97AF3">
      <w:pPr>
        <w:pStyle w:val="Nadpis3"/>
      </w:pPr>
      <w:r w:rsidRPr="00ED38E9">
        <w:t>Popis cílového stavu</w:t>
      </w:r>
    </w:p>
    <w:p w:rsidR="00BE2D4A" w:rsidRPr="00ED38E9" w:rsidRDefault="00BE2D4A" w:rsidP="00BE2D4A">
      <w:pPr>
        <w:rPr>
          <w:rFonts w:cs="Arial"/>
        </w:rPr>
      </w:pPr>
      <w:r w:rsidRPr="00ED38E9">
        <w:rPr>
          <w:rFonts w:cs="Arial"/>
        </w:rPr>
        <w:t>Cílem je zlepšit technická zázemí, kde dochází k</w:t>
      </w:r>
      <w:r w:rsidR="00906B27">
        <w:rPr>
          <w:rFonts w:cs="Arial"/>
        </w:rPr>
        <w:t xml:space="preserve">e zpracování </w:t>
      </w:r>
      <w:r w:rsidRPr="00ED38E9">
        <w:rPr>
          <w:rFonts w:cs="Arial"/>
        </w:rPr>
        <w:t>vozidel s ukončenou životností a tím i snížit rizika</w:t>
      </w:r>
      <w:r w:rsidR="00372879" w:rsidRPr="00ED38E9">
        <w:rPr>
          <w:rFonts w:cs="Arial"/>
        </w:rPr>
        <w:t> </w:t>
      </w:r>
      <w:r w:rsidR="00906B27">
        <w:rPr>
          <w:rFonts w:cs="Arial"/>
        </w:rPr>
        <w:t xml:space="preserve">pro </w:t>
      </w:r>
      <w:r w:rsidR="00372879" w:rsidRPr="00ED38E9">
        <w:rPr>
          <w:rFonts w:cs="Arial"/>
        </w:rPr>
        <w:t>životní prostředí.</w:t>
      </w:r>
    </w:p>
    <w:p w:rsidR="00BE2D4A" w:rsidRPr="00ED38E9" w:rsidRDefault="00BE2D4A" w:rsidP="00F97AF3">
      <w:pPr>
        <w:pStyle w:val="Nadpis3"/>
      </w:pPr>
      <w:r w:rsidRPr="00ED38E9">
        <w:t>Zhodnocení rizika</w:t>
      </w:r>
    </w:p>
    <w:p w:rsidR="00BE2D4A" w:rsidRPr="00ED38E9" w:rsidRDefault="00BE2D4A" w:rsidP="00BE2D4A">
      <w:pPr>
        <w:rPr>
          <w:rFonts w:cs="Arial"/>
        </w:rPr>
      </w:pPr>
      <w:r w:rsidRPr="00ED38E9">
        <w:rPr>
          <w:rFonts w:cs="Arial"/>
        </w:rPr>
        <w:t xml:space="preserve">Nepřijmutím této změny </w:t>
      </w:r>
      <w:r w:rsidR="00372879" w:rsidRPr="00ED38E9">
        <w:rPr>
          <w:rFonts w:cs="Arial"/>
        </w:rPr>
        <w:t xml:space="preserve">může </w:t>
      </w:r>
      <w:r w:rsidRPr="00ED38E9">
        <w:rPr>
          <w:rFonts w:cs="Arial"/>
        </w:rPr>
        <w:t>doj</w:t>
      </w:r>
      <w:r w:rsidR="00372879" w:rsidRPr="00ED38E9">
        <w:rPr>
          <w:rFonts w:cs="Arial"/>
        </w:rPr>
        <w:t>ít</w:t>
      </w:r>
      <w:r w:rsidRPr="00ED38E9">
        <w:rPr>
          <w:rFonts w:cs="Arial"/>
        </w:rPr>
        <w:t xml:space="preserve"> k ohrožení životního prostředí nedostatečným technickým zázemím zpracovatelů </w:t>
      </w:r>
      <w:r w:rsidR="00372879" w:rsidRPr="00ED38E9">
        <w:rPr>
          <w:rFonts w:cs="Arial"/>
        </w:rPr>
        <w:t>vozidel s ukončenou životností</w:t>
      </w:r>
      <w:r w:rsidRPr="00ED38E9">
        <w:rPr>
          <w:rFonts w:cs="Arial"/>
        </w:rPr>
        <w:t xml:space="preserve">. Dalším rizikem nepřijmutí této změny jsou možné sankce ze strany EU v případě nedodržení </w:t>
      </w:r>
      <w:r w:rsidR="007D23B2" w:rsidRPr="00ED38E9">
        <w:rPr>
          <w:rFonts w:cs="Arial"/>
        </w:rPr>
        <w:t>článk</w:t>
      </w:r>
      <w:r w:rsidR="007D23B2">
        <w:rPr>
          <w:rFonts w:cs="Arial"/>
        </w:rPr>
        <w:t>ů</w:t>
      </w:r>
      <w:r w:rsidR="007D23B2" w:rsidRPr="00ED38E9">
        <w:rPr>
          <w:rFonts w:cs="Arial"/>
        </w:rPr>
        <w:t xml:space="preserve"> 5</w:t>
      </w:r>
      <w:r w:rsidR="007D23B2">
        <w:rPr>
          <w:rFonts w:cs="Arial"/>
        </w:rPr>
        <w:t xml:space="preserve"> a 7 </w:t>
      </w:r>
      <w:r w:rsidRPr="00ED38E9">
        <w:rPr>
          <w:rFonts w:cs="Arial"/>
        </w:rPr>
        <w:t>směrnice 2000/53/ES.</w:t>
      </w:r>
    </w:p>
    <w:p w:rsidR="00BE2D4A" w:rsidRPr="00F97AF3" w:rsidRDefault="00BE2D4A" w:rsidP="00F97AF3">
      <w:pPr>
        <w:pStyle w:val="Nadpis2"/>
      </w:pPr>
      <w:bookmarkStart w:id="264" w:name="_Toc441759947"/>
      <w:r w:rsidRPr="00F97AF3">
        <w:t>Návrh variant řešení</w:t>
      </w:r>
      <w:bookmarkEnd w:id="264"/>
    </w:p>
    <w:p w:rsidR="00BE2D4A" w:rsidRPr="00F97AF3" w:rsidRDefault="00BE2D4A" w:rsidP="00F97AF3">
      <w:pPr>
        <w:pStyle w:val="Nadpis3"/>
      </w:pPr>
      <w:r w:rsidRPr="00F97AF3">
        <w:t>Varianta 0</w:t>
      </w:r>
    </w:p>
    <w:p w:rsidR="00BE2D4A" w:rsidRPr="00ED38E9" w:rsidRDefault="007D23B2" w:rsidP="00BE2D4A">
      <w:pPr>
        <w:rPr>
          <w:rFonts w:cs="Arial"/>
        </w:rPr>
      </w:pPr>
      <w:r>
        <w:rPr>
          <w:rFonts w:cs="Arial"/>
        </w:rPr>
        <w:t>Ponechat s</w:t>
      </w:r>
      <w:r w:rsidR="00BE2D4A" w:rsidRPr="00ED38E9">
        <w:rPr>
          <w:rFonts w:cs="Arial"/>
        </w:rPr>
        <w:t>oučasný stav, kdy souhlas k provozování zařízení</w:t>
      </w:r>
      <w:r w:rsidR="005870C0">
        <w:rPr>
          <w:rFonts w:cs="Arial"/>
        </w:rPr>
        <w:t xml:space="preserve"> ke sběru nebo zpracování vozidel s ukončenou životností</w:t>
      </w:r>
      <w:r w:rsidR="0092566F">
        <w:rPr>
          <w:rFonts w:cs="Arial"/>
        </w:rPr>
        <w:t xml:space="preserve"> </w:t>
      </w:r>
      <w:r w:rsidR="00A5045B">
        <w:rPr>
          <w:rFonts w:cs="Arial"/>
        </w:rPr>
        <w:t>může být</w:t>
      </w:r>
      <w:r w:rsidR="0092566F">
        <w:rPr>
          <w:rFonts w:cs="Arial"/>
        </w:rPr>
        <w:t xml:space="preserve"> vydá</w:t>
      </w:r>
      <w:r w:rsidR="00A5045B">
        <w:rPr>
          <w:rFonts w:cs="Arial"/>
        </w:rPr>
        <w:t>n jak</w:t>
      </w:r>
      <w:r w:rsidR="0092566F">
        <w:rPr>
          <w:rFonts w:cs="Arial"/>
        </w:rPr>
        <w:t xml:space="preserve"> na dobu neurčitou</w:t>
      </w:r>
      <w:r w:rsidR="00A5045B">
        <w:rPr>
          <w:rFonts w:cs="Arial"/>
        </w:rPr>
        <w:t>, tak na dobu určitou dle správního uvážení krajského úřadu</w:t>
      </w:r>
      <w:r w:rsidR="00BE2D4A" w:rsidRPr="00ED38E9">
        <w:rPr>
          <w:rFonts w:cs="Arial"/>
        </w:rPr>
        <w:t>.</w:t>
      </w:r>
    </w:p>
    <w:p w:rsidR="00BE2D4A" w:rsidRPr="00ED38E9" w:rsidRDefault="00BE2D4A" w:rsidP="00F97AF3">
      <w:pPr>
        <w:pStyle w:val="Nadpis3"/>
      </w:pPr>
      <w:r w:rsidRPr="00ED38E9">
        <w:t>Varianta 1</w:t>
      </w:r>
    </w:p>
    <w:p w:rsidR="00BE2D4A" w:rsidRPr="00ED38E9" w:rsidRDefault="007D23B2" w:rsidP="00BE2D4A">
      <w:pPr>
        <w:rPr>
          <w:rFonts w:cs="Arial"/>
        </w:rPr>
      </w:pPr>
      <w:r>
        <w:rPr>
          <w:rFonts w:cs="Arial"/>
        </w:rPr>
        <w:t>Varianta 1 bude znamenat, že k</w:t>
      </w:r>
      <w:r w:rsidR="00BE2D4A" w:rsidRPr="00ED38E9">
        <w:rPr>
          <w:rFonts w:cs="Arial"/>
        </w:rPr>
        <w:t>rajské úřady vydávají povolení podle</w:t>
      </w:r>
      <w:r>
        <w:rPr>
          <w:rFonts w:cs="Arial"/>
        </w:rPr>
        <w:t xml:space="preserve"> (nového)</w:t>
      </w:r>
      <w:r w:rsidR="00F94CE8">
        <w:rPr>
          <w:rFonts w:cs="Arial"/>
        </w:rPr>
        <w:t xml:space="preserve"> zákona o </w:t>
      </w:r>
      <w:r w:rsidR="00BE2D4A" w:rsidRPr="00ED38E9">
        <w:rPr>
          <w:rFonts w:cs="Arial"/>
        </w:rPr>
        <w:t>odpadech na dobu určitou</w:t>
      </w:r>
      <w:r w:rsidR="005870C0">
        <w:rPr>
          <w:rFonts w:cs="Arial"/>
        </w:rPr>
        <w:t>, která bude stanovena specielně zákonem o vybraných výrobcích s ukončenou životností</w:t>
      </w:r>
      <w:r w:rsidR="00BE2D4A" w:rsidRPr="00ED38E9">
        <w:rPr>
          <w:rFonts w:cs="Arial"/>
        </w:rPr>
        <w:t xml:space="preserve">, </w:t>
      </w:r>
      <w:r w:rsidR="003211D6" w:rsidRPr="00ED38E9">
        <w:rPr>
          <w:rFonts w:cs="Arial"/>
        </w:rPr>
        <w:t>a to</w:t>
      </w:r>
      <w:r w:rsidR="00BE2D4A" w:rsidRPr="00ED38E9">
        <w:rPr>
          <w:rFonts w:cs="Arial"/>
        </w:rPr>
        <w:t xml:space="preserve"> na 5 let. Povolení </w:t>
      </w:r>
      <w:r w:rsidR="005870C0" w:rsidRPr="00ED38E9">
        <w:rPr>
          <w:rFonts w:cs="Arial"/>
        </w:rPr>
        <w:t xml:space="preserve">je možné </w:t>
      </w:r>
      <w:r w:rsidR="00BE2D4A" w:rsidRPr="00ED38E9">
        <w:rPr>
          <w:rFonts w:cs="Arial"/>
        </w:rPr>
        <w:t xml:space="preserve">na žádost provozovatele opakovaně prodlužovat na základě revize provozních řádů a plnění </w:t>
      </w:r>
      <w:r w:rsidR="00C67383" w:rsidRPr="00ED38E9">
        <w:rPr>
          <w:rFonts w:cs="Arial"/>
        </w:rPr>
        <w:t>aktuáln</w:t>
      </w:r>
      <w:r w:rsidR="00C67383">
        <w:rPr>
          <w:rFonts w:cs="Arial"/>
        </w:rPr>
        <w:t>ích</w:t>
      </w:r>
      <w:r w:rsidR="00C67383" w:rsidRPr="00ED38E9">
        <w:rPr>
          <w:rFonts w:cs="Arial"/>
        </w:rPr>
        <w:t xml:space="preserve"> </w:t>
      </w:r>
      <w:r w:rsidR="00BE2D4A" w:rsidRPr="00ED38E9">
        <w:rPr>
          <w:rFonts w:cs="Arial"/>
        </w:rPr>
        <w:t xml:space="preserve">technických požadavků, </w:t>
      </w:r>
      <w:r w:rsidR="00BE2D4A" w:rsidRPr="00ED38E9">
        <w:rPr>
          <w:rFonts w:cs="Arial"/>
        </w:rPr>
        <w:lastRenderedPageBreak/>
        <w:t>a</w:t>
      </w:r>
      <w:r w:rsidR="00F94CE8">
        <w:rPr>
          <w:rFonts w:cs="Arial"/>
        </w:rPr>
        <w:t> </w:t>
      </w:r>
      <w:r w:rsidR="00BE2D4A" w:rsidRPr="00ED38E9">
        <w:rPr>
          <w:rFonts w:cs="Arial"/>
        </w:rPr>
        <w:t xml:space="preserve">to vždy </w:t>
      </w:r>
      <w:r w:rsidR="001D2C7E" w:rsidRPr="00ED38E9">
        <w:rPr>
          <w:rFonts w:cs="Arial"/>
        </w:rPr>
        <w:t xml:space="preserve">nejvýše </w:t>
      </w:r>
      <w:r w:rsidR="00BE2D4A" w:rsidRPr="00ED38E9">
        <w:rPr>
          <w:rFonts w:cs="Arial"/>
        </w:rPr>
        <w:t xml:space="preserve">o 5 let. Na vydání nebo prodloužení není právní nárok. Před vydáním je nutné, aby krajský úřad provedl místní šetření a ověřil, že zařízení splňuje stanovené požadavky uvedené v žádosti. </w:t>
      </w:r>
    </w:p>
    <w:p w:rsidR="00BE2D4A" w:rsidRPr="00ED38E9" w:rsidRDefault="00BE2D4A" w:rsidP="00F97AF3">
      <w:pPr>
        <w:pStyle w:val="Nadpis2"/>
      </w:pPr>
      <w:bookmarkStart w:id="265" w:name="_Toc441759948"/>
      <w:r w:rsidRPr="00ED38E9">
        <w:t>Vyhodnocení nákladů a přínosů</w:t>
      </w:r>
      <w:bookmarkEnd w:id="265"/>
    </w:p>
    <w:p w:rsidR="00BE2D4A" w:rsidRPr="00ED38E9" w:rsidRDefault="00BE2D4A" w:rsidP="00F97AF3">
      <w:pPr>
        <w:pStyle w:val="Nadpis3"/>
      </w:pPr>
      <w:r w:rsidRPr="00ED38E9">
        <w:t>Identifikace nákladů a přínosů</w:t>
      </w:r>
    </w:p>
    <w:p w:rsidR="00BE2D4A" w:rsidRPr="00ED38E9" w:rsidRDefault="00BE2D4A" w:rsidP="002D66F0">
      <w:pPr>
        <w:keepNext/>
        <w:numPr>
          <w:ilvl w:val="0"/>
          <w:numId w:val="102"/>
        </w:numPr>
        <w:spacing w:before="240" w:after="120"/>
        <w:rPr>
          <w:rFonts w:cs="Arial"/>
          <w:bCs/>
        </w:rPr>
      </w:pPr>
      <w:r w:rsidRPr="00ED38E9">
        <w:rPr>
          <w:rFonts w:cs="Arial"/>
          <w:noProof w:val="0"/>
          <w:lang w:bidi="ar-SA"/>
        </w:rPr>
        <w:t>Varianta</w:t>
      </w:r>
      <w:r w:rsidRPr="00ED38E9">
        <w:rPr>
          <w:rFonts w:cs="Arial"/>
          <w:bCs/>
        </w:rPr>
        <w:t xml:space="preserve"> 0</w:t>
      </w:r>
    </w:p>
    <w:p w:rsidR="00BE2D4A" w:rsidRPr="00ED38E9" w:rsidRDefault="00BE2D4A" w:rsidP="00BE2D4A">
      <w:pPr>
        <w:rPr>
          <w:rFonts w:cs="Arial"/>
        </w:rPr>
      </w:pPr>
      <w:r w:rsidRPr="00ED38E9">
        <w:rPr>
          <w:rFonts w:cs="Arial"/>
        </w:rPr>
        <w:t>Současná legislativa nestanovuje maximální dobu udělení souhlasu, z tohoto důvodu jsou podmínky na území České republiky odlišné, protože některé kraj</w:t>
      </w:r>
      <w:r w:rsidR="00A5045B">
        <w:rPr>
          <w:rFonts w:cs="Arial"/>
        </w:rPr>
        <w:t>ské úřady</w:t>
      </w:r>
      <w:r w:rsidRPr="00ED38E9">
        <w:rPr>
          <w:rFonts w:cs="Arial"/>
        </w:rPr>
        <w:t xml:space="preserve"> </w:t>
      </w:r>
      <w:r w:rsidR="00A5045B">
        <w:rPr>
          <w:rFonts w:cs="Arial"/>
        </w:rPr>
        <w:t>vy</w:t>
      </w:r>
      <w:r w:rsidRPr="00ED38E9">
        <w:rPr>
          <w:rFonts w:cs="Arial"/>
        </w:rPr>
        <w:t>dávají souhlas na dobu určitou a některé na dobu neurčitou.</w:t>
      </w:r>
    </w:p>
    <w:p w:rsidR="00BE2D4A" w:rsidRPr="00ED38E9" w:rsidRDefault="00BE2D4A" w:rsidP="00BE2D4A">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69</w:t>
      </w:r>
      <w:r w:rsidR="00381FB7" w:rsidRPr="00ED38E9">
        <w:rPr>
          <w:rFonts w:cs="Arial"/>
        </w:rPr>
        <w:fldChar w:fldCharType="end"/>
      </w:r>
      <w:r w:rsidRPr="00ED38E9">
        <w:rPr>
          <w:rFonts w:cs="Arial"/>
        </w:rPr>
        <w:t>: Počty souhlasů dle roku ukončení</w:t>
      </w:r>
      <w:r w:rsidR="001736D9" w:rsidRPr="00ED38E9">
        <w:rPr>
          <w:rFonts w:cs="Arial"/>
        </w:rPr>
        <w:t xml:space="preserve"> platnosti (ks) (zdroj: CENIA, 3</w:t>
      </w:r>
      <w:r w:rsidRPr="00ED38E9">
        <w:rPr>
          <w:rFonts w:cs="Arial"/>
        </w:rPr>
        <w:t>.</w:t>
      </w:r>
      <w:r w:rsidR="00BA233C" w:rsidRPr="00ED38E9">
        <w:rPr>
          <w:rFonts w:cs="Arial"/>
        </w:rPr>
        <w:t> </w:t>
      </w:r>
      <w:r w:rsidR="001736D9" w:rsidRPr="00ED38E9">
        <w:rPr>
          <w:rFonts w:cs="Arial"/>
        </w:rPr>
        <w:t>12</w:t>
      </w:r>
      <w:r w:rsidRPr="00ED38E9">
        <w:rPr>
          <w:rFonts w:cs="Arial"/>
        </w:rPr>
        <w:t>.</w:t>
      </w:r>
      <w:r w:rsidR="00BA233C" w:rsidRPr="00ED38E9">
        <w:rPr>
          <w:rFonts w:cs="Arial"/>
        </w:rPr>
        <w:t> </w:t>
      </w:r>
      <w:r w:rsidRPr="00ED38E9">
        <w:rPr>
          <w:rFonts w:cs="Arial"/>
        </w:rPr>
        <w:t>201</w:t>
      </w:r>
      <w:r w:rsidR="001736D9" w:rsidRPr="00ED38E9">
        <w:rPr>
          <w:rFonts w:cs="Arial"/>
        </w:rPr>
        <w:t>4</w:t>
      </w:r>
      <w:r w:rsidRPr="00ED38E9">
        <w:rPr>
          <w:rFonts w:cs="Arial"/>
        </w:rPr>
        <w:t>)</w:t>
      </w:r>
    </w:p>
    <w:p w:rsidR="00BE2D4A" w:rsidRPr="00ED38E9" w:rsidRDefault="001736D9" w:rsidP="00BE2D4A">
      <w:pPr>
        <w:rPr>
          <w:rFonts w:cs="Arial"/>
        </w:rPr>
      </w:pPr>
      <w:r w:rsidRPr="00ED38E9">
        <w:rPr>
          <w:rFonts w:cs="Arial"/>
          <w:lang w:eastAsia="cs-CZ" w:bidi="ar-SA"/>
        </w:rPr>
        <w:drawing>
          <wp:inline distT="0" distB="0" distL="0" distR="0" wp14:anchorId="356B5654" wp14:editId="71DBB6BE">
            <wp:extent cx="5760720" cy="832194"/>
            <wp:effectExtent l="0" t="0" r="0"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720" cy="832194"/>
                    </a:xfrm>
                    <a:prstGeom prst="rect">
                      <a:avLst/>
                    </a:prstGeom>
                    <a:noFill/>
                    <a:ln>
                      <a:noFill/>
                    </a:ln>
                  </pic:spPr>
                </pic:pic>
              </a:graphicData>
            </a:graphic>
          </wp:inline>
        </w:drawing>
      </w:r>
    </w:p>
    <w:p w:rsidR="00BE2D4A" w:rsidRPr="00ED38E9" w:rsidRDefault="00BE2D4A" w:rsidP="00BE2D4A">
      <w:pPr>
        <w:rPr>
          <w:rFonts w:cs="Arial"/>
        </w:rPr>
      </w:pPr>
    </w:p>
    <w:p w:rsidR="00B51702" w:rsidRPr="00ED38E9" w:rsidRDefault="00B51702" w:rsidP="00BE2D4A">
      <w:pPr>
        <w:rPr>
          <w:rFonts w:cs="Arial"/>
          <w:b/>
        </w:rPr>
      </w:pPr>
      <w:r w:rsidRPr="00ED38E9">
        <w:rPr>
          <w:rFonts w:cs="Arial"/>
          <w:b/>
        </w:rPr>
        <w:t>Dopady na územní samosprávné celky</w:t>
      </w:r>
      <w:r w:rsidR="002D1629" w:rsidRPr="00ED38E9">
        <w:rPr>
          <w:rFonts w:cs="Arial"/>
          <w:b/>
        </w:rPr>
        <w:t xml:space="preserve"> (obce, kraje)</w:t>
      </w:r>
    </w:p>
    <w:p w:rsidR="00BE2D4A" w:rsidRPr="00ED38E9" w:rsidRDefault="00BE2D4A" w:rsidP="00BE2D4A">
      <w:pPr>
        <w:rPr>
          <w:rFonts w:cs="Arial"/>
        </w:rPr>
      </w:pPr>
      <w:r w:rsidRPr="00ED38E9">
        <w:rPr>
          <w:rFonts w:cs="Arial"/>
        </w:rPr>
        <w:t xml:space="preserve">Pro odhad nákladů na tuto agendu </w:t>
      </w:r>
      <w:r w:rsidR="00E37D0B" w:rsidRPr="00E37D0B">
        <w:rPr>
          <w:rFonts w:cs="Arial"/>
        </w:rPr>
        <w:t>jsou použita data za roky 2014 a 2015 a odhad</w:t>
      </w:r>
      <w:r w:rsidR="00E37D0B" w:rsidRPr="00E37D0B" w:rsidDel="00E37D0B">
        <w:rPr>
          <w:rFonts w:cs="Arial"/>
        </w:rPr>
        <w:t xml:space="preserve"> </w:t>
      </w:r>
      <w:r w:rsidRPr="00ED38E9">
        <w:rPr>
          <w:rFonts w:cs="Arial"/>
        </w:rPr>
        <w:t>za roky 201</w:t>
      </w:r>
      <w:r w:rsidR="00E37D0B">
        <w:rPr>
          <w:rFonts w:cs="Arial"/>
        </w:rPr>
        <w:t>6</w:t>
      </w:r>
      <w:r w:rsidRPr="00ED38E9">
        <w:rPr>
          <w:rFonts w:cs="Arial"/>
        </w:rPr>
        <w:t>–2018, kdy budou dle současné legislativy provozovatelé žádat o prodloužení, protože většina dotázaných krajských úřadů uvedla, že vydává souhlas na dobu 5 let. Časovou náročnos</w:t>
      </w:r>
      <w:r w:rsidR="000D32C3" w:rsidRPr="00ED38E9">
        <w:rPr>
          <w:rFonts w:cs="Arial"/>
        </w:rPr>
        <w:t>t KÚ předpokládáme ve výši cca 7</w:t>
      </w:r>
      <w:r w:rsidRPr="00ED38E9">
        <w:rPr>
          <w:rFonts w:cs="Arial"/>
        </w:rPr>
        <w:t>–40 hodin na jeden souhlas. Časová náročnost je závislá na kvalitě a kompletnosti zaslaných podkladů a také na dojezdové vzdálenosti od krajského úřadu, který provádí místní šetření.</w:t>
      </w:r>
    </w:p>
    <w:p w:rsidR="00BE2D4A" w:rsidRPr="00ED38E9" w:rsidRDefault="00BE2D4A" w:rsidP="00BE2D4A">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70</w:t>
      </w:r>
      <w:r w:rsidR="00381FB7" w:rsidRPr="00ED38E9">
        <w:rPr>
          <w:rFonts w:cs="Arial"/>
        </w:rPr>
        <w:fldChar w:fldCharType="end"/>
      </w:r>
      <w:r w:rsidRPr="00ED38E9">
        <w:rPr>
          <w:rFonts w:cs="Arial"/>
        </w:rPr>
        <w:t xml:space="preserve">: Odhadované náklady </w:t>
      </w:r>
      <w:r w:rsidR="006B1254" w:rsidRPr="00ED38E9">
        <w:rPr>
          <w:rFonts w:cs="Arial"/>
        </w:rPr>
        <w:t>krajských úřadů</w:t>
      </w:r>
      <w:r w:rsidRPr="00ED38E9">
        <w:rPr>
          <w:rFonts w:cs="Arial"/>
        </w:rPr>
        <w:t xml:space="preserve"> na vydání souhlasů</w:t>
      </w:r>
      <w:r w:rsidR="006B1254" w:rsidRPr="00ED38E9">
        <w:rPr>
          <w:rFonts w:cs="Arial"/>
        </w:rPr>
        <w:t>(14 KÚ)</w:t>
      </w:r>
    </w:p>
    <w:p w:rsidR="00BE2D4A" w:rsidRPr="00ED38E9" w:rsidRDefault="007869A0" w:rsidP="00BE2D4A">
      <w:pPr>
        <w:rPr>
          <w:rFonts w:cs="Arial"/>
        </w:rPr>
      </w:pPr>
      <w:r w:rsidRPr="00ED38E9">
        <w:rPr>
          <w:rFonts w:cs="Arial"/>
          <w:lang w:eastAsia="cs-CZ" w:bidi="ar-SA"/>
        </w:rPr>
        <w:drawing>
          <wp:inline distT="0" distB="0" distL="0" distR="0" wp14:anchorId="14FE9C40" wp14:editId="06BCF515">
            <wp:extent cx="5760720" cy="1457851"/>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1457851"/>
                    </a:xfrm>
                    <a:prstGeom prst="rect">
                      <a:avLst/>
                    </a:prstGeom>
                    <a:noFill/>
                    <a:ln>
                      <a:noFill/>
                    </a:ln>
                  </pic:spPr>
                </pic:pic>
              </a:graphicData>
            </a:graphic>
          </wp:inline>
        </w:drawing>
      </w:r>
    </w:p>
    <w:p w:rsidR="00C67383" w:rsidRDefault="00C67383" w:rsidP="00C67383">
      <w:pPr>
        <w:rPr>
          <w:rFonts w:cs="Arial"/>
          <w:b/>
        </w:rPr>
      </w:pPr>
    </w:p>
    <w:p w:rsidR="00C67383" w:rsidRPr="00ED38E9" w:rsidRDefault="00C67383" w:rsidP="00C67383">
      <w:pPr>
        <w:rPr>
          <w:rFonts w:cs="Arial"/>
          <w:b/>
        </w:rPr>
      </w:pPr>
      <w:r w:rsidRPr="00ED38E9">
        <w:rPr>
          <w:rFonts w:cs="Arial"/>
          <w:b/>
        </w:rPr>
        <w:t xml:space="preserve">Dopady na </w:t>
      </w:r>
      <w:r>
        <w:rPr>
          <w:rFonts w:cs="Arial"/>
          <w:b/>
        </w:rPr>
        <w:t>podnikatelské subjekty</w:t>
      </w:r>
    </w:p>
    <w:p w:rsidR="00BE2D4A" w:rsidRPr="00ED38E9" w:rsidRDefault="00BE2D4A" w:rsidP="00BE2D4A">
      <w:pPr>
        <w:spacing w:before="120"/>
        <w:rPr>
          <w:rFonts w:cs="Arial"/>
        </w:rPr>
      </w:pPr>
      <w:r w:rsidRPr="00ED38E9">
        <w:rPr>
          <w:rFonts w:cs="Arial"/>
        </w:rPr>
        <w:t>Náklady pro</w:t>
      </w:r>
      <w:r w:rsidR="007869A0" w:rsidRPr="00ED38E9">
        <w:rPr>
          <w:rFonts w:cs="Arial"/>
        </w:rPr>
        <w:t>vozovatelů, kteří musí v období 2015–2019</w:t>
      </w:r>
      <w:r w:rsidRPr="00ED38E9">
        <w:rPr>
          <w:rFonts w:cs="Arial"/>
        </w:rPr>
        <w:t xml:space="preserve"> zažádat o souhlas</w:t>
      </w:r>
      <w:r w:rsidR="00E37D0B">
        <w:rPr>
          <w:rFonts w:cs="Arial"/>
        </w:rPr>
        <w:t>, resp. povolení</w:t>
      </w:r>
      <w:r w:rsidRPr="00ED38E9">
        <w:rPr>
          <w:rFonts w:cs="Arial"/>
        </w:rPr>
        <w:t xml:space="preserve"> </w:t>
      </w:r>
      <w:r w:rsidR="00801058" w:rsidRPr="00ED38E9">
        <w:rPr>
          <w:rFonts w:cs="Arial"/>
        </w:rPr>
        <w:t>s</w:t>
      </w:r>
      <w:r w:rsidRPr="00ED38E9">
        <w:rPr>
          <w:rFonts w:cs="Arial"/>
        </w:rPr>
        <w:t>e pohybují mezi 22–50 tis. Kč na jedn</w:t>
      </w:r>
      <w:r w:rsidR="00E37D0B">
        <w:rPr>
          <w:rFonts w:cs="Arial"/>
        </w:rPr>
        <w:t>o</w:t>
      </w:r>
      <w:r w:rsidRPr="00ED38E9">
        <w:rPr>
          <w:rFonts w:cs="Arial"/>
        </w:rPr>
        <w:t xml:space="preserve"> </w:t>
      </w:r>
      <w:r w:rsidR="00E37D0B">
        <w:rPr>
          <w:rFonts w:cs="Arial"/>
        </w:rPr>
        <w:t>rozhodnutí</w:t>
      </w:r>
      <w:r w:rsidRPr="00ED38E9">
        <w:rPr>
          <w:rFonts w:cs="Arial"/>
        </w:rPr>
        <w:t>. V případě 3</w:t>
      </w:r>
      <w:r w:rsidR="001736D9" w:rsidRPr="00ED38E9">
        <w:rPr>
          <w:rFonts w:cs="Arial"/>
        </w:rPr>
        <w:t>57 provozovatelů se jedná až o</w:t>
      </w:r>
      <w:r w:rsidR="00F94CE8">
        <w:rPr>
          <w:rFonts w:cs="Arial"/>
        </w:rPr>
        <w:t> </w:t>
      </w:r>
      <w:r w:rsidR="001736D9" w:rsidRPr="00ED38E9">
        <w:rPr>
          <w:rFonts w:cs="Arial"/>
        </w:rPr>
        <w:t>cca 17,8 mil. Kč</w:t>
      </w:r>
      <w:r w:rsidRPr="00ED38E9">
        <w:rPr>
          <w:rFonts w:cs="Arial"/>
        </w:rPr>
        <w:t xml:space="preserve">. </w:t>
      </w:r>
      <w:r w:rsidR="00C67383">
        <w:rPr>
          <w:rFonts w:cs="Arial"/>
        </w:rPr>
        <w:t>V případě, že krajský úřad požaduje IPPC, náklady provozovatelů se zvýší o dalších 30 tis. Kč.</w:t>
      </w:r>
    </w:p>
    <w:p w:rsidR="00B84686" w:rsidRPr="00ED38E9" w:rsidRDefault="00B84686" w:rsidP="00BE2D4A">
      <w:pPr>
        <w:spacing w:before="120"/>
        <w:rPr>
          <w:rFonts w:cs="Arial"/>
        </w:rPr>
      </w:pPr>
      <w:r w:rsidRPr="00ED38E9">
        <w:rPr>
          <w:rFonts w:cs="Arial"/>
        </w:rPr>
        <w:t>Mezi náklady dále můžeme zařadit nerovné podmínky na trhu podnikatelských subjektů</w:t>
      </w:r>
      <w:r w:rsidR="00242695">
        <w:rPr>
          <w:rFonts w:cs="Arial"/>
        </w:rPr>
        <w:t xml:space="preserve">, </w:t>
      </w:r>
      <w:r w:rsidR="00242695" w:rsidRPr="00242695">
        <w:rPr>
          <w:rFonts w:cs="Arial"/>
        </w:rPr>
        <w:t xml:space="preserve">když některé subjekty mají souhlas na dobu neurčitou a </w:t>
      </w:r>
      <w:r w:rsidR="00242695">
        <w:rPr>
          <w:rFonts w:cs="Arial"/>
        </w:rPr>
        <w:t>jiné</w:t>
      </w:r>
      <w:r w:rsidR="00242695" w:rsidRPr="00242695">
        <w:rPr>
          <w:rFonts w:cs="Arial"/>
        </w:rPr>
        <w:t xml:space="preserve"> na dobu určitou</w:t>
      </w:r>
      <w:r w:rsidRPr="00ED38E9">
        <w:rPr>
          <w:rFonts w:cs="Arial"/>
        </w:rPr>
        <w:t>.</w:t>
      </w:r>
    </w:p>
    <w:p w:rsidR="00B84686" w:rsidRPr="00ED38E9" w:rsidRDefault="00B84686" w:rsidP="00BE2D4A">
      <w:pPr>
        <w:spacing w:before="120"/>
        <w:rPr>
          <w:rFonts w:cs="Arial"/>
          <w:b/>
        </w:rPr>
      </w:pPr>
      <w:r w:rsidRPr="00ED38E9">
        <w:rPr>
          <w:rFonts w:cs="Arial"/>
          <w:b/>
        </w:rPr>
        <w:t>Dopady na životní prostředí</w:t>
      </w:r>
    </w:p>
    <w:p w:rsidR="00B84686" w:rsidRPr="00ED38E9" w:rsidRDefault="00250BC6" w:rsidP="00BE2D4A">
      <w:pPr>
        <w:spacing w:before="120"/>
        <w:rPr>
          <w:rFonts w:cs="Arial"/>
        </w:rPr>
      </w:pPr>
      <w:r w:rsidRPr="00ED38E9">
        <w:rPr>
          <w:rFonts w:cs="Arial"/>
        </w:rPr>
        <w:lastRenderedPageBreak/>
        <w:t>Nejednotná pravidla, zejména cca 150 souhlasů vydaných na neomezenou dobu</w:t>
      </w:r>
      <w:r w:rsidR="00C67383">
        <w:rPr>
          <w:rFonts w:cs="Arial"/>
        </w:rPr>
        <w:t>,</w:t>
      </w:r>
      <w:r w:rsidRPr="00ED38E9">
        <w:rPr>
          <w:rFonts w:cs="Arial"/>
        </w:rPr>
        <w:t xml:space="preserve"> představují špatnou kontrolovanost subjektů, jejichž činnost představuje rizika pro životní prostředí.</w:t>
      </w:r>
    </w:p>
    <w:p w:rsidR="00BE2D4A" w:rsidRPr="00ED38E9" w:rsidRDefault="00BE2D4A" w:rsidP="002D66F0">
      <w:pPr>
        <w:keepNext/>
        <w:numPr>
          <w:ilvl w:val="0"/>
          <w:numId w:val="102"/>
        </w:numPr>
        <w:spacing w:before="240" w:after="120"/>
        <w:rPr>
          <w:rFonts w:cs="Arial"/>
        </w:rPr>
      </w:pPr>
      <w:r w:rsidRPr="00ED38E9">
        <w:rPr>
          <w:rFonts w:cs="Arial"/>
          <w:noProof w:val="0"/>
          <w:lang w:bidi="ar-SA"/>
        </w:rPr>
        <w:t>Varianta</w:t>
      </w:r>
      <w:r w:rsidRPr="00ED38E9">
        <w:rPr>
          <w:rFonts w:cs="Arial"/>
        </w:rPr>
        <w:t xml:space="preserve"> 1</w:t>
      </w:r>
    </w:p>
    <w:p w:rsidR="00BE2D4A" w:rsidRPr="00ED38E9" w:rsidRDefault="00BE2D4A" w:rsidP="00BE2D4A">
      <w:pPr>
        <w:rPr>
          <w:rFonts w:cs="Arial"/>
        </w:rPr>
      </w:pPr>
      <w:r w:rsidRPr="00ED38E9">
        <w:rPr>
          <w:rFonts w:cs="Arial"/>
        </w:rPr>
        <w:t xml:space="preserve">Přínosem této varianty je povinnost provozovatele upravovat provozní řád v závislosti na změnách legislativy a tím dochází k vytvoření rovných podmínek všech provozovatelů. Dalším důležitým přínosem je zpřísnění požadavků na technické vybavení provozoven, </w:t>
      </w:r>
      <w:r w:rsidR="00C67383">
        <w:rPr>
          <w:rFonts w:cs="Arial"/>
        </w:rPr>
        <w:t xml:space="preserve">jehož důsledkem je </w:t>
      </w:r>
      <w:r w:rsidRPr="00ED38E9">
        <w:rPr>
          <w:rFonts w:cs="Arial"/>
        </w:rPr>
        <w:t>menší rizik</w:t>
      </w:r>
      <w:r w:rsidR="00C67383">
        <w:rPr>
          <w:rFonts w:cs="Arial"/>
        </w:rPr>
        <w:t>o</w:t>
      </w:r>
      <w:r w:rsidRPr="00ED38E9">
        <w:rPr>
          <w:rFonts w:cs="Arial"/>
        </w:rPr>
        <w:t xml:space="preserve"> znečišťování životního prostředí</w:t>
      </w:r>
      <w:r w:rsidR="00C67383">
        <w:rPr>
          <w:rFonts w:cs="Arial"/>
        </w:rPr>
        <w:t xml:space="preserve">. </w:t>
      </w:r>
      <w:r w:rsidR="00242695">
        <w:rPr>
          <w:rFonts w:cs="Arial"/>
        </w:rPr>
        <w:t xml:space="preserve">V návaznosti na výše uvedené dopady je možné, že některá zařízení, která nemají dostačující technické vybavení, nebudou moci dále pokračovat ve své činnosti do doby splnění stanovených požadavků. Zároveň předpokládáme, že varianta 1 zajistí </w:t>
      </w:r>
      <w:r w:rsidRPr="00ED38E9">
        <w:rPr>
          <w:rFonts w:cs="Arial"/>
        </w:rPr>
        <w:t xml:space="preserve">docílení souladu s POH ČR. </w:t>
      </w:r>
    </w:p>
    <w:p w:rsidR="001736D9" w:rsidRPr="00ED38E9" w:rsidRDefault="008F46E9" w:rsidP="008F46E9">
      <w:pPr>
        <w:spacing w:before="240" w:after="120"/>
        <w:rPr>
          <w:rFonts w:cs="Arial"/>
          <w:b/>
        </w:rPr>
      </w:pPr>
      <w:r w:rsidRPr="00ED38E9">
        <w:rPr>
          <w:rFonts w:cs="Arial"/>
          <w:b/>
        </w:rPr>
        <w:t>Dopady na státní rozpočet a ostatní veřejné rozpočty</w:t>
      </w:r>
    </w:p>
    <w:p w:rsidR="008F46E9" w:rsidRPr="00ED38E9" w:rsidRDefault="008F46E9" w:rsidP="00BE2D4A">
      <w:pPr>
        <w:rPr>
          <w:rFonts w:cs="Arial"/>
        </w:rPr>
      </w:pPr>
      <w:r w:rsidRPr="00ED38E9">
        <w:rPr>
          <w:rFonts w:cs="Arial"/>
        </w:rPr>
        <w:t xml:space="preserve">Návrh zákona nepředstavuje </w:t>
      </w:r>
      <w:r w:rsidR="002E1F28" w:rsidRPr="00ED38E9">
        <w:rPr>
          <w:rFonts w:cs="Arial"/>
        </w:rPr>
        <w:t xml:space="preserve">navýšení </w:t>
      </w:r>
      <w:r w:rsidRPr="00ED38E9">
        <w:rPr>
          <w:rFonts w:cs="Arial"/>
        </w:rPr>
        <w:t xml:space="preserve">administrativní </w:t>
      </w:r>
      <w:r w:rsidR="002E1F28" w:rsidRPr="002E1F28">
        <w:rPr>
          <w:rFonts w:cs="Arial"/>
        </w:rPr>
        <w:t>zátěže ústřední</w:t>
      </w:r>
      <w:r w:rsidR="002E1F28">
        <w:rPr>
          <w:rFonts w:cs="Arial"/>
        </w:rPr>
        <w:t>ch</w:t>
      </w:r>
      <w:r w:rsidR="002E1F28" w:rsidRPr="002E1F28">
        <w:rPr>
          <w:rFonts w:cs="Arial"/>
        </w:rPr>
        <w:t xml:space="preserve"> orgán</w:t>
      </w:r>
      <w:r w:rsidR="002E1F28">
        <w:rPr>
          <w:rFonts w:cs="Arial"/>
        </w:rPr>
        <w:t>ů</w:t>
      </w:r>
      <w:r w:rsidR="002E1F28" w:rsidRPr="002E1F28">
        <w:rPr>
          <w:rFonts w:cs="Arial"/>
        </w:rPr>
        <w:t xml:space="preserve"> státní správy</w:t>
      </w:r>
      <w:r w:rsidR="002E1F28">
        <w:rPr>
          <w:rFonts w:cs="Arial"/>
        </w:rPr>
        <w:t xml:space="preserve">. </w:t>
      </w:r>
      <w:r w:rsidR="002E1F28" w:rsidRPr="002E1F28">
        <w:rPr>
          <w:rFonts w:cs="Arial"/>
        </w:rPr>
        <w:t>Náklady krajských úřadů se navýší v prvním roce od účinnosti zákona, kdy budou muset zpracovat cca 507 povolení. Pokud by v následujícím pětiletém období nedošlo ke změnám iniciovaným provozovateli, tak v šestém roce od účinnosti zákona bude administrativní zátěž navýšena oproti současnosti o 150 povolení.</w:t>
      </w:r>
    </w:p>
    <w:p w:rsidR="008F46E9" w:rsidRPr="00ED38E9" w:rsidRDefault="008F46E9" w:rsidP="008F46E9">
      <w:pPr>
        <w:spacing w:before="240" w:after="120"/>
        <w:rPr>
          <w:rFonts w:cs="Arial"/>
          <w:b/>
        </w:rPr>
      </w:pPr>
      <w:r w:rsidRPr="00ED38E9">
        <w:rPr>
          <w:rFonts w:cs="Arial"/>
          <w:b/>
        </w:rPr>
        <w:t>Dopady na podnikatelské subjekty</w:t>
      </w:r>
    </w:p>
    <w:p w:rsidR="008F46E9" w:rsidRPr="00ED38E9" w:rsidRDefault="00AA6024" w:rsidP="008F46E9">
      <w:pPr>
        <w:rPr>
          <w:rFonts w:cs="Arial"/>
        </w:rPr>
      </w:pPr>
      <w:r w:rsidRPr="00ED38E9">
        <w:rPr>
          <w:rFonts w:cs="Arial"/>
        </w:rPr>
        <w:t xml:space="preserve">Sjednocení platností </w:t>
      </w:r>
      <w:r w:rsidR="00E847CB" w:rsidRPr="00ED38E9">
        <w:rPr>
          <w:rFonts w:cs="Arial"/>
        </w:rPr>
        <w:t>povolení</w:t>
      </w:r>
      <w:r w:rsidR="008F46E9" w:rsidRPr="00ED38E9">
        <w:rPr>
          <w:rFonts w:cs="Arial"/>
        </w:rPr>
        <w:t xml:space="preserve"> </w:t>
      </w:r>
      <w:r w:rsidR="00DB3797">
        <w:rPr>
          <w:rFonts w:cs="Arial"/>
        </w:rPr>
        <w:t xml:space="preserve">provozu </w:t>
      </w:r>
      <w:r w:rsidR="008F46E9" w:rsidRPr="00ED38E9">
        <w:rPr>
          <w:rFonts w:cs="Arial"/>
        </w:rPr>
        <w:t xml:space="preserve">zařízení </w:t>
      </w:r>
      <w:r w:rsidR="00DB3797">
        <w:rPr>
          <w:rFonts w:cs="Arial"/>
        </w:rPr>
        <w:t>ke</w:t>
      </w:r>
      <w:r w:rsidR="008F46E9" w:rsidRPr="00ED38E9">
        <w:rPr>
          <w:rFonts w:cs="Arial"/>
        </w:rPr>
        <w:t xml:space="preserve"> sběr</w:t>
      </w:r>
      <w:r w:rsidR="00DB3797">
        <w:rPr>
          <w:rFonts w:cs="Arial"/>
        </w:rPr>
        <w:t>u</w:t>
      </w:r>
      <w:r w:rsidR="008F46E9" w:rsidRPr="00ED38E9">
        <w:rPr>
          <w:rFonts w:cs="Arial"/>
        </w:rPr>
        <w:t xml:space="preserve"> </w:t>
      </w:r>
      <w:r w:rsidR="00DB3797">
        <w:rPr>
          <w:rFonts w:cs="Arial"/>
        </w:rPr>
        <w:t>nebo</w:t>
      </w:r>
      <w:r w:rsidR="008F46E9" w:rsidRPr="00ED38E9">
        <w:rPr>
          <w:rFonts w:cs="Arial"/>
        </w:rPr>
        <w:t xml:space="preserve"> zpracování vozidel s ukončenou životností představuje navýšení finančních nákladů provozovatelů</w:t>
      </w:r>
      <w:r w:rsidR="00C17FCC">
        <w:rPr>
          <w:rFonts w:cs="Arial"/>
        </w:rPr>
        <w:t xml:space="preserve">, protože všichni </w:t>
      </w:r>
      <w:r w:rsidR="00AA3350">
        <w:rPr>
          <w:rFonts w:cs="Arial"/>
        </w:rPr>
        <w:t xml:space="preserve">provozovatelé </w:t>
      </w:r>
      <w:r w:rsidR="00DB3797">
        <w:rPr>
          <w:rFonts w:cs="Arial"/>
        </w:rPr>
        <w:t>budou muset</w:t>
      </w:r>
      <w:r w:rsidR="00C17FCC">
        <w:rPr>
          <w:rFonts w:cs="Arial"/>
        </w:rPr>
        <w:t xml:space="preserve"> žádat o nové povolení</w:t>
      </w:r>
      <w:r w:rsidR="00DB3797">
        <w:rPr>
          <w:rFonts w:cs="Arial"/>
        </w:rPr>
        <w:t>,</w:t>
      </w:r>
      <w:r w:rsidR="00C17FCC">
        <w:rPr>
          <w:rFonts w:cs="Arial"/>
        </w:rPr>
        <w:t xml:space="preserve"> i když mají platné povolení do roku 2020.</w:t>
      </w:r>
      <w:r w:rsidRPr="00ED38E9">
        <w:rPr>
          <w:rFonts w:cs="Arial"/>
        </w:rPr>
        <w:t xml:space="preserve"> </w:t>
      </w:r>
    </w:p>
    <w:p w:rsidR="00B51702" w:rsidRPr="00ED38E9" w:rsidRDefault="00B61299" w:rsidP="006F5445">
      <w:pPr>
        <w:spacing w:before="120"/>
        <w:rPr>
          <w:rFonts w:cs="Arial"/>
        </w:rPr>
      </w:pPr>
      <w:r w:rsidRPr="00ED38E9">
        <w:rPr>
          <w:rFonts w:cs="Arial"/>
        </w:rPr>
        <w:t xml:space="preserve">V prvním roce </w:t>
      </w:r>
      <w:r w:rsidR="00AA3350">
        <w:rPr>
          <w:rFonts w:cs="Arial"/>
        </w:rPr>
        <w:t xml:space="preserve">účinnosti zákona </w:t>
      </w:r>
      <w:r w:rsidR="001D2C7E" w:rsidRPr="00ED38E9">
        <w:rPr>
          <w:rFonts w:cs="Arial"/>
        </w:rPr>
        <w:t>může</w:t>
      </w:r>
      <w:r w:rsidRPr="00ED38E9">
        <w:rPr>
          <w:rFonts w:cs="Arial"/>
        </w:rPr>
        <w:t xml:space="preserve"> o </w:t>
      </w:r>
      <w:r w:rsidR="00A21A9F" w:rsidRPr="00ED38E9">
        <w:rPr>
          <w:rFonts w:cs="Arial"/>
        </w:rPr>
        <w:t xml:space="preserve">povolení </w:t>
      </w:r>
      <w:r w:rsidRPr="00ED38E9">
        <w:rPr>
          <w:rFonts w:cs="Arial"/>
        </w:rPr>
        <w:t>žádat celkem 507 subjektů</w:t>
      </w:r>
      <w:r w:rsidR="00B51702" w:rsidRPr="00ED38E9">
        <w:rPr>
          <w:rFonts w:cs="Arial"/>
        </w:rPr>
        <w:t>, celkové náklady podnikatelských subjektů odhadujeme až na 25,3 mil. Kč (22–50 tis. Kč/</w:t>
      </w:r>
      <w:r w:rsidR="00A21A9F" w:rsidRPr="00ED38E9">
        <w:rPr>
          <w:rFonts w:cs="Arial"/>
        </w:rPr>
        <w:t xml:space="preserve"> povolení</w:t>
      </w:r>
      <w:r w:rsidR="00B51702" w:rsidRPr="00ED38E9">
        <w:rPr>
          <w:rFonts w:cs="Arial"/>
        </w:rPr>
        <w:t>)</w:t>
      </w:r>
      <w:r w:rsidR="00352B54" w:rsidRPr="00ED38E9">
        <w:rPr>
          <w:rFonts w:cs="Arial"/>
        </w:rPr>
        <w:t>, oproti současnému stavu se jedná v případě roku 2015 o navýšení nákladů až o 21,3 mil. Kč</w:t>
      </w:r>
      <w:r w:rsidR="008761FD" w:rsidRPr="00ED38E9">
        <w:rPr>
          <w:rFonts w:cs="Arial"/>
        </w:rPr>
        <w:t xml:space="preserve"> (425 </w:t>
      </w:r>
      <w:r w:rsidR="00A21A9F" w:rsidRPr="00ED38E9">
        <w:rPr>
          <w:rFonts w:cs="Arial"/>
        </w:rPr>
        <w:t>povolení</w:t>
      </w:r>
      <w:r w:rsidR="008761FD" w:rsidRPr="00ED38E9">
        <w:rPr>
          <w:rFonts w:cs="Arial"/>
        </w:rPr>
        <w:t>)</w:t>
      </w:r>
      <w:r w:rsidR="00B51702" w:rsidRPr="00ED38E9">
        <w:rPr>
          <w:rFonts w:cs="Arial"/>
        </w:rPr>
        <w:t>. Subjektům, po kterých bude krajský úřad požadovat IPPC</w:t>
      </w:r>
      <w:r w:rsidR="001D2C7E" w:rsidRPr="00ED38E9">
        <w:rPr>
          <w:rFonts w:cs="Arial"/>
        </w:rPr>
        <w:t>,</w:t>
      </w:r>
      <w:r w:rsidR="00B51702" w:rsidRPr="00ED38E9">
        <w:rPr>
          <w:rFonts w:cs="Arial"/>
        </w:rPr>
        <w:t xml:space="preserve"> se náklady navýší ještě o</w:t>
      </w:r>
      <w:r w:rsidR="00BA233C" w:rsidRPr="00ED38E9">
        <w:rPr>
          <w:rFonts w:cs="Arial"/>
        </w:rPr>
        <w:t> </w:t>
      </w:r>
      <w:r w:rsidR="00B51702" w:rsidRPr="00ED38E9">
        <w:rPr>
          <w:rFonts w:cs="Arial"/>
        </w:rPr>
        <w:t>30</w:t>
      </w:r>
      <w:r w:rsidR="00BA233C" w:rsidRPr="00ED38E9">
        <w:rPr>
          <w:rFonts w:cs="Arial"/>
        </w:rPr>
        <w:t> </w:t>
      </w:r>
      <w:r w:rsidR="00B51702" w:rsidRPr="00ED38E9">
        <w:rPr>
          <w:rFonts w:cs="Arial"/>
        </w:rPr>
        <w:t>tis.</w:t>
      </w:r>
      <w:r w:rsidR="00BA233C" w:rsidRPr="00ED38E9">
        <w:rPr>
          <w:rFonts w:cs="Arial"/>
        </w:rPr>
        <w:t> </w:t>
      </w:r>
      <w:r w:rsidR="00B51702" w:rsidRPr="00ED38E9">
        <w:rPr>
          <w:rFonts w:cs="Arial"/>
        </w:rPr>
        <w:t>Kč.</w:t>
      </w:r>
      <w:r w:rsidR="001241A1">
        <w:rPr>
          <w:rFonts w:cs="Arial"/>
        </w:rPr>
        <w:t xml:space="preserve"> Provozovatelé dále budou žádat o </w:t>
      </w:r>
      <w:r w:rsidR="00DB3797">
        <w:rPr>
          <w:rFonts w:cs="Arial"/>
        </w:rPr>
        <w:t xml:space="preserve">prodloužení povolení </w:t>
      </w:r>
      <w:r w:rsidR="001241A1">
        <w:rPr>
          <w:rFonts w:cs="Arial"/>
        </w:rPr>
        <w:t>každých 5 let, co</w:t>
      </w:r>
      <w:r w:rsidR="00DB3797">
        <w:rPr>
          <w:rFonts w:cs="Arial"/>
        </w:rPr>
        <w:t>ž</w:t>
      </w:r>
      <w:r w:rsidR="001241A1">
        <w:rPr>
          <w:rFonts w:cs="Arial"/>
        </w:rPr>
        <w:t xml:space="preserve"> zvýší náklady pro provozovatele, kteří měli souhlas na neomezenou dobu, nebo na dobu delší </w:t>
      </w:r>
      <w:r w:rsidR="00C34B6A">
        <w:rPr>
          <w:rFonts w:cs="Arial"/>
        </w:rPr>
        <w:t>než</w:t>
      </w:r>
      <w:r w:rsidR="001241A1">
        <w:rPr>
          <w:rFonts w:cs="Arial"/>
        </w:rPr>
        <w:t xml:space="preserve"> 5 let. </w:t>
      </w:r>
      <w:r w:rsidR="00352B54" w:rsidRPr="00ED38E9">
        <w:rPr>
          <w:rFonts w:cs="Arial"/>
        </w:rPr>
        <w:t>Naopak finanční úsporu mohou očekávat subjekty, jejichž souhlasy byly vydávány na období kratší než 5 let. Tuto úsporu nejsme v současné době schopni odhadnout, protože disponujeme informacemi o roku ukončení platnosti, ale ne o délkách platnosti.</w:t>
      </w:r>
    </w:p>
    <w:p w:rsidR="00281996" w:rsidRPr="00ED38E9" w:rsidRDefault="00281996" w:rsidP="00352B54">
      <w:pPr>
        <w:keepNext/>
        <w:spacing w:before="120"/>
        <w:rPr>
          <w:rFonts w:cs="Arial"/>
          <w:b/>
        </w:rPr>
      </w:pPr>
      <w:r w:rsidRPr="00ED38E9">
        <w:rPr>
          <w:rFonts w:cs="Arial"/>
          <w:b/>
        </w:rPr>
        <w:t>1. rok od účinnosti zákona</w:t>
      </w:r>
    </w:p>
    <w:p w:rsidR="00281996" w:rsidRPr="00ED38E9" w:rsidRDefault="00281996" w:rsidP="00BE2D4A">
      <w:pPr>
        <w:rPr>
          <w:rFonts w:cs="Arial"/>
        </w:rPr>
      </w:pPr>
      <w:r w:rsidRPr="00ED38E9">
        <w:rPr>
          <w:rFonts w:cs="Arial"/>
        </w:rPr>
        <w:t xml:space="preserve">V prvním roce </w:t>
      </w:r>
      <w:r w:rsidR="00173EDE" w:rsidRPr="00ED38E9">
        <w:rPr>
          <w:rFonts w:cs="Arial"/>
        </w:rPr>
        <w:t xml:space="preserve">může </w:t>
      </w:r>
      <w:r w:rsidRPr="00ED38E9">
        <w:rPr>
          <w:rFonts w:cs="Arial"/>
        </w:rPr>
        <w:t xml:space="preserve">o </w:t>
      </w:r>
      <w:r w:rsidR="00173EDE" w:rsidRPr="00ED38E9">
        <w:rPr>
          <w:rFonts w:cs="Arial"/>
        </w:rPr>
        <w:t>povolení</w:t>
      </w:r>
      <w:r w:rsidRPr="00ED38E9">
        <w:rPr>
          <w:rFonts w:cs="Arial"/>
        </w:rPr>
        <w:t xml:space="preserve"> žádat celkem 507 subjektů. Jedná se o navýšení o cca 4</w:t>
      </w:r>
      <w:r w:rsidR="00352B54" w:rsidRPr="00ED38E9">
        <w:rPr>
          <w:rFonts w:cs="Arial"/>
        </w:rPr>
        <w:t>25</w:t>
      </w:r>
      <w:r w:rsidRPr="00ED38E9">
        <w:rPr>
          <w:rFonts w:cs="Arial"/>
        </w:rPr>
        <w:t xml:space="preserve"> </w:t>
      </w:r>
      <w:r w:rsidR="00173EDE" w:rsidRPr="00ED38E9">
        <w:rPr>
          <w:rFonts w:cs="Arial"/>
        </w:rPr>
        <w:t>povolení</w:t>
      </w:r>
      <w:r w:rsidRPr="00ED38E9">
        <w:rPr>
          <w:rFonts w:cs="Arial"/>
        </w:rPr>
        <w:t xml:space="preserve"> oproti současnému stavu, tj. </w:t>
      </w:r>
      <w:r w:rsidR="00352B54" w:rsidRPr="00ED38E9">
        <w:rPr>
          <w:rFonts w:cs="Arial"/>
        </w:rPr>
        <w:t>náklady můžou být navýšeny až o 5,6 mil. Kč.</w:t>
      </w:r>
      <w:r w:rsidR="00586FBC" w:rsidRPr="00ED38E9">
        <w:rPr>
          <w:rFonts w:cs="Arial"/>
        </w:rPr>
        <w:t xml:space="preserve"> V tomto případě bude na základě </w:t>
      </w:r>
      <w:r w:rsidR="00173EDE" w:rsidRPr="00ED38E9">
        <w:rPr>
          <w:rFonts w:cs="Arial"/>
        </w:rPr>
        <w:t>u</w:t>
      </w:r>
      <w:r w:rsidR="00586FBC" w:rsidRPr="00ED38E9">
        <w:rPr>
          <w:rFonts w:cs="Arial"/>
        </w:rPr>
        <w:t xml:space="preserve">snesení </w:t>
      </w:r>
      <w:r w:rsidR="00173EDE" w:rsidRPr="00ED38E9">
        <w:rPr>
          <w:rFonts w:cs="Arial"/>
        </w:rPr>
        <w:t xml:space="preserve">vlády </w:t>
      </w:r>
      <w:r w:rsidR="00586FBC" w:rsidRPr="00ED38E9">
        <w:rPr>
          <w:rFonts w:cs="Arial"/>
        </w:rPr>
        <w:t xml:space="preserve">ze dne 13. sprna 2007 </w:t>
      </w:r>
      <w:r w:rsidR="00173EDE" w:rsidRPr="00ED38E9">
        <w:rPr>
          <w:rFonts w:cs="Arial"/>
        </w:rPr>
        <w:t xml:space="preserve">č. 878 </w:t>
      </w:r>
      <w:r w:rsidR="00586FBC" w:rsidRPr="00ED38E9">
        <w:rPr>
          <w:rFonts w:cs="Arial"/>
        </w:rPr>
        <w:t xml:space="preserve">zaslána informace ministru vnitra o plánovaných jednorázových nákladech spojených s touto agendou, aby mohl projednat úpravu příspěvku na výkon státní správy s ministrem financí. </w:t>
      </w:r>
    </w:p>
    <w:p w:rsidR="00BE2D4A" w:rsidRPr="00ED38E9" w:rsidRDefault="00BE2D4A" w:rsidP="00BE2D4A">
      <w:pPr>
        <w:pStyle w:val="Titulek"/>
        <w:rPr>
          <w:rFonts w:cs="Arial"/>
        </w:rPr>
      </w:pPr>
      <w:r w:rsidRPr="00ED38E9">
        <w:rPr>
          <w:rFonts w:cs="Arial"/>
        </w:rPr>
        <w:lastRenderedPageBreak/>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71</w:t>
      </w:r>
      <w:r w:rsidR="00381FB7" w:rsidRPr="00ED38E9">
        <w:rPr>
          <w:rFonts w:cs="Arial"/>
        </w:rPr>
        <w:fldChar w:fldCharType="end"/>
      </w:r>
      <w:r w:rsidRPr="00ED38E9">
        <w:rPr>
          <w:rFonts w:cs="Arial"/>
        </w:rPr>
        <w:t xml:space="preserve">: Odhadované </w:t>
      </w:r>
      <w:r w:rsidR="00576B28" w:rsidRPr="00ED38E9">
        <w:rPr>
          <w:rFonts w:cs="Arial"/>
        </w:rPr>
        <w:t xml:space="preserve">navýšení </w:t>
      </w:r>
      <w:r w:rsidRPr="00ED38E9">
        <w:rPr>
          <w:rFonts w:cs="Arial"/>
        </w:rPr>
        <w:t>náklad</w:t>
      </w:r>
      <w:r w:rsidR="00576B28" w:rsidRPr="00ED38E9">
        <w:rPr>
          <w:rFonts w:cs="Arial"/>
        </w:rPr>
        <w:t>ů</w:t>
      </w:r>
      <w:r w:rsidRPr="00ED38E9">
        <w:rPr>
          <w:rFonts w:cs="Arial"/>
        </w:rPr>
        <w:t xml:space="preserve"> krajského úřadu na vydávání souhlasů v prvním roce</w:t>
      </w:r>
    </w:p>
    <w:p w:rsidR="00B84686" w:rsidRPr="00ED38E9" w:rsidRDefault="00A32254" w:rsidP="006F5445">
      <w:pPr>
        <w:rPr>
          <w:rFonts w:cs="Arial"/>
        </w:rPr>
      </w:pPr>
      <w:r>
        <w:rPr>
          <w:rFonts w:cs="Arial"/>
          <w:lang w:eastAsia="cs-CZ" w:bidi="ar-SA"/>
        </w:rPr>
        <mc:AlternateContent>
          <mc:Choice Requires="wpc">
            <w:drawing>
              <wp:inline distT="0" distB="0" distL="0" distR="0" wp14:anchorId="1A12D217" wp14:editId="5F127D51">
                <wp:extent cx="5762625" cy="2001520"/>
                <wp:effectExtent l="9525" t="9525" r="9525" b="8255"/>
                <wp:docPr id="1238" name="Plátno 4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Rectangle 139"/>
                        <wps:cNvSpPr>
                          <a:spLocks noChangeArrowheads="1"/>
                        </wps:cNvSpPr>
                        <wps:spPr bwMode="auto">
                          <a:xfrm>
                            <a:off x="4551620" y="743507"/>
                            <a:ext cx="136601"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sz w:val="20"/>
                                  <w:szCs w:val="20"/>
                                  <w:lang w:val="en-US"/>
                                </w:rPr>
                                <w:t>od</w:t>
                              </w:r>
                            </w:p>
                          </w:txbxContent>
                        </wps:txbx>
                        <wps:bodyPr rot="0" vert="horz" wrap="none" lIns="0" tIns="0" rIns="0" bIns="0" anchor="t" anchorCtr="0" upright="1">
                          <a:spAutoFit/>
                        </wps:bodyPr>
                      </wps:wsp>
                      <wps:wsp>
                        <wps:cNvPr id="11" name="Rectangle 140"/>
                        <wps:cNvSpPr>
                          <a:spLocks noChangeArrowheads="1"/>
                        </wps:cNvSpPr>
                        <wps:spPr bwMode="auto">
                          <a:xfrm>
                            <a:off x="5311723" y="743507"/>
                            <a:ext cx="136601"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sz w:val="20"/>
                                  <w:szCs w:val="20"/>
                                  <w:lang w:val="en-US"/>
                                </w:rPr>
                                <w:t>do</w:t>
                              </w:r>
                            </w:p>
                          </w:txbxContent>
                        </wps:txbx>
                        <wps:bodyPr rot="0" vert="horz" wrap="none" lIns="0" tIns="0" rIns="0" bIns="0" anchor="t" anchorCtr="0" upright="1">
                          <a:spAutoFit/>
                        </wps:bodyPr>
                      </wps:wsp>
                      <wps:wsp>
                        <wps:cNvPr id="12" name="Rectangle 141"/>
                        <wps:cNvSpPr>
                          <a:spLocks noChangeArrowheads="1"/>
                        </wps:cNvSpPr>
                        <wps:spPr bwMode="auto">
                          <a:xfrm>
                            <a:off x="4587220" y="929009"/>
                            <a:ext cx="64800"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7</w:t>
                              </w:r>
                            </w:p>
                          </w:txbxContent>
                        </wps:txbx>
                        <wps:bodyPr rot="0" vert="horz" wrap="none" lIns="0" tIns="0" rIns="0" bIns="0" anchor="t" anchorCtr="0" upright="1">
                          <a:spAutoFit/>
                        </wps:bodyPr>
                      </wps:wsp>
                      <wps:wsp>
                        <wps:cNvPr id="13" name="Rectangle 142"/>
                        <wps:cNvSpPr>
                          <a:spLocks noChangeArrowheads="1"/>
                        </wps:cNvSpPr>
                        <wps:spPr bwMode="auto">
                          <a:xfrm>
                            <a:off x="5320623" y="929009"/>
                            <a:ext cx="128901"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40</w:t>
                              </w:r>
                            </w:p>
                          </w:txbxContent>
                        </wps:txbx>
                        <wps:bodyPr rot="0" vert="horz" wrap="none" lIns="0" tIns="0" rIns="0" bIns="0" anchor="t" anchorCtr="0" upright="1">
                          <a:spAutoFit/>
                        </wps:bodyPr>
                      </wps:wsp>
                      <wps:wsp>
                        <wps:cNvPr id="15" name="Rectangle 143"/>
                        <wps:cNvSpPr>
                          <a:spLocks noChangeArrowheads="1"/>
                        </wps:cNvSpPr>
                        <wps:spPr bwMode="auto">
                          <a:xfrm>
                            <a:off x="4481119" y="1106111"/>
                            <a:ext cx="286401"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2 975</w:t>
                              </w:r>
                            </w:p>
                          </w:txbxContent>
                        </wps:txbx>
                        <wps:bodyPr rot="0" vert="horz" wrap="none" lIns="0" tIns="0" rIns="0" bIns="0" anchor="t" anchorCtr="0" upright="1">
                          <a:spAutoFit/>
                        </wps:bodyPr>
                      </wps:wsp>
                      <wps:wsp>
                        <wps:cNvPr id="17" name="Rectangle 144"/>
                        <wps:cNvSpPr>
                          <a:spLocks noChangeArrowheads="1"/>
                        </wps:cNvSpPr>
                        <wps:spPr bwMode="auto">
                          <a:xfrm>
                            <a:off x="5214623" y="1106111"/>
                            <a:ext cx="351102"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17 000</w:t>
                              </w:r>
                            </w:p>
                          </w:txbxContent>
                        </wps:txbx>
                        <wps:bodyPr rot="0" vert="horz" wrap="none" lIns="0" tIns="0" rIns="0" bIns="0" anchor="t" anchorCtr="0" upright="1">
                          <a:spAutoFit/>
                        </wps:bodyPr>
                      </wps:wsp>
                      <wps:wsp>
                        <wps:cNvPr id="18" name="Rectangle 145"/>
                        <wps:cNvSpPr>
                          <a:spLocks noChangeArrowheads="1"/>
                        </wps:cNvSpPr>
                        <wps:spPr bwMode="auto">
                          <a:xfrm>
                            <a:off x="4507820" y="1283313"/>
                            <a:ext cx="225401"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1,48</w:t>
                              </w:r>
                            </w:p>
                          </w:txbxContent>
                        </wps:txbx>
                        <wps:bodyPr rot="0" vert="horz" wrap="none" lIns="0" tIns="0" rIns="0" bIns="0" anchor="t" anchorCtr="0" upright="1">
                          <a:spAutoFit/>
                        </wps:bodyPr>
                      </wps:wsp>
                      <wps:wsp>
                        <wps:cNvPr id="21" name="Rectangle 146"/>
                        <wps:cNvSpPr>
                          <a:spLocks noChangeArrowheads="1"/>
                        </wps:cNvSpPr>
                        <wps:spPr bwMode="auto">
                          <a:xfrm>
                            <a:off x="5267923" y="1283313"/>
                            <a:ext cx="225401"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8,43</w:t>
                              </w:r>
                            </w:p>
                          </w:txbxContent>
                        </wps:txbx>
                        <wps:bodyPr rot="0" vert="horz" wrap="none" lIns="0" tIns="0" rIns="0" bIns="0" anchor="t" anchorCtr="0" upright="1">
                          <a:spAutoFit/>
                        </wps:bodyPr>
                      </wps:wsp>
                      <wps:wsp>
                        <wps:cNvPr id="22" name="Rectangle 147"/>
                        <wps:cNvSpPr>
                          <a:spLocks noChangeArrowheads="1"/>
                        </wps:cNvSpPr>
                        <wps:spPr bwMode="auto">
                          <a:xfrm>
                            <a:off x="4507820" y="1460515"/>
                            <a:ext cx="225401"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0,11</w:t>
                              </w:r>
                            </w:p>
                          </w:txbxContent>
                        </wps:txbx>
                        <wps:bodyPr rot="0" vert="horz" wrap="none" lIns="0" tIns="0" rIns="0" bIns="0" anchor="t" anchorCtr="0" upright="1">
                          <a:spAutoFit/>
                        </wps:bodyPr>
                      </wps:wsp>
                      <wps:wsp>
                        <wps:cNvPr id="24" name="Rectangle 148"/>
                        <wps:cNvSpPr>
                          <a:spLocks noChangeArrowheads="1"/>
                        </wps:cNvSpPr>
                        <wps:spPr bwMode="auto">
                          <a:xfrm>
                            <a:off x="5267923" y="1460515"/>
                            <a:ext cx="225401"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0,60</w:t>
                              </w:r>
                            </w:p>
                          </w:txbxContent>
                        </wps:txbx>
                        <wps:bodyPr rot="0" vert="horz" wrap="none" lIns="0" tIns="0" rIns="0" bIns="0" anchor="t" anchorCtr="0" upright="1">
                          <a:spAutoFit/>
                        </wps:bodyPr>
                      </wps:wsp>
                      <wps:wsp>
                        <wps:cNvPr id="25" name="Rectangle 149"/>
                        <wps:cNvSpPr>
                          <a:spLocks noChangeArrowheads="1"/>
                        </wps:cNvSpPr>
                        <wps:spPr bwMode="auto">
                          <a:xfrm>
                            <a:off x="4454519" y="1637616"/>
                            <a:ext cx="351102"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70 125</w:t>
                              </w:r>
                            </w:p>
                          </w:txbxContent>
                        </wps:txbx>
                        <wps:bodyPr rot="0" vert="horz" wrap="none" lIns="0" tIns="0" rIns="0" bIns="0" anchor="t" anchorCtr="0" upright="1">
                          <a:spAutoFit/>
                        </wps:bodyPr>
                      </wps:wsp>
                      <wps:wsp>
                        <wps:cNvPr id="26" name="Rectangle 150"/>
                        <wps:cNvSpPr>
                          <a:spLocks noChangeArrowheads="1"/>
                        </wps:cNvSpPr>
                        <wps:spPr bwMode="auto">
                          <a:xfrm>
                            <a:off x="5179022" y="1637616"/>
                            <a:ext cx="415302"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400 714</w:t>
                              </w:r>
                            </w:p>
                          </w:txbxContent>
                        </wps:txbx>
                        <wps:bodyPr rot="0" vert="horz" wrap="none" lIns="0" tIns="0" rIns="0" bIns="0" anchor="t" anchorCtr="0" upright="1">
                          <a:spAutoFit/>
                        </wps:bodyPr>
                      </wps:wsp>
                      <wps:wsp>
                        <wps:cNvPr id="27" name="Rectangle 151"/>
                        <wps:cNvSpPr>
                          <a:spLocks noChangeArrowheads="1"/>
                        </wps:cNvSpPr>
                        <wps:spPr bwMode="auto">
                          <a:xfrm>
                            <a:off x="4418919" y="1823018"/>
                            <a:ext cx="415302"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sz w:val="20"/>
                                  <w:szCs w:val="20"/>
                                  <w:lang w:val="en-US"/>
                                </w:rPr>
                                <w:t>981 750</w:t>
                              </w:r>
                            </w:p>
                          </w:txbxContent>
                        </wps:txbx>
                        <wps:bodyPr rot="0" vert="horz" wrap="none" lIns="0" tIns="0" rIns="0" bIns="0" anchor="t" anchorCtr="0" upright="1">
                          <a:spAutoFit/>
                        </wps:bodyPr>
                      </wps:wsp>
                      <wps:wsp>
                        <wps:cNvPr id="30" name="Rectangle 152"/>
                        <wps:cNvSpPr>
                          <a:spLocks noChangeArrowheads="1"/>
                        </wps:cNvSpPr>
                        <wps:spPr bwMode="auto">
                          <a:xfrm>
                            <a:off x="5135222" y="1823018"/>
                            <a:ext cx="508602"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sz w:val="20"/>
                                  <w:szCs w:val="20"/>
                                  <w:lang w:val="en-US"/>
                                </w:rPr>
                                <w:t>5 610 000</w:t>
                              </w:r>
                            </w:p>
                          </w:txbxContent>
                        </wps:txbx>
                        <wps:bodyPr rot="0" vert="horz" wrap="none" lIns="0" tIns="0" rIns="0" bIns="0" anchor="t" anchorCtr="0" upright="1">
                          <a:spAutoFit/>
                        </wps:bodyPr>
                      </wps:wsp>
                      <wps:wsp>
                        <wps:cNvPr id="35" name="Rectangle 153"/>
                        <wps:cNvSpPr>
                          <a:spLocks noChangeArrowheads="1"/>
                        </wps:cNvSpPr>
                        <wps:spPr bwMode="auto">
                          <a:xfrm>
                            <a:off x="26600" y="17700"/>
                            <a:ext cx="3031513"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sz w:val="20"/>
                                  <w:szCs w:val="20"/>
                                  <w:lang w:val="en-US"/>
                                </w:rPr>
                                <w:t>Navýšení nákladů KÚ v 1. roce od účinnosti zákona (2015)</w:t>
                              </w:r>
                            </w:p>
                          </w:txbxContent>
                        </wps:txbx>
                        <wps:bodyPr rot="0" vert="horz" wrap="none" lIns="0" tIns="0" rIns="0" bIns="0" anchor="t" anchorCtr="0" upright="1">
                          <a:spAutoFit/>
                        </wps:bodyPr>
                      </wps:wsp>
                      <wps:wsp>
                        <wps:cNvPr id="36" name="Rectangle 154"/>
                        <wps:cNvSpPr>
                          <a:spLocks noChangeArrowheads="1"/>
                        </wps:cNvSpPr>
                        <wps:spPr bwMode="auto">
                          <a:xfrm>
                            <a:off x="26600" y="203802"/>
                            <a:ext cx="3129914"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počet povolení navíc (2016-2019, neomezené, nedohledané)</w:t>
                              </w:r>
                            </w:p>
                          </w:txbxContent>
                        </wps:txbx>
                        <wps:bodyPr rot="0" vert="horz" wrap="none" lIns="0" tIns="0" rIns="0" bIns="0" anchor="t" anchorCtr="0" upright="1">
                          <a:spAutoFit/>
                        </wps:bodyPr>
                      </wps:wsp>
                      <wps:wsp>
                        <wps:cNvPr id="37" name="Rectangle 155"/>
                        <wps:cNvSpPr>
                          <a:spLocks noChangeArrowheads="1"/>
                        </wps:cNvSpPr>
                        <wps:spPr bwMode="auto">
                          <a:xfrm>
                            <a:off x="4905321" y="194902"/>
                            <a:ext cx="193701"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425</w:t>
                              </w:r>
                            </w:p>
                          </w:txbxContent>
                        </wps:txbx>
                        <wps:bodyPr rot="0" vert="horz" wrap="none" lIns="0" tIns="0" rIns="0" bIns="0" anchor="t" anchorCtr="0" upright="1">
                          <a:spAutoFit/>
                        </wps:bodyPr>
                      </wps:wsp>
                      <wps:wsp>
                        <wps:cNvPr id="39" name="Rectangle 156"/>
                        <wps:cNvSpPr>
                          <a:spLocks noChangeArrowheads="1"/>
                        </wps:cNvSpPr>
                        <wps:spPr bwMode="auto">
                          <a:xfrm>
                            <a:off x="26600" y="380304"/>
                            <a:ext cx="657203"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platová třída</w:t>
                              </w:r>
                            </w:p>
                          </w:txbxContent>
                        </wps:txbx>
                        <wps:bodyPr rot="0" vert="horz" wrap="none" lIns="0" tIns="0" rIns="0" bIns="0" anchor="t" anchorCtr="0" upright="1">
                          <a:spAutoFit/>
                        </wps:bodyPr>
                      </wps:wsp>
                      <wps:wsp>
                        <wps:cNvPr id="40" name="Rectangle 157"/>
                        <wps:cNvSpPr>
                          <a:spLocks noChangeArrowheads="1"/>
                        </wps:cNvSpPr>
                        <wps:spPr bwMode="auto">
                          <a:xfrm>
                            <a:off x="4940921" y="371404"/>
                            <a:ext cx="128901"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11</w:t>
                              </w:r>
                            </w:p>
                          </w:txbxContent>
                        </wps:txbx>
                        <wps:bodyPr rot="0" vert="horz" wrap="none" lIns="0" tIns="0" rIns="0" bIns="0" anchor="t" anchorCtr="0" upright="1">
                          <a:spAutoFit/>
                        </wps:bodyPr>
                      </wps:wsp>
                      <wps:wsp>
                        <wps:cNvPr id="41" name="Rectangle 158"/>
                        <wps:cNvSpPr>
                          <a:spLocks noChangeArrowheads="1"/>
                        </wps:cNvSpPr>
                        <wps:spPr bwMode="auto">
                          <a:xfrm>
                            <a:off x="26600" y="557506"/>
                            <a:ext cx="1740608"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mzdové a režijní náklady (Kč/hod)</w:t>
                              </w:r>
                            </w:p>
                          </w:txbxContent>
                        </wps:txbx>
                        <wps:bodyPr rot="0" vert="horz" wrap="none" lIns="0" tIns="0" rIns="0" bIns="0" anchor="t" anchorCtr="0" upright="1">
                          <a:spAutoFit/>
                        </wps:bodyPr>
                      </wps:wsp>
                      <wps:wsp>
                        <wps:cNvPr id="42" name="Rectangle 159"/>
                        <wps:cNvSpPr>
                          <a:spLocks noChangeArrowheads="1"/>
                        </wps:cNvSpPr>
                        <wps:spPr bwMode="auto">
                          <a:xfrm>
                            <a:off x="4905321" y="557506"/>
                            <a:ext cx="193701"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330</w:t>
                              </w:r>
                            </w:p>
                          </w:txbxContent>
                        </wps:txbx>
                        <wps:bodyPr rot="0" vert="horz" wrap="none" lIns="0" tIns="0" rIns="0" bIns="0" anchor="t" anchorCtr="0" upright="1">
                          <a:spAutoFit/>
                        </wps:bodyPr>
                      </wps:wsp>
                      <wps:wsp>
                        <wps:cNvPr id="45" name="Rectangle 160"/>
                        <wps:cNvSpPr>
                          <a:spLocks noChangeArrowheads="1"/>
                        </wps:cNvSpPr>
                        <wps:spPr bwMode="auto">
                          <a:xfrm>
                            <a:off x="26600" y="743507"/>
                            <a:ext cx="69200" cy="201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txbxContent>
                        </wps:txbx>
                        <wps:bodyPr rot="0" vert="horz" wrap="none" lIns="0" tIns="0" rIns="0" bIns="0" anchor="t" anchorCtr="0" upright="1">
                          <a:spAutoFit/>
                        </wps:bodyPr>
                      </wps:wsp>
                      <wps:wsp>
                        <wps:cNvPr id="46" name="Rectangle 161"/>
                        <wps:cNvSpPr>
                          <a:spLocks noChangeArrowheads="1"/>
                        </wps:cNvSpPr>
                        <wps:spPr bwMode="auto">
                          <a:xfrm>
                            <a:off x="26600" y="929009"/>
                            <a:ext cx="3538215"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časová náročnost na vydání 1 povolení včetně místního šetření (hod)</w:t>
                              </w:r>
                            </w:p>
                          </w:txbxContent>
                        </wps:txbx>
                        <wps:bodyPr rot="0" vert="horz" wrap="none" lIns="0" tIns="0" rIns="0" bIns="0" anchor="t" anchorCtr="0" upright="1">
                          <a:spAutoFit/>
                        </wps:bodyPr>
                      </wps:wsp>
                      <wps:wsp>
                        <wps:cNvPr id="47" name="Rectangle 162"/>
                        <wps:cNvSpPr>
                          <a:spLocks noChangeArrowheads="1"/>
                        </wps:cNvSpPr>
                        <wps:spPr bwMode="auto">
                          <a:xfrm>
                            <a:off x="26600" y="1106111"/>
                            <a:ext cx="3444915"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časová náročnost na vydání povolení včetně místního šetření (hod)</w:t>
                              </w:r>
                            </w:p>
                          </w:txbxContent>
                        </wps:txbx>
                        <wps:bodyPr rot="0" vert="horz" wrap="none" lIns="0" tIns="0" rIns="0" bIns="0" anchor="t" anchorCtr="0" upright="1">
                          <a:spAutoFit/>
                        </wps:bodyPr>
                      </wps:wsp>
                      <wps:wsp>
                        <wps:cNvPr id="48" name="Rectangle 163"/>
                        <wps:cNvSpPr>
                          <a:spLocks noChangeArrowheads="1"/>
                        </wps:cNvSpPr>
                        <wps:spPr bwMode="auto">
                          <a:xfrm>
                            <a:off x="26600" y="1823018"/>
                            <a:ext cx="3325514"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b/>
                                  <w:bCs/>
                                  <w:color w:val="000000"/>
                                  <w:sz w:val="20"/>
                                  <w:szCs w:val="20"/>
                                  <w:lang w:val="en-US"/>
                                </w:rPr>
                                <w:t>Celkové navýšení nákladů KÚ v 1. roce od účinnosti zákona (Kč)</w:t>
                              </w:r>
                            </w:p>
                          </w:txbxContent>
                        </wps:txbx>
                        <wps:bodyPr rot="0" vert="horz" wrap="none" lIns="0" tIns="0" rIns="0" bIns="0" anchor="t" anchorCtr="0" upright="1">
                          <a:spAutoFit/>
                        </wps:bodyPr>
                      </wps:wsp>
                      <wps:wsp>
                        <wps:cNvPr id="49" name="Rectangle 164"/>
                        <wps:cNvSpPr>
                          <a:spLocks noChangeArrowheads="1"/>
                        </wps:cNvSpPr>
                        <wps:spPr bwMode="auto">
                          <a:xfrm>
                            <a:off x="26600" y="1637616"/>
                            <a:ext cx="3974517" cy="178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celkové průměrné navýšení nákladů KÚ v 1. roce od účinnosti zákona (Kč/KÚ)</w:t>
                              </w:r>
                            </w:p>
                          </w:txbxContent>
                        </wps:txbx>
                        <wps:bodyPr rot="0" vert="horz" wrap="none" lIns="0" tIns="0" rIns="0" bIns="0" anchor="t" anchorCtr="0" upright="1">
                          <a:spAutoFit/>
                        </wps:bodyPr>
                      </wps:wsp>
                      <wps:wsp>
                        <wps:cNvPr id="50" name="Rectangle 165"/>
                        <wps:cNvSpPr>
                          <a:spLocks noChangeArrowheads="1"/>
                        </wps:cNvSpPr>
                        <wps:spPr bwMode="auto">
                          <a:xfrm>
                            <a:off x="26600" y="1283313"/>
                            <a:ext cx="2401610"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průměrná výše pracovního úvazku na 14 KÚ (-)</w:t>
                              </w:r>
                            </w:p>
                          </w:txbxContent>
                        </wps:txbx>
                        <wps:bodyPr rot="0" vert="horz" wrap="none" lIns="0" tIns="0" rIns="0" bIns="0" anchor="t" anchorCtr="0" upright="1">
                          <a:spAutoFit/>
                        </wps:bodyPr>
                      </wps:wsp>
                      <wps:wsp>
                        <wps:cNvPr id="51" name="Rectangle 166"/>
                        <wps:cNvSpPr>
                          <a:spLocks noChangeArrowheads="1"/>
                        </wps:cNvSpPr>
                        <wps:spPr bwMode="auto">
                          <a:xfrm>
                            <a:off x="26600" y="1460515"/>
                            <a:ext cx="2337510" cy="178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E44" w:rsidRDefault="00962E44">
                              <w:r>
                                <w:rPr>
                                  <w:rFonts w:ascii="Calibri" w:hAnsi="Calibri" w:cs="Calibri"/>
                                  <w:color w:val="000000"/>
                                  <w:sz w:val="20"/>
                                  <w:szCs w:val="20"/>
                                  <w:lang w:val="en-US"/>
                                </w:rPr>
                                <w:t>průměrná výše pracovního úvazku na 1 KÚ (-)</w:t>
                              </w:r>
                            </w:p>
                          </w:txbxContent>
                        </wps:txbx>
                        <wps:bodyPr rot="0" vert="horz" wrap="none" lIns="0" tIns="0" rIns="0" bIns="0" anchor="t" anchorCtr="0" upright="1">
                          <a:spAutoFit/>
                        </wps:bodyPr>
                      </wps:wsp>
                      <wps:wsp>
                        <wps:cNvPr id="52" name="Line 167"/>
                        <wps:cNvCnPr/>
                        <wps:spPr bwMode="auto">
                          <a:xfrm flipV="1">
                            <a:off x="0" y="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56" name="Rectangle 168"/>
                        <wps:cNvSpPr>
                          <a:spLocks noChangeArrowheads="1"/>
                        </wps:cNvSpPr>
                        <wps:spPr bwMode="auto">
                          <a:xfrm>
                            <a:off x="0" y="-8800"/>
                            <a:ext cx="88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169"/>
                        <wps:cNvSpPr>
                          <a:spLocks noChangeArrowheads="1"/>
                        </wps:cNvSpPr>
                        <wps:spPr bwMode="auto">
                          <a:xfrm>
                            <a:off x="8800" y="-8800"/>
                            <a:ext cx="5753825" cy="17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170"/>
                        <wps:cNvCnPr/>
                        <wps:spPr bwMode="auto">
                          <a:xfrm flipV="1">
                            <a:off x="5753725" y="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60" name="Rectangle 171"/>
                        <wps:cNvSpPr>
                          <a:spLocks noChangeArrowheads="1"/>
                        </wps:cNvSpPr>
                        <wps:spPr bwMode="auto">
                          <a:xfrm>
                            <a:off x="5753725" y="-8800"/>
                            <a:ext cx="89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72"/>
                        <wps:cNvSpPr>
                          <a:spLocks noChangeArrowheads="1"/>
                        </wps:cNvSpPr>
                        <wps:spPr bwMode="auto">
                          <a:xfrm>
                            <a:off x="8800" y="177102"/>
                            <a:ext cx="5753825" cy="17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173"/>
                        <wps:cNvCnPr/>
                        <wps:spPr bwMode="auto">
                          <a:xfrm>
                            <a:off x="8800" y="362504"/>
                            <a:ext cx="42158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8" name="Rectangle 174"/>
                        <wps:cNvSpPr>
                          <a:spLocks noChangeArrowheads="1"/>
                        </wps:cNvSpPr>
                        <wps:spPr bwMode="auto">
                          <a:xfrm>
                            <a:off x="8800" y="362504"/>
                            <a:ext cx="4215818"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Line 175"/>
                        <wps:cNvCnPr/>
                        <wps:spPr bwMode="auto">
                          <a:xfrm>
                            <a:off x="4242418" y="362504"/>
                            <a:ext cx="15024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0" name="Rectangle 176"/>
                        <wps:cNvSpPr>
                          <a:spLocks noChangeArrowheads="1"/>
                        </wps:cNvSpPr>
                        <wps:spPr bwMode="auto">
                          <a:xfrm>
                            <a:off x="4242418" y="362504"/>
                            <a:ext cx="1502407"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Line 177"/>
                        <wps:cNvCnPr/>
                        <wps:spPr bwMode="auto">
                          <a:xfrm>
                            <a:off x="8800" y="539705"/>
                            <a:ext cx="42158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2" name="Rectangle 178"/>
                        <wps:cNvSpPr>
                          <a:spLocks noChangeArrowheads="1"/>
                        </wps:cNvSpPr>
                        <wps:spPr bwMode="auto">
                          <a:xfrm>
                            <a:off x="8800" y="539705"/>
                            <a:ext cx="4215818"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 name="Line 179"/>
                        <wps:cNvCnPr/>
                        <wps:spPr bwMode="auto">
                          <a:xfrm>
                            <a:off x="4242418" y="539705"/>
                            <a:ext cx="15024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4" name="Rectangle 180"/>
                        <wps:cNvSpPr>
                          <a:spLocks noChangeArrowheads="1"/>
                        </wps:cNvSpPr>
                        <wps:spPr bwMode="auto">
                          <a:xfrm>
                            <a:off x="4242418" y="539705"/>
                            <a:ext cx="1502407"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181"/>
                        <wps:cNvSpPr>
                          <a:spLocks noChangeArrowheads="1"/>
                        </wps:cNvSpPr>
                        <wps:spPr bwMode="auto">
                          <a:xfrm>
                            <a:off x="8800" y="716907"/>
                            <a:ext cx="5753825" cy="1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182"/>
                        <wps:cNvCnPr/>
                        <wps:spPr bwMode="auto">
                          <a:xfrm>
                            <a:off x="4993622" y="734607"/>
                            <a:ext cx="0" cy="168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183"/>
                        <wps:cNvSpPr>
                          <a:spLocks noChangeArrowheads="1"/>
                        </wps:cNvSpPr>
                        <wps:spPr bwMode="auto">
                          <a:xfrm>
                            <a:off x="4993622" y="734607"/>
                            <a:ext cx="8900" cy="1683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184"/>
                        <wps:cNvSpPr>
                          <a:spLocks noChangeArrowheads="1"/>
                        </wps:cNvSpPr>
                        <wps:spPr bwMode="auto">
                          <a:xfrm>
                            <a:off x="8800" y="902909"/>
                            <a:ext cx="5753825" cy="17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Line 185"/>
                        <wps:cNvCnPr/>
                        <wps:spPr bwMode="auto">
                          <a:xfrm>
                            <a:off x="8800" y="1088311"/>
                            <a:ext cx="42158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0" name="Rectangle 186"/>
                        <wps:cNvSpPr>
                          <a:spLocks noChangeArrowheads="1"/>
                        </wps:cNvSpPr>
                        <wps:spPr bwMode="auto">
                          <a:xfrm>
                            <a:off x="8800" y="1088311"/>
                            <a:ext cx="4215818"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Line 187"/>
                        <wps:cNvCnPr/>
                        <wps:spPr bwMode="auto">
                          <a:xfrm>
                            <a:off x="4242418" y="1088311"/>
                            <a:ext cx="15024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2" name="Rectangle 188"/>
                        <wps:cNvSpPr>
                          <a:spLocks noChangeArrowheads="1"/>
                        </wps:cNvSpPr>
                        <wps:spPr bwMode="auto">
                          <a:xfrm>
                            <a:off x="4242418" y="1088311"/>
                            <a:ext cx="1502407"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Line 189"/>
                        <wps:cNvCnPr/>
                        <wps:spPr bwMode="auto">
                          <a:xfrm>
                            <a:off x="8800" y="1265513"/>
                            <a:ext cx="42158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4" name="Rectangle 190"/>
                        <wps:cNvSpPr>
                          <a:spLocks noChangeArrowheads="1"/>
                        </wps:cNvSpPr>
                        <wps:spPr bwMode="auto">
                          <a:xfrm>
                            <a:off x="8800" y="1265513"/>
                            <a:ext cx="4215818"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 name="Line 191"/>
                        <wps:cNvCnPr/>
                        <wps:spPr bwMode="auto">
                          <a:xfrm>
                            <a:off x="4242418" y="1265513"/>
                            <a:ext cx="15024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6" name="Rectangle 192"/>
                        <wps:cNvSpPr>
                          <a:spLocks noChangeArrowheads="1"/>
                        </wps:cNvSpPr>
                        <wps:spPr bwMode="auto">
                          <a:xfrm>
                            <a:off x="4242418" y="1265513"/>
                            <a:ext cx="1502407"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Line 193"/>
                        <wps:cNvCnPr/>
                        <wps:spPr bwMode="auto">
                          <a:xfrm>
                            <a:off x="8800" y="1442714"/>
                            <a:ext cx="42158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194"/>
                        <wps:cNvSpPr>
                          <a:spLocks noChangeArrowheads="1"/>
                        </wps:cNvSpPr>
                        <wps:spPr bwMode="auto">
                          <a:xfrm>
                            <a:off x="8800" y="1442714"/>
                            <a:ext cx="4215818"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195"/>
                        <wps:cNvCnPr/>
                        <wps:spPr bwMode="auto">
                          <a:xfrm>
                            <a:off x="4242418" y="1442714"/>
                            <a:ext cx="15024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196"/>
                        <wps:cNvSpPr>
                          <a:spLocks noChangeArrowheads="1"/>
                        </wps:cNvSpPr>
                        <wps:spPr bwMode="auto">
                          <a:xfrm>
                            <a:off x="4242418" y="1442714"/>
                            <a:ext cx="1502407"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197"/>
                        <wps:cNvCnPr/>
                        <wps:spPr bwMode="auto">
                          <a:xfrm>
                            <a:off x="8800" y="1619816"/>
                            <a:ext cx="4215818"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198"/>
                        <wps:cNvSpPr>
                          <a:spLocks noChangeArrowheads="1"/>
                        </wps:cNvSpPr>
                        <wps:spPr bwMode="auto">
                          <a:xfrm>
                            <a:off x="8800" y="1619816"/>
                            <a:ext cx="4215818"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199"/>
                        <wps:cNvCnPr/>
                        <wps:spPr bwMode="auto">
                          <a:xfrm>
                            <a:off x="4242418" y="1619816"/>
                            <a:ext cx="1502407"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2" name="Rectangle 200"/>
                        <wps:cNvSpPr>
                          <a:spLocks noChangeArrowheads="1"/>
                        </wps:cNvSpPr>
                        <wps:spPr bwMode="auto">
                          <a:xfrm>
                            <a:off x="4242418" y="1619816"/>
                            <a:ext cx="1502407"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201"/>
                        <wps:cNvCnPr/>
                        <wps:spPr bwMode="auto">
                          <a:xfrm>
                            <a:off x="4993622" y="920709"/>
                            <a:ext cx="0" cy="875709"/>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94" name="Rectangle 202"/>
                        <wps:cNvSpPr>
                          <a:spLocks noChangeArrowheads="1"/>
                        </wps:cNvSpPr>
                        <wps:spPr bwMode="auto">
                          <a:xfrm>
                            <a:off x="4993622" y="920709"/>
                            <a:ext cx="8900" cy="87570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203"/>
                        <wps:cNvSpPr>
                          <a:spLocks noChangeArrowheads="1"/>
                        </wps:cNvSpPr>
                        <wps:spPr bwMode="auto">
                          <a:xfrm>
                            <a:off x="8800" y="1796418"/>
                            <a:ext cx="5753825" cy="17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204"/>
                        <wps:cNvSpPr>
                          <a:spLocks noChangeArrowheads="1"/>
                        </wps:cNvSpPr>
                        <wps:spPr bwMode="auto">
                          <a:xfrm>
                            <a:off x="-8800" y="-8800"/>
                            <a:ext cx="17600" cy="20090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 name="Rectangle 205"/>
                        <wps:cNvSpPr>
                          <a:spLocks noChangeArrowheads="1"/>
                        </wps:cNvSpPr>
                        <wps:spPr bwMode="auto">
                          <a:xfrm>
                            <a:off x="4224618" y="194902"/>
                            <a:ext cx="17800" cy="180531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206"/>
                        <wps:cNvCnPr/>
                        <wps:spPr bwMode="auto">
                          <a:xfrm>
                            <a:off x="4993622" y="1814118"/>
                            <a:ext cx="0" cy="16830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207"/>
                        <wps:cNvSpPr>
                          <a:spLocks noChangeArrowheads="1"/>
                        </wps:cNvSpPr>
                        <wps:spPr bwMode="auto">
                          <a:xfrm>
                            <a:off x="4993622" y="1814118"/>
                            <a:ext cx="8900" cy="16830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208"/>
                        <wps:cNvSpPr>
                          <a:spLocks noChangeArrowheads="1"/>
                        </wps:cNvSpPr>
                        <wps:spPr bwMode="auto">
                          <a:xfrm>
                            <a:off x="8800" y="1982420"/>
                            <a:ext cx="5753825" cy="17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 name="Rectangle 209"/>
                        <wps:cNvSpPr>
                          <a:spLocks noChangeArrowheads="1"/>
                        </wps:cNvSpPr>
                        <wps:spPr bwMode="auto">
                          <a:xfrm>
                            <a:off x="5744825" y="8800"/>
                            <a:ext cx="17800" cy="19914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Line 210"/>
                        <wps:cNvCnPr/>
                        <wps:spPr bwMode="auto">
                          <a:xfrm>
                            <a:off x="0" y="20002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5" name="Rectangle 211"/>
                        <wps:cNvSpPr>
                          <a:spLocks noChangeArrowheads="1"/>
                        </wps:cNvSpPr>
                        <wps:spPr bwMode="auto">
                          <a:xfrm>
                            <a:off x="0" y="2000220"/>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212"/>
                        <wps:cNvCnPr/>
                        <wps:spPr bwMode="auto">
                          <a:xfrm>
                            <a:off x="5753725" y="20002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7" name="Rectangle 213"/>
                        <wps:cNvSpPr>
                          <a:spLocks noChangeArrowheads="1"/>
                        </wps:cNvSpPr>
                        <wps:spPr bwMode="auto">
                          <a:xfrm>
                            <a:off x="5753725" y="200022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 name="Line 214"/>
                        <wps:cNvCnPr/>
                        <wps:spPr bwMode="auto">
                          <a:xfrm>
                            <a:off x="4233518" y="20002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79" name="Rectangle 215"/>
                        <wps:cNvSpPr>
                          <a:spLocks noChangeArrowheads="1"/>
                        </wps:cNvSpPr>
                        <wps:spPr bwMode="auto">
                          <a:xfrm>
                            <a:off x="4233518" y="200022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Line 216"/>
                        <wps:cNvCnPr/>
                        <wps:spPr bwMode="auto">
                          <a:xfrm>
                            <a:off x="4993622" y="20002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1" name="Rectangle 217"/>
                        <wps:cNvSpPr>
                          <a:spLocks noChangeArrowheads="1"/>
                        </wps:cNvSpPr>
                        <wps:spPr bwMode="auto">
                          <a:xfrm>
                            <a:off x="4993622" y="200022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 name="Line 218"/>
                        <wps:cNvCnPr/>
                        <wps:spPr bwMode="auto">
                          <a:xfrm>
                            <a:off x="892804" y="20002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3" name="Rectangle 219"/>
                        <wps:cNvSpPr>
                          <a:spLocks noChangeArrowheads="1"/>
                        </wps:cNvSpPr>
                        <wps:spPr bwMode="auto">
                          <a:xfrm>
                            <a:off x="892804" y="200022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 name="Line 220"/>
                        <wps:cNvCnPr/>
                        <wps:spPr bwMode="auto">
                          <a:xfrm>
                            <a:off x="1458506" y="2000220"/>
                            <a:ext cx="7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5" name="Rectangle 221"/>
                        <wps:cNvSpPr>
                          <a:spLocks noChangeArrowheads="1"/>
                        </wps:cNvSpPr>
                        <wps:spPr bwMode="auto">
                          <a:xfrm>
                            <a:off x="1458506" y="200022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 name="Line 222"/>
                        <wps:cNvCnPr/>
                        <wps:spPr bwMode="auto">
                          <a:xfrm>
                            <a:off x="2023709" y="20002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7" name="Rectangle 223"/>
                        <wps:cNvSpPr>
                          <a:spLocks noChangeArrowheads="1"/>
                        </wps:cNvSpPr>
                        <wps:spPr bwMode="auto">
                          <a:xfrm>
                            <a:off x="2023709" y="200022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 name="Line 224"/>
                        <wps:cNvCnPr/>
                        <wps:spPr bwMode="auto">
                          <a:xfrm>
                            <a:off x="2757812" y="20002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89" name="Rectangle 225"/>
                        <wps:cNvSpPr>
                          <a:spLocks noChangeArrowheads="1"/>
                        </wps:cNvSpPr>
                        <wps:spPr bwMode="auto">
                          <a:xfrm>
                            <a:off x="2757812" y="2000220"/>
                            <a:ext cx="88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Line 226"/>
                        <wps:cNvCnPr/>
                        <wps:spPr bwMode="auto">
                          <a:xfrm>
                            <a:off x="3322914" y="20002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1" name="Rectangle 227"/>
                        <wps:cNvSpPr>
                          <a:spLocks noChangeArrowheads="1"/>
                        </wps:cNvSpPr>
                        <wps:spPr bwMode="auto">
                          <a:xfrm>
                            <a:off x="3322914" y="200022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Line 228"/>
                        <wps:cNvCnPr/>
                        <wps:spPr bwMode="auto">
                          <a:xfrm>
                            <a:off x="5762625" y="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793" name="Rectangle 229"/>
                        <wps:cNvSpPr>
                          <a:spLocks noChangeArrowheads="1"/>
                        </wps:cNvSpPr>
                        <wps:spPr bwMode="auto">
                          <a:xfrm>
                            <a:off x="5762625" y="0"/>
                            <a:ext cx="89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Line 230"/>
                        <wps:cNvCnPr/>
                        <wps:spPr bwMode="auto">
                          <a:xfrm>
                            <a:off x="5762625" y="186002"/>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17" name="Rectangle 231"/>
                        <wps:cNvSpPr>
                          <a:spLocks noChangeArrowheads="1"/>
                        </wps:cNvSpPr>
                        <wps:spPr bwMode="auto">
                          <a:xfrm>
                            <a:off x="5762625" y="186002"/>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Line 232"/>
                        <wps:cNvCnPr/>
                        <wps:spPr bwMode="auto">
                          <a:xfrm>
                            <a:off x="5762625" y="362504"/>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19" name="Rectangle 233"/>
                        <wps:cNvSpPr>
                          <a:spLocks noChangeArrowheads="1"/>
                        </wps:cNvSpPr>
                        <wps:spPr bwMode="auto">
                          <a:xfrm>
                            <a:off x="5762625" y="36250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Line 234"/>
                        <wps:cNvCnPr/>
                        <wps:spPr bwMode="auto">
                          <a:xfrm>
                            <a:off x="5762625" y="539705"/>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21" name="Rectangle 235"/>
                        <wps:cNvSpPr>
                          <a:spLocks noChangeArrowheads="1"/>
                        </wps:cNvSpPr>
                        <wps:spPr bwMode="auto">
                          <a:xfrm>
                            <a:off x="5762625" y="539705"/>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236"/>
                        <wps:cNvCnPr/>
                        <wps:spPr bwMode="auto">
                          <a:xfrm>
                            <a:off x="5762625" y="725807"/>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23" name="Rectangle 237"/>
                        <wps:cNvSpPr>
                          <a:spLocks noChangeArrowheads="1"/>
                        </wps:cNvSpPr>
                        <wps:spPr bwMode="auto">
                          <a:xfrm>
                            <a:off x="5762625" y="725807"/>
                            <a:ext cx="89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Line 238"/>
                        <wps:cNvCnPr/>
                        <wps:spPr bwMode="auto">
                          <a:xfrm>
                            <a:off x="5762625" y="911809"/>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25" name="Rectangle 239"/>
                        <wps:cNvSpPr>
                          <a:spLocks noChangeArrowheads="1"/>
                        </wps:cNvSpPr>
                        <wps:spPr bwMode="auto">
                          <a:xfrm>
                            <a:off x="5762625" y="911809"/>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240"/>
                        <wps:cNvCnPr/>
                        <wps:spPr bwMode="auto">
                          <a:xfrm>
                            <a:off x="5762625" y="1088311"/>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27" name="Rectangle 241"/>
                        <wps:cNvSpPr>
                          <a:spLocks noChangeArrowheads="1"/>
                        </wps:cNvSpPr>
                        <wps:spPr bwMode="auto">
                          <a:xfrm>
                            <a:off x="5762625" y="1088311"/>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242"/>
                        <wps:cNvCnPr/>
                        <wps:spPr bwMode="auto">
                          <a:xfrm>
                            <a:off x="5762625" y="1265513"/>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29" name="Rectangle 243"/>
                        <wps:cNvSpPr>
                          <a:spLocks noChangeArrowheads="1"/>
                        </wps:cNvSpPr>
                        <wps:spPr bwMode="auto">
                          <a:xfrm>
                            <a:off x="5762625" y="1265513"/>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244"/>
                        <wps:cNvCnPr/>
                        <wps:spPr bwMode="auto">
                          <a:xfrm>
                            <a:off x="5762625" y="1442714"/>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31" name="Rectangle 245"/>
                        <wps:cNvSpPr>
                          <a:spLocks noChangeArrowheads="1"/>
                        </wps:cNvSpPr>
                        <wps:spPr bwMode="auto">
                          <a:xfrm>
                            <a:off x="5762625" y="1442714"/>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246"/>
                        <wps:cNvCnPr/>
                        <wps:spPr bwMode="auto">
                          <a:xfrm>
                            <a:off x="5762625" y="1619816"/>
                            <a:ext cx="600" cy="7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33" name="Rectangle 247"/>
                        <wps:cNvSpPr>
                          <a:spLocks noChangeArrowheads="1"/>
                        </wps:cNvSpPr>
                        <wps:spPr bwMode="auto">
                          <a:xfrm>
                            <a:off x="5762625" y="1619816"/>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248"/>
                        <wps:cNvCnPr/>
                        <wps:spPr bwMode="auto">
                          <a:xfrm>
                            <a:off x="5762625" y="1805318"/>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35" name="Rectangle 249"/>
                        <wps:cNvSpPr>
                          <a:spLocks noChangeArrowheads="1"/>
                        </wps:cNvSpPr>
                        <wps:spPr bwMode="auto">
                          <a:xfrm>
                            <a:off x="5762625" y="1805318"/>
                            <a:ext cx="8900" cy="88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250"/>
                        <wps:cNvCnPr/>
                        <wps:spPr bwMode="auto">
                          <a:xfrm>
                            <a:off x="5762625" y="1991320"/>
                            <a:ext cx="600" cy="600"/>
                          </a:xfrm>
                          <a:prstGeom prst="line">
                            <a:avLst/>
                          </a:prstGeom>
                          <a:noFill/>
                          <a:ln w="0">
                            <a:solidFill>
                              <a:srgbClr val="DADCDD"/>
                            </a:solidFill>
                            <a:round/>
                            <a:headEnd/>
                            <a:tailEnd/>
                          </a:ln>
                          <a:extLst>
                            <a:ext uri="{909E8E84-426E-40DD-AFC4-6F175D3DCCD1}">
                              <a14:hiddenFill xmlns:a14="http://schemas.microsoft.com/office/drawing/2010/main">
                                <a:noFill/>
                              </a14:hiddenFill>
                            </a:ext>
                          </a:extLst>
                        </wps:spPr>
                        <wps:bodyPr/>
                      </wps:wsp>
                      <wps:wsp>
                        <wps:cNvPr id="1237" name="Rectangle 251"/>
                        <wps:cNvSpPr>
                          <a:spLocks noChangeArrowheads="1"/>
                        </wps:cNvSpPr>
                        <wps:spPr bwMode="auto">
                          <a:xfrm>
                            <a:off x="5762625" y="1991320"/>
                            <a:ext cx="8900" cy="890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Plátno 482" o:spid="_x0000_s1098" editas="canvas" style="width:453.75pt;height:157.6pt;mso-position-horizontal-relative:char;mso-position-vertical-relative:line" coordsize="57626,20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">
                <v:shape id="_x0000_s1099" type="#_x0000_t75" style="position:absolute;width:57626;height:20015;visibility:visible;mso-wrap-style:square">
                  <v:fill o:detectmouseclick="t"/>
                  <v:path o:connecttype="none"/>
                </v:shape>
                <v:rect id="Rectangle 139" o:spid="_x0000_s1100" style="position:absolute;left:45516;top:7435;width:1366;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962E44" w:rsidRDefault="00962E44">
                        <w:r>
                          <w:rPr>
                            <w:rFonts w:ascii="Calibri" w:hAnsi="Calibri" w:cs="Calibri"/>
                            <w:b/>
                            <w:bCs/>
                            <w:color w:val="000000"/>
                            <w:sz w:val="20"/>
                            <w:szCs w:val="20"/>
                            <w:lang w:val="en-US"/>
                          </w:rPr>
                          <w:t>od</w:t>
                        </w:r>
                      </w:p>
                    </w:txbxContent>
                  </v:textbox>
                </v:rect>
                <v:rect id="Rectangle 140" o:spid="_x0000_s1101" style="position:absolute;left:53117;top:7435;width:1366;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962E44" w:rsidRDefault="00962E44">
                        <w:r>
                          <w:rPr>
                            <w:rFonts w:ascii="Calibri" w:hAnsi="Calibri" w:cs="Calibri"/>
                            <w:b/>
                            <w:bCs/>
                            <w:color w:val="000000"/>
                            <w:sz w:val="20"/>
                            <w:szCs w:val="20"/>
                            <w:lang w:val="en-US"/>
                          </w:rPr>
                          <w:t>do</w:t>
                        </w:r>
                      </w:p>
                    </w:txbxContent>
                  </v:textbox>
                </v:rect>
                <v:rect id="Rectangle 141" o:spid="_x0000_s1102" style="position:absolute;left:45872;top:9290;width:648;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962E44" w:rsidRDefault="00962E44">
                        <w:r>
                          <w:rPr>
                            <w:rFonts w:ascii="Calibri" w:hAnsi="Calibri" w:cs="Calibri"/>
                            <w:color w:val="000000"/>
                            <w:sz w:val="20"/>
                            <w:szCs w:val="20"/>
                            <w:lang w:val="en-US"/>
                          </w:rPr>
                          <w:t>7</w:t>
                        </w:r>
                      </w:p>
                    </w:txbxContent>
                  </v:textbox>
                </v:rect>
                <v:rect id="Rectangle 142" o:spid="_x0000_s1103" style="position:absolute;left:53206;top:9290;width:128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962E44" w:rsidRDefault="00962E44">
                        <w:r>
                          <w:rPr>
                            <w:rFonts w:ascii="Calibri" w:hAnsi="Calibri" w:cs="Calibri"/>
                            <w:color w:val="000000"/>
                            <w:sz w:val="20"/>
                            <w:szCs w:val="20"/>
                            <w:lang w:val="en-US"/>
                          </w:rPr>
                          <w:t>40</w:t>
                        </w:r>
                      </w:p>
                    </w:txbxContent>
                  </v:textbox>
                </v:rect>
                <v:rect id="Rectangle 143" o:spid="_x0000_s1104" style="position:absolute;left:44811;top:11061;width:2864;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962E44" w:rsidRDefault="00962E44">
                        <w:r>
                          <w:rPr>
                            <w:rFonts w:ascii="Calibri" w:hAnsi="Calibri" w:cs="Calibri"/>
                            <w:color w:val="000000"/>
                            <w:sz w:val="20"/>
                            <w:szCs w:val="20"/>
                            <w:lang w:val="en-US"/>
                          </w:rPr>
                          <w:t>2 975</w:t>
                        </w:r>
                      </w:p>
                    </w:txbxContent>
                  </v:textbox>
                </v:rect>
                <v:rect id="Rectangle 144" o:spid="_x0000_s1105" style="position:absolute;left:52146;top:11061;width:351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962E44" w:rsidRDefault="00962E44">
                        <w:r>
                          <w:rPr>
                            <w:rFonts w:ascii="Calibri" w:hAnsi="Calibri" w:cs="Calibri"/>
                            <w:color w:val="000000"/>
                            <w:sz w:val="20"/>
                            <w:szCs w:val="20"/>
                            <w:lang w:val="en-US"/>
                          </w:rPr>
                          <w:t>17 000</w:t>
                        </w:r>
                      </w:p>
                    </w:txbxContent>
                  </v:textbox>
                </v:rect>
                <v:rect id="Rectangle 145" o:spid="_x0000_s1106" style="position:absolute;left:45078;top:12833;width:225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1,48</w:t>
                        </w:r>
                      </w:p>
                    </w:txbxContent>
                  </v:textbox>
                </v:rect>
                <v:rect id="Rectangle 146" o:spid="_x0000_s1107" style="position:absolute;left:52679;top:12833;width:225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962E44" w:rsidRDefault="00962E44">
                        <w:r>
                          <w:rPr>
                            <w:rFonts w:ascii="Calibri" w:hAnsi="Calibri" w:cs="Calibri"/>
                            <w:color w:val="000000"/>
                            <w:sz w:val="20"/>
                            <w:szCs w:val="20"/>
                            <w:lang w:val="en-US"/>
                          </w:rPr>
                          <w:t>8,43</w:t>
                        </w:r>
                      </w:p>
                    </w:txbxContent>
                  </v:textbox>
                </v:rect>
                <v:rect id="Rectangle 147" o:spid="_x0000_s1108" style="position:absolute;left:45078;top:14605;width:225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0,11</w:t>
                        </w:r>
                      </w:p>
                    </w:txbxContent>
                  </v:textbox>
                </v:rect>
                <v:rect id="Rectangle 148" o:spid="_x0000_s1109" style="position:absolute;left:52679;top:14605;width:2254;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0,60</w:t>
                        </w:r>
                      </w:p>
                    </w:txbxContent>
                  </v:textbox>
                </v:rect>
                <v:rect id="Rectangle 149" o:spid="_x0000_s1110" style="position:absolute;left:44545;top:16376;width:3511;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70 125</w:t>
                        </w:r>
                      </w:p>
                    </w:txbxContent>
                  </v:textbox>
                </v:rect>
                <v:rect id="Rectangle 150" o:spid="_x0000_s1111" style="position:absolute;left:51790;top:16376;width:415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962E44" w:rsidRDefault="00962E44">
                        <w:r>
                          <w:rPr>
                            <w:rFonts w:ascii="Calibri" w:hAnsi="Calibri" w:cs="Calibri"/>
                            <w:color w:val="000000"/>
                            <w:sz w:val="20"/>
                            <w:szCs w:val="20"/>
                            <w:lang w:val="en-US"/>
                          </w:rPr>
                          <w:t>400 714</w:t>
                        </w:r>
                      </w:p>
                    </w:txbxContent>
                  </v:textbox>
                </v:rect>
                <v:rect id="Rectangle 151" o:spid="_x0000_s1112" style="position:absolute;left:44189;top:18230;width:4153;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962E44" w:rsidRDefault="00962E44">
                        <w:r>
                          <w:rPr>
                            <w:rFonts w:ascii="Calibri" w:hAnsi="Calibri" w:cs="Calibri"/>
                            <w:b/>
                            <w:bCs/>
                            <w:color w:val="000000"/>
                            <w:sz w:val="20"/>
                            <w:szCs w:val="20"/>
                            <w:lang w:val="en-US"/>
                          </w:rPr>
                          <w:t>981 750</w:t>
                        </w:r>
                      </w:p>
                    </w:txbxContent>
                  </v:textbox>
                </v:rect>
                <v:rect id="Rectangle 152" o:spid="_x0000_s1113" style="position:absolute;left:51352;top:18230;width:5086;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962E44" w:rsidRDefault="00962E44">
                        <w:r>
                          <w:rPr>
                            <w:rFonts w:ascii="Calibri" w:hAnsi="Calibri" w:cs="Calibri"/>
                            <w:b/>
                            <w:bCs/>
                            <w:color w:val="000000"/>
                            <w:sz w:val="20"/>
                            <w:szCs w:val="20"/>
                            <w:lang w:val="en-US"/>
                          </w:rPr>
                          <w:t>5 610 000</w:t>
                        </w:r>
                      </w:p>
                    </w:txbxContent>
                  </v:textbox>
                </v:rect>
                <v:rect id="Rectangle 153" o:spid="_x0000_s1114" style="position:absolute;left:266;top:177;width:3031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962E44" w:rsidRDefault="00962E44">
                        <w:r>
                          <w:rPr>
                            <w:rFonts w:ascii="Calibri" w:hAnsi="Calibri" w:cs="Calibri"/>
                            <w:b/>
                            <w:bCs/>
                            <w:color w:val="000000"/>
                            <w:sz w:val="20"/>
                            <w:szCs w:val="20"/>
                            <w:lang w:val="en-US"/>
                          </w:rPr>
                          <w:t>Navýšení nákladů KÚ v 1. roce od účinnosti zákona (2015)</w:t>
                        </w:r>
                      </w:p>
                    </w:txbxContent>
                  </v:textbox>
                </v:rect>
                <v:rect id="Rectangle 154" o:spid="_x0000_s1115" style="position:absolute;left:266;top:2038;width:31299;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962E44" w:rsidRDefault="00962E44">
                        <w:r>
                          <w:rPr>
                            <w:rFonts w:ascii="Calibri" w:hAnsi="Calibri" w:cs="Calibri"/>
                            <w:color w:val="000000"/>
                            <w:sz w:val="20"/>
                            <w:szCs w:val="20"/>
                            <w:lang w:val="en-US"/>
                          </w:rPr>
                          <w:t>počet povolení navíc (2016-2019, neomezené, nedohledané)</w:t>
                        </w:r>
                      </w:p>
                    </w:txbxContent>
                  </v:textbox>
                </v:rect>
                <v:rect id="Rectangle 155" o:spid="_x0000_s1116" style="position:absolute;left:49053;top:1949;width:193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425</w:t>
                        </w:r>
                      </w:p>
                    </w:txbxContent>
                  </v:textbox>
                </v:rect>
                <v:rect id="Rectangle 156" o:spid="_x0000_s1117" style="position:absolute;left:266;top:3803;width:6572;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platová třída</w:t>
                        </w:r>
                      </w:p>
                    </w:txbxContent>
                  </v:textbox>
                </v:rect>
                <v:rect id="Rectangle 157" o:spid="_x0000_s1118" style="position:absolute;left:49409;top:3714;width:128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962E44" w:rsidRDefault="00962E44">
                        <w:r>
                          <w:rPr>
                            <w:rFonts w:ascii="Calibri" w:hAnsi="Calibri" w:cs="Calibri"/>
                            <w:color w:val="000000"/>
                            <w:sz w:val="20"/>
                            <w:szCs w:val="20"/>
                            <w:lang w:val="en-US"/>
                          </w:rPr>
                          <w:t>11</w:t>
                        </w:r>
                      </w:p>
                    </w:txbxContent>
                  </v:textbox>
                </v:rect>
                <v:rect id="Rectangle 158" o:spid="_x0000_s1119" style="position:absolute;left:266;top:5575;width:17406;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962E44" w:rsidRDefault="00962E44">
                        <w:r>
                          <w:rPr>
                            <w:rFonts w:ascii="Calibri" w:hAnsi="Calibri" w:cs="Calibri"/>
                            <w:color w:val="000000"/>
                            <w:sz w:val="20"/>
                            <w:szCs w:val="20"/>
                            <w:lang w:val="en-US"/>
                          </w:rPr>
                          <w:t>mzdové a režijní náklady (Kč/hod)</w:t>
                        </w:r>
                      </w:p>
                    </w:txbxContent>
                  </v:textbox>
                </v:rect>
                <v:rect id="Rectangle 159" o:spid="_x0000_s1120" style="position:absolute;left:49053;top:5575;width:1937;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330</w:t>
                        </w:r>
                      </w:p>
                    </w:txbxContent>
                  </v:textbox>
                </v:rect>
                <v:rect id="Rectangle 160" o:spid="_x0000_s1121" style="position:absolute;left:266;top:7435;width:692;height:20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962E44" w:rsidRDefault="00962E44"/>
                    </w:txbxContent>
                  </v:textbox>
                </v:rect>
                <v:rect id="Rectangle 161" o:spid="_x0000_s1122" style="position:absolute;left:266;top:9290;width:35382;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962E44" w:rsidRDefault="00962E44">
                        <w:r>
                          <w:rPr>
                            <w:rFonts w:ascii="Calibri" w:hAnsi="Calibri" w:cs="Calibri"/>
                            <w:color w:val="000000"/>
                            <w:sz w:val="20"/>
                            <w:szCs w:val="20"/>
                            <w:lang w:val="en-US"/>
                          </w:rPr>
                          <w:t>časová náročnost na vydání 1 povolení včetně místního šetření (hod)</w:t>
                        </w:r>
                      </w:p>
                    </w:txbxContent>
                  </v:textbox>
                </v:rect>
                <v:rect id="Rectangle 162" o:spid="_x0000_s1123" style="position:absolute;left:266;top:11061;width:34449;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časová náročnost na vydání povolení včetně místního šetření (hod)</w:t>
                        </w:r>
                      </w:p>
                    </w:txbxContent>
                  </v:textbox>
                </v:rect>
                <v:rect id="Rectangle 163" o:spid="_x0000_s1124" style="position:absolute;left:266;top:18230;width:3325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962E44" w:rsidRDefault="00962E44">
                        <w:r>
                          <w:rPr>
                            <w:rFonts w:ascii="Calibri" w:hAnsi="Calibri" w:cs="Calibri"/>
                            <w:b/>
                            <w:bCs/>
                            <w:color w:val="000000"/>
                            <w:sz w:val="20"/>
                            <w:szCs w:val="20"/>
                            <w:lang w:val="en-US"/>
                          </w:rPr>
                          <w:t>Celkové navýšení nákladů KÚ v 1. roce od účinnosti zákona (Kč)</w:t>
                        </w:r>
                      </w:p>
                    </w:txbxContent>
                  </v:textbox>
                </v:rect>
                <v:rect id="Rectangle 164" o:spid="_x0000_s1125" style="position:absolute;left:266;top:16376;width:39745;height:17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962E44" w:rsidRDefault="00962E44">
                        <w:r>
                          <w:rPr>
                            <w:rFonts w:ascii="Calibri" w:hAnsi="Calibri" w:cs="Calibri"/>
                            <w:color w:val="000000"/>
                            <w:sz w:val="20"/>
                            <w:szCs w:val="20"/>
                            <w:lang w:val="en-US"/>
                          </w:rPr>
                          <w:t>celkové průměrné navýšení nákladů KÚ v 1. roce od účinnosti zákona (Kč/KÚ)</w:t>
                        </w:r>
                      </w:p>
                    </w:txbxContent>
                  </v:textbox>
                </v:rect>
                <v:rect id="Rectangle 165" o:spid="_x0000_s1126" style="position:absolute;left:266;top:12833;width:24016;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962E44" w:rsidRDefault="00962E44">
                        <w:r>
                          <w:rPr>
                            <w:rFonts w:ascii="Calibri" w:hAnsi="Calibri" w:cs="Calibri"/>
                            <w:color w:val="000000"/>
                            <w:sz w:val="20"/>
                            <w:szCs w:val="20"/>
                            <w:lang w:val="en-US"/>
                          </w:rPr>
                          <w:t>průměrná výše pracovního úvazku na 14 KÚ (-)</w:t>
                        </w:r>
                      </w:p>
                    </w:txbxContent>
                  </v:textbox>
                </v:rect>
                <v:rect id="Rectangle 166" o:spid="_x0000_s1127" style="position:absolute;left:266;top:14605;width:23375;height:17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962E44" w:rsidRDefault="00962E44">
                        <w:r>
                          <w:rPr>
                            <w:rFonts w:ascii="Calibri" w:hAnsi="Calibri" w:cs="Calibri"/>
                            <w:color w:val="000000"/>
                            <w:sz w:val="20"/>
                            <w:szCs w:val="20"/>
                            <w:lang w:val="en-US"/>
                          </w:rPr>
                          <w:t>průměrná výše pracovního úvazku na 1 KÚ (-)</w:t>
                        </w:r>
                      </w:p>
                    </w:txbxContent>
                  </v:textbox>
                </v:rect>
                <v:line id="Line 167" o:spid="_x0000_s1128" style="position:absolute;flip:y;visibility:visible;mso-wrap-style:square" from="0,0" to="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EnwsQAAADbAAAADwAAAGRycy9kb3ducmV2LnhtbESPQWvCQBSE74X+h+UJvYhuDCgluorU&#10;lhbElka9P7LPJJh9G7JbN/57VxB6HGbmG2ax6k0jLtS52rKCyTgBQVxYXXOp4LD/GL2CcB5ZY2OZ&#10;FFzJwWr5/LTATNvAv3TJfSkihF2GCirv20xKV1Rk0I1tSxy9k+0M+ii7UuoOQ4SbRqZJMpMGa44L&#10;Fbb0VlFxzv+Mgu/hezhvdpPjNgzDJq1z/pltP5V6GfTrOQhPvf8PP9pfWsE0hfuX+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USfCxAAAANsAAAAPAAAAAAAAAAAA&#10;AAAAAKECAABkcnMvZG93bnJldi54bWxQSwUGAAAAAAQABAD5AAAAkgMAAAAA&#10;" strokecolor="#dadcdd" strokeweight="0"/>
                <v:rect id="Rectangle 168" o:spid="_x0000_s1129" style="position:absolute;top:-88;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MOcQA&#10;AADbAAAADwAAAGRycy9kb3ducmV2LnhtbESPQWsCMRSE7wX/Q3hCbzVrwa2sRtFCpVAQtCoeH5vn&#10;Jrh5WTap7v77Rij0OMzMN8x82bla3KgN1rOC8SgDQVx6bblScPj+eJmCCBFZY+2ZFPQUYLkYPM2x&#10;0P7OO7rtYyUShEOBCkyMTSFlKA05DCPfECfv4luHMcm2krrFe4K7Wr5mWS4dWk4LBht6N1Re9z9O&#10;wVd/ssdcj/F4Pm1787ZZW5ftlHoedqsZiEhd/A//tT+1gkkOj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gjDnEAAAA2wAAAA8AAAAAAAAAAAAAAAAAmAIAAGRycy9k&#10;b3ducmV2LnhtbFBLBQYAAAAABAAEAPUAAACJAwAAAAA=&#10;" fillcolor="#dadcdd" stroked="f"/>
                <v:rect id="Rectangle 169" o:spid="_x0000_s1130" style="position:absolute;left:88;top:-88;width:57538;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bpMMA&#10;AADbAAAADwAAAGRycy9kb3ducmV2LnhtbERPy2rCQBTdF/yH4Ra6ayaVWtLoKFoodFPwtai7a+aa&#10;BDN30plpEv16Z1FweTjv2WIwjejI+dqygpckBUFcWF1zqWC/+3zOQPiArLGxTAou5GExHz3MMNe2&#10;5w1121CKGMI+RwVVCG0upS8qMugT2xJH7mSdwRChK6V22Mdw08hxmr5JgzXHhgpb+qioOG//jILV&#10;e7b6Xb/y93VzPNDh53iejF2q1NPjsJyCCDSEu/jf/aUVTOLY+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ObpMMAAADbAAAADwAAAAAAAAAAAAAAAACYAgAAZHJzL2Rv&#10;d25yZXYueG1sUEsFBgAAAAAEAAQA9QAAAIgDAAAAAA==&#10;" fillcolor="black" stroked="f"/>
                <v:line id="Line 170" o:spid="_x0000_s1131" style="position:absolute;flip:y;visibility:visible;mso-wrap-style:square" from="57537,0" to="57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W1s8UAAADbAAAADwAAAGRycy9kb3ducmV2LnhtbESPQWvCQBSE74X+h+UJvYhuFJQaXaWo&#10;pQWxYtT7I/tMgtm3Ibt147/vFgo9DjPzDbNYdaYWd2pdZVnBaJiAIM6trrhQcD69D15BOI+ssbZM&#10;Ch7kYLV8flpgqm3gI90zX4gIYZeigtL7JpXS5SUZdEPbEEfvaluDPsq2kLrFEOGmluMkmUqDFceF&#10;Ehtal5Tfsm+j4Ku/DbfNfnTZhX7YjKuMD9Pdh1Ivve5tDsJT5//Df+1PrWAyg98v8Q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W1s8UAAADbAAAADwAAAAAAAAAA&#10;AAAAAAChAgAAZHJzL2Rvd25yZXYueG1sUEsFBgAAAAAEAAQA+QAAAJMDAAAAAA==&#10;" strokecolor="#dadcdd" strokeweight="0"/>
                <v:rect id="Rectangle 171" o:spid="_x0000_s1132" style="position:absolute;left:57537;top:-88;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7a8EA&#10;AADbAAAADwAAAGRycy9kb3ducmV2LnhtbERPyWrDMBC9B/IPYgK9JXJ6cItrOSSBlEChkJUeB2tq&#10;iVojYymJ/ffVodDj4+3lanCtuFMfrGcFy0UGgrj22nKj4HzazV9BhIissfVMCkYKsKqmkxIL7R98&#10;oPsxNiKFcChQgYmxK6QMtSGHYeE74sR9+95hTLBvpO7xkcJdK5+zLJcOLacGgx1tDdU/x5tT8DFe&#10;7SXXS7x8XT9H8/K+sS47KPU0G9ZvICIN8V/8595rBXlan76kHy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pe2vBAAAA2wAAAA8AAAAAAAAAAAAAAAAAmAIAAGRycy9kb3du&#10;cmV2LnhtbFBLBQYAAAAABAAEAPUAAACGAwAAAAA=&#10;" fillcolor="#dadcdd" stroked="f"/>
                <v:rect id="Rectangle 172" o:spid="_x0000_s1133" style="position:absolute;left:88;top:1771;width:5753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4hMUA&#10;AADbAAAADwAAAGRycy9kb3ducmV2LnhtbESPQWsCMRSE70L/Q3iF3tysoqKrUaog9FKo2kO9PTev&#10;u4ublzVJdfXXN4LgcZiZb5jZojW1OJPzlWUFvSQFQZxbXXGh4Hu37o5B+ICssbZMCq7kYTF/6cww&#10;0/bCGzpvQyEihH2GCsoQmkxKn5dk0Ce2IY7er3UGQ5SukNrhJcJNLftpOpIGK44LJTa0Kik/bv+M&#10;guVkvDx9Dfjztjnsaf9zOA77LlXq7bV9n4II1IZn+NH+0ApGPbh/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fiExQAAANsAAAAPAAAAAAAAAAAAAAAAAJgCAABkcnMv&#10;ZG93bnJldi54bWxQSwUGAAAAAAQABAD1AAAAigMAAAAA&#10;" fillcolor="black" stroked="f"/>
                <v:line id="Line 173" o:spid="_x0000_s1134" style="position:absolute;visibility:visible;mso-wrap-style:square" from="88,3625" to="42246,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FucQAAADbAAAADwAAAGRycy9kb3ducmV2LnhtbESPzWrDMBCE74W8g9hCb42cQB3HjRxC&#10;aUhzyy/0uFhbW9haGUtJ3LePCoUch5n5hlksB9uKK/XeOFYwGScgiEunDVcKTsf1awbCB2SNrWNS&#10;8EselsXoaYG5djfe0/UQKhEh7HNUUIfQ5VL6siaLfuw64uj9uN5iiLKvpO7xFuG2ldMkSaVFw3Gh&#10;xo4+aiqbw8UqMLt087adnedn+bkJk++syYw9KfXyPKzeQQQawiP83/7SCtI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8W5xAAAANsAAAAPAAAAAAAAAAAA&#10;AAAAAKECAABkcnMvZG93bnJldi54bWxQSwUGAAAAAAQABAD5AAAAkgMAAAAA&#10;" strokeweight="0"/>
                <v:rect id="Rectangle 174" o:spid="_x0000_s1135" style="position:absolute;left:88;top:3625;width:421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b98QA&#10;AADcAAAADwAAAGRycy9kb3ducmV2LnhtbERPz2vCMBS+C/sfwht403TFSdc1yhwIXgR1O8zba/PW&#10;FpuXLona+dcvh4HHj+93sRxMJy7kfGtZwdM0AUFcWd1yreDzYz3JQPiArLGzTAp+ycNy8TAqMNf2&#10;ynu6HEItYgj7HBU0IfS5lL5qyKCf2p44ct/WGQwRulpqh9cYbjqZJslcGmw5NjTY03tD1elwNgpW&#10;L9nqZzfj7W1fHun4VZ6eU5coNX4c3l5BBBrCXfzv3mgF6TyujWfi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h2/fEAAAA3AAAAA8AAAAAAAAAAAAAAAAAmAIAAGRycy9k&#10;b3ducmV2LnhtbFBLBQYAAAAABAAEAPUAAACJAwAAAAA=&#10;" fillcolor="black" stroked="f"/>
                <v:line id="Line 175" o:spid="_x0000_s1136" style="position:absolute;visibility:visible;mso-wrap-style:square" from="42424,3625" to="57448,3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ZTwcQAAADcAAAADwAAAGRycy9kb3ducmV2LnhtbESPT4vCMBTE7wt+h/AEb2uqYK1do4i4&#10;uHvzL+zx0TzbYPNSmqx2v/1GEDwOM/MbZr7sbC1u1HrjWMFomIAgLpw2XCo4HT/fMxA+IGusHZOC&#10;P/KwXPTe5phrd+c93Q6hFBHCPkcFVQhNLqUvKrLoh64hjt7FtRZDlG0pdYv3CLe1HCdJKi0ajgsV&#10;NrSuqLgefq0Cs0u3k+/peXaWm20Y/WTXzNiTUoN+t/oAEagLr/Cz/aUVjNMZPM7EIy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lPBxAAAANwAAAAPAAAAAAAAAAAA&#10;AAAAAKECAABkcnMvZG93bnJldi54bWxQSwUGAAAAAAQABAD5AAAAkgMAAAAA&#10;" strokeweight="0"/>
                <v:rect id="Rectangle 176" o:spid="_x0000_s1137" style="position:absolute;left:42424;top:3625;width:1502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5BLMMA&#10;AADcAAAADwAAAGRycy9kb3ducmV2LnhtbERPu27CMBTdK/UfrFuJrTiNgEKKQaUSEgsSrwG2S3yb&#10;RMTXqW0g8PV4QOp4dN7jaWtqcSHnK8sKProJCOLc6ooLBbvt/H0IwgdkjbVlUnAjD9PJ68sYM22v&#10;vKbLJhQihrDPUEEZQpNJ6fOSDPqubYgj92udwRChK6R2eI3hppZpkgykwYpjQ4kN/ZSUnzZno2A2&#10;Gs7+Vj1e3tfHAx32x1M/dYlSnbf2+wtEoDb8i5/uhVaQfs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5BLMMAAADcAAAADwAAAAAAAAAAAAAAAACYAgAAZHJzL2Rv&#10;d25yZXYueG1sUEsFBgAAAAAEAAQA9QAAAIgDAAAAAA==&#10;" fillcolor="black" stroked="f"/>
                <v:line id="Line 177" o:spid="_x0000_s1138" style="position:absolute;visibility:visible;mso-wrap-style:square" from="88,5397" to="42246,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nJGsQAAADcAAAADwAAAGRycy9kb3ducmV2LnhtbESPT4vCMBTE7wt+h/CEva1pBbVWo4go&#10;7t7Wf+Dx0TzbYPNSmqjdb79ZWPA4zMxvmPmys7V4UOuNYwXpIAFBXDhtuFRwOm4/MhA+IGusHZOC&#10;H/KwXPTe5phr9+Q9PQ6hFBHCPkcFVQhNLqUvKrLoB64hjt7VtRZDlG0pdYvPCLe1HCbJWFo0HBcq&#10;bGhdUXE73K0C8z3ejb4m5+lZbnYhvWS3zNiTUu/9bjUDEagLr/B/+1MrGE5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6ckaxAAAANwAAAAPAAAAAAAAAAAA&#10;AAAAAKECAABkcnMvZG93bnJldi54bWxQSwUGAAAAAAQABAD5AAAAkgMAAAAA&#10;" strokeweight="0"/>
                <v:rect id="Rectangle 178" o:spid="_x0000_s1139" style="position:absolute;left:88;top:5397;width:421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6wMYA&#10;AADcAAAADwAAAGRycy9kb3ducmV2LnhtbESPQWvCQBSE70L/w/IKvZlNg201ukoVCr0Iaj3o7Zl9&#10;TYLZt+nuVlN/vSsUPA4z8w0zmXWmESdyvras4DlJQRAXVtdcKth+ffSHIHxA1thYJgV/5GE2fehN&#10;MNf2zGs6bUIpIoR9jgqqENpcSl9UZNAntiWO3rd1BkOUrpTa4TnCTSOzNH2VBmuOCxW2tKioOG5+&#10;jYL5aDj/WQ14eVkf9rTfHY4vmUuVenrs3scgAnXhHv5vf2oF2Vs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B6wMYAAADcAAAADwAAAAAAAAAAAAAAAACYAgAAZHJz&#10;L2Rvd25yZXYueG1sUEsFBgAAAAAEAAQA9QAAAIsDAAAAAA==&#10;" fillcolor="black" stroked="f"/>
                <v:line id="Line 179" o:spid="_x0000_s1140" style="position:absolute;visibility:visible;mso-wrap-style:square" from="42424,5397" to="57448,5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fy9sQAAADcAAAADwAAAGRycy9kb3ducmV2LnhtbESPT4vCMBTE7wt+h/AEb2uqslqrUURc&#10;dG/+BY+P5tkGm5fSZLX77c3Cwh6HmfkNM1+2thIParxxrGDQT0AQ504bLhScT5/vKQgfkDVWjknB&#10;D3lYLjpvc8y0e/KBHsdQiAhhn6GCMoQ6k9LnJVn0fVcTR+/mGoshyqaQusFnhNtKDpNkLC0ajgsl&#10;1rQuKb8fv60Csx9vP74ml+lFbrZhcE3vqbFnpXrddjUDEagN/+G/9k4rGE5G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d/L2xAAAANwAAAAPAAAAAAAAAAAA&#10;AAAAAKECAABkcnMvZG93bnJldi54bWxQSwUGAAAAAAQABAD5AAAAkgMAAAAA&#10;" strokeweight="0"/>
                <v:rect id="Rectangle 180" o:spid="_x0000_s1141" style="position:absolute;left:42424;top:5397;width:1502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HL8cA&#10;AADcAAAADwAAAGRycy9kb3ducmV2LnhtbESPQWvCQBSE74L/YXmF3symQVtNXUWFQi8FtT3o7Zl9&#10;TYLZt3F3q7G/3hUKPQ4z8w0znXemEWdyvras4ClJQRAXVtdcKvj6fBuMQfiArLGxTAqu5GE+6/em&#10;mGt74Q2dt6EUEcI+RwVVCG0upS8qMugT2xJH79s6gyFKV0rt8BLhppFZmj5LgzXHhQpbWlVUHLc/&#10;RsFyMl6e1kP++N0c9rTfHY6jzKVKPT50i1cQgbrwH/5rv2sF2cs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1Ry/HAAAA3AAAAA8AAAAAAAAAAAAAAAAAmAIAAGRy&#10;cy9kb3ducmV2LnhtbFBLBQYAAAAABAAEAPUAAACMAwAAAAA=&#10;" fillcolor="black" stroked="f"/>
                <v:rect id="Rectangle 181" o:spid="_x0000_s1142" style="position:absolute;left:88;top:7169;width:5753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182" o:spid="_x0000_s1143" style="position:absolute;visibility:visible;mso-wrap-style:square" from="49936,7346" to="49936,9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BRbsQAAADcAAAADwAAAGRycy9kb3ducmV2LnhtbESPT4vCMBTE7wt+h/CEva2pgrVWo4is&#10;uN7Wf+Dx0TzbYPNSmqx2v/1GWPA4zMxvmPmys7W4U+uNYwXDQQKCuHDacKngdNx8ZCB8QNZYOyYF&#10;v+Rhuei9zTHX7sF7uh9CKSKEfY4KqhCaXEpfVGTRD1xDHL2ray2GKNtS6hYfEW5rOUqSVFo0HBcq&#10;bGhdUXE7/FgF5jvdjneT8/QsP7dheMlumbEnpd773WoGIlAXXuH/9pdWMJqk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AFFuxAAAANwAAAAPAAAAAAAAAAAA&#10;AAAAAKECAABkcnMvZG93bnJldi54bWxQSwUGAAAAAAQABAD5AAAAkgMAAAAA&#10;" strokeweight="0"/>
                <v:rect id="Rectangle 183" o:spid="_x0000_s1144" style="position:absolute;left:49936;top:7346;width:8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rect id="Rectangle 184" o:spid="_x0000_s1145" style="position:absolute;left:88;top:9029;width:5753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hNKsMA&#10;AADcAAAADwAAAGRycy9kb3ducmV2LnhtbERPu27CMBTdK/UfrFuJrTiNgEKKQaUSEgsSrwG2S3yb&#10;RMTXqW0g8PV4QOp4dN7jaWtqcSHnK8sKProJCOLc6ooLBbvt/H0IwgdkjbVlUnAjD9PJ68sYM22v&#10;vKbLJhQihrDPUEEZQpNJ6fOSDPqubYgj92udwRChK6R2eI3hppZpkgykwYpjQ4kN/ZSUnzZno2A2&#10;Gs7+Vj1e3tfHAx32x1M/dYlSnbf2+wtEoDb8i5/uhVaQfsa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hNKsMAAADcAAAADwAAAAAAAAAAAAAAAACYAgAAZHJzL2Rv&#10;d25yZXYueG1sUEsFBgAAAAAEAAQA9QAAAIgDAAAAAA==&#10;" fillcolor="black" stroked="f"/>
                <v:line id="Line 185" o:spid="_x0000_s1146" style="position:absolute;visibility:visible;mso-wrap-style:square" from="88,10883" to="42246,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HMUAAADcAAAADwAAAGRycy9kb3ducmV2LnhtbESPQWvCQBSE74X+h+UVeqsbA2qSuoqI&#10;Yntro4LHR/Y1Wcy+Ddk1pv++Wyj0OMzMN8xyPdpWDNR741jBdJKAIK6cNlwrOB33LxkIH5A1to5J&#10;wTd5WK8eH5ZYaHfnTxrKUIsIYV+ggiaErpDSVw1Z9BPXEUfvy/UWQ5R9LXWP9wi3rUyTZC4tGo4L&#10;DXa0bai6ljerwHzMD7P3xTk/y90hTC/ZNTP2pNTz07h5BRFoDP/hv/abVpAucv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FHMUAAADcAAAADwAAAAAAAAAA&#10;AAAAAAChAgAAZHJzL2Rvd25yZXYueG1sUEsFBgAAAAAEAAQA+QAAAJMDAAAAAA==&#10;" strokeweight="0"/>
                <v:rect id="Rectangle 186" o:spid="_x0000_s1147" style="position:absolute;left:88;top:10883;width:421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xC8QA&#10;AADcAAAADwAAAGRycy9kb3ducmV2LnhtbERPz2vCMBS+D/wfwhN2m6llG7Waig4GuwzUedDbs3m2&#10;pc1LTTLt9tebw2DHj+/3YjmYTlzJ+caygukkAUFcWt1wpWD/9f6UgfABWWNnmRT8kIdlMXpYYK7t&#10;jbd03YVKxBD2OSqoQ+hzKX1Zk0E/sT1x5M7WGQwRukpqh7cYbjqZJsmrNNhwbKixp7eaynb3bRSs&#10;Z9n6snnmz9/t6UjHw6l9SV2i1ON4WM1BBBrCv/jP/aEVpFmcH8/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MQvEAAAA3AAAAA8AAAAAAAAAAAAAAAAAmAIAAGRycy9k&#10;b3ducmV2LnhtbFBLBQYAAAAABAAEAPUAAACJAwAAAAA=&#10;" fillcolor="black" stroked="f"/>
                <v:line id="Line 187" o:spid="_x0000_s1148" style="position:absolute;visibility:visible;mso-wrap-style:square" from="42424,10883" to="57448,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y5PcUAAADcAAAADwAAAGRycy9kb3ducmV2LnhtbESPT2vCQBTE7wW/w/IKvdVNhNqYuhER&#10;Rb21/oEeH9nXZEn2bciuGr+9Wyj0OMzMb5j5YrCtuFLvjWMF6TgBQVw6bbhScDpuXjMQPiBrbB2T&#10;gjt5WBSjpznm2t34i66HUIkIYZ+jgjqELpfSlzVZ9GPXEUfvx/UWQ5R9JXWPtwi3rZwkyVRaNBwX&#10;auxoVVPZHC5Wgfmcbt/27+fZWa63If3OmszYk1Ivz8PyA0SgIfyH/9o7rWCSpfB7Jh4BWT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y5PcUAAADcAAAADwAAAAAAAAAA&#10;AAAAAAChAgAAZHJzL2Rvd25yZXYueG1sUEsFBgAAAAAEAAQA+QAAAJMDAAAAAA==&#10;" strokeweight="0"/>
                <v:rect id="Rectangle 188" o:spid="_x0000_s1149" style="position:absolute;left:42424;top:10883;width:1502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K58YA&#10;AADcAAAADwAAAGRycy9kb3ducmV2LnhtbESPQWvCQBSE74L/YXlCb7ppaEuMrqKC0Euhag/19sy+&#10;JsHs27i71eiv7xYEj8PMfMNM551pxJmcry0reB4lIIgLq2suFXzt1sMMhA/IGhvLpOBKHuazfm+K&#10;ubYX3tB5G0oRIexzVFCF0OZS+qIig35kW+Lo/VhnMETpSqkdXiLcNDJNkjdpsOa4UGFLq4qK4/bX&#10;KFiOs+Xp84U/bpvDnvbfh+Nr6hKlngbdYgIiUBce4Xv7XStIsxT+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UK58YAAADcAAAADwAAAAAAAAAAAAAAAACYAgAAZHJz&#10;L2Rvd25yZXYueG1sUEsFBgAAAAAEAAQA9QAAAIsDAAAAAA==&#10;" fillcolor="black" stroked="f"/>
                <v:line id="Line 189" o:spid="_x0000_s1150" style="position:absolute;visibility:visible;mso-wrap-style:square" from="88,12655" to="42246,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C0cUAAADcAAAADwAAAGRycy9kb3ducmV2LnhtbESPQWvCQBSE74X+h+UVvDUbFW2MrlJK&#10;xfZmYwSPj+xrsph9G7Krxn/fLRR6HGbmG2a1GWwrrtR741jBOElBEFdOG64VlIftcwbCB2SNrWNS&#10;cCcPm/Xjwwpz7W78Rdci1CJC2OeooAmhy6X0VUMWfeI64uh9u95iiLKvpe7xFuG2lZM0nUuLhuNC&#10;gx29NVSdi4tVYPbz3ezz5bg4yvddGJ+yc2ZsqdToaXhdggg0hP/wX/tDK5hkU/g9E4+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KC0cUAAADcAAAADwAAAAAAAAAA&#10;AAAAAAChAgAAZHJzL2Rvd25yZXYueG1sUEsFBgAAAAAEAAQA+QAAAJMDAAAAAA==&#10;" strokeweight="0"/>
                <v:rect id="Rectangle 190" o:spid="_x0000_s1151" style="position:absolute;left:88;top:12655;width:421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3CMYA&#10;AADcAAAADwAAAGRycy9kb3ducmV2LnhtbESPQWvCQBSE74X+h+UVvDWbBlvS6CpVEHopqO2h3p7Z&#10;ZxLMvo27W43++q4geBxm5htmPO1NK47kfGNZwUuSgiAurW64UvDzvXjOQfiArLG1TArO5GE6eXwY&#10;Y6HtiVd0XIdKRAj7AhXUIXSFlL6syaBPbEccvZ11BkOUrpLa4SnCTSuzNH2TBhuOCzV2NK+p3K//&#10;jILZez47LIf8dVltN7T53e5fM5cqNXjqP0YgAvXhHr61P7WCLB/C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A3CMYAAADcAAAADwAAAAAAAAAAAAAAAACYAgAAZHJz&#10;L2Rvd25yZXYueG1sUEsFBgAAAAAEAAQA9QAAAIsDAAAAAA==&#10;" fillcolor="black" stroked="f"/>
                <v:line id="Line 191" o:spid="_x0000_s1152" style="position:absolute;visibility:visible;mso-wrap-style:square" from="42424,12655" to="57448,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PsUAAADcAAAADwAAAGRycy9kb3ducmV2LnhtbESPQWvCQBSE7wX/w/IEb81GQZumriJS&#10;ib21qUKPj+xrsph9G7JbE/99t1DwOMzMN8x6O9pWXKn3xrGCeZKCIK6cNlwrOH0eHjMQPiBrbB2T&#10;ght52G4mD2vMtRv4g65lqEWEsM9RQRNCl0vpq4Ys+sR1xNH7dr3FEGVfS93jEOG2lYs0XUmLhuNC&#10;gx3tG6ou5Y9VYN5XxfLt6fx8lq9FmH9ll8zYk1Kz6bh7ARFoDPfwf/uoFSyyJfydi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e/PsUAAADcAAAADwAAAAAAAAAA&#10;AAAAAAChAgAAZHJzL2Rvd25yZXYueG1sUEsFBgAAAAAEAAQA+QAAAJMDAAAAAA==&#10;" strokeweight="0"/>
                <v:rect id="Rectangle 192" o:spid="_x0000_s1153" style="position:absolute;left:42424;top:12655;width:1502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M5MYA&#10;AADcAAAADwAAAGRycy9kb3ducmV2LnhtbESPQWvCQBSE7wX/w/KE3urGUCVGV9FCwYugtge9PbPP&#10;JJh9m+5uNfbXu4VCj8PMfMPMFp1pxJWcry0rGA4SEMSF1TWXCj4/3l8yED4ga2wsk4I7eVjMe08z&#10;zLW98Y6u+1CKCGGfo4IqhDaX0hcVGfQD2xJH72ydwRClK6V2eItw08g0ScbSYM1xocKW3ioqLvtv&#10;o2A1yVZf21fe/OxORzoeTpdR6hKlnvvdcgoiUBf+w3/ttVaQZm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M5MYAAADcAAAADwAAAAAAAAAAAAAAAACYAgAAZHJz&#10;L2Rvd25yZXYueG1sUEsFBgAAAAAEAAQA9QAAAIsDAAAAAA==&#10;" fillcolor="black" stroked="f"/>
                <v:line id="Line 193" o:spid="_x0000_s1154" style="position:absolute;visibility:visible;mso-wrap-style:square" from="88,14427" to="42246,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mE0sUAAADcAAAADwAAAGRycy9kb3ducmV2LnhtbESPzWrDMBCE74W8g9hAb42cQGzXjWJC&#10;aEh7a/6gx8Xa2sLWylhq4r59VSjkOMzMN8yqHG0nrjR441jBfJaAIK6cNlwrOJ92TzkIH5A1do5J&#10;wQ95KNeThxUW2t34QNdjqEWEsC9QQRNCX0jpq4Ys+pnriaP35QaLIcqhlnrAW4TbTi6SJJUWDceF&#10;BnvaNlS1x2+rwHyk++V7dnm+yNd9mH/mbW7sWanH6bh5ARFoDPfwf/tNK1jkGfydi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mE0sUAAADcAAAADwAAAAAAAAAA&#10;AAAAAAChAgAAZHJzL2Rvd25yZXYueG1sUEsFBgAAAAAEAAQA+QAAAJMDAAAAAA==&#10;" strokeweight="0"/>
                <v:rect id="Rectangle 194" o:spid="_x0000_s1155" style="position:absolute;left:88;top:14427;width:421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9RGcEA&#10;AADbAAAADwAAAGRycy9kb3ducmV2LnhtbERPTYvCMBC9C/sfwgjeNFVUtBplFQQvwuruQW9jM7bF&#10;ZlKTqHV//eaw4PHxvufLxlTiQc6XlhX0ewkI4szqknMFP9+b7gSED8gaK8uk4EUelouP1hxTbZ+8&#10;p8ch5CKGsE9RQRFCnUrps4IM+p6tiSN3sc5giNDlUjt8xnBTyUGSjKXBkmNDgTWtC8quh7tRsJpO&#10;VrevIe9+9+cTnY7n62jgEqU67eZzBiJQE97if/dWKxjHsfFL/A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RnBAAAA2wAAAA8AAAAAAAAAAAAAAAAAmAIAAGRycy9kb3du&#10;cmV2LnhtbFBLBQYAAAAABAAEAPUAAACGAwAAAAA=&#10;" fillcolor="black" stroked="f"/>
                <v:line id="Line 195" o:spid="_x0000_s1156" style="position:absolute;visibility:visible;mso-wrap-style:square" from="42424,14427" to="57448,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TZMIAAADbAAAADwAAAGRycy9kb3ducmV2LnhtbESPQYvCMBSE78L+h/AWvGmqsFqrUZbF&#10;Rb25roLHR/Nsg81LaaLWf28EweMwM98ws0VrK3GlxhvHCgb9BARx7rThQsH+/7eXgvABWWPlmBTc&#10;ycNi/tGZYabdjf/ouguFiBD2GSooQ6gzKX1ekkXfdzVx9E6usRiibAqpG7xFuK3kMElG0qLhuFBi&#10;TT8l5efdxSow29HqazM+TA5yuQqDY3pOjd0r1f1sv6cgArXhHX6111rBeAj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ZTZMIAAADbAAAADwAAAAAAAAAAAAAA&#10;AAChAgAAZHJzL2Rvd25yZXYueG1sUEsFBgAAAAAEAAQA+QAAAJADAAAAAA==&#10;" strokeweight="0"/>
                <v:rect id="Rectangle 196" o:spid="_x0000_s1157" style="position:absolute;left:42424;top:14427;width:1502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JVtcYA&#10;AADbAAAADwAAAGRycy9kb3ducmV2LnhtbESPzWsCMRTE7wX/h/AEbzXrR1u7NYoKBS8FP3qot+fm&#10;dXdx87Imqa7+9UYoeBxm5jfMeNqYSpzI+dKygl43AUGcWV1yruB7+/k8AuEDssbKMim4kIfppPU0&#10;xlTbM6/ptAm5iBD2KSooQqhTKX1WkEHftTVx9H6tMxiidLnUDs8RbirZT5JXabDkuFBgTYuCssPm&#10;zyiYv4/mx9WQv67r/Y52P/vDS98lSnXazewDRKAmPML/7aVW8DaA+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JVtcYAAADbAAAADwAAAAAAAAAAAAAAAACYAgAAZHJz&#10;L2Rvd25yZXYueG1sUEsFBgAAAAAEAAQA9QAAAIsDAAAAAA==&#10;" fillcolor="black" stroked="f"/>
                <v:line id="Line 197" o:spid="_x0000_s1158" style="position:absolute;visibility:visible;mso-wrap-style:square" from="88,16198" to="42246,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Nui8QAAADbAAAADwAAAGRycy9kb3ducmV2LnhtbESPQWvCQBSE70L/w/IKvdWNpZo0dQ1F&#10;FOvNWoUeH9nXZDH7NmTXGP99Vyh4HGbmG2ZeDLYRPXXeOFYwGScgiEunDVcKDt/r5wyED8gaG8ek&#10;4EoeisXDaI65dhf+on4fKhEh7HNUUIfQ5lL6siaLfuxa4uj9us5iiLKrpO7wEuG2kS9JMpMWDceF&#10;Glta1lSe9merwOxmm+k2Pb4d5WoTJj/ZKTP2oNTT4/DxDiLQEO7h//anVpC+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26LxAAAANsAAAAPAAAAAAAAAAAA&#10;AAAAAKECAABkcnMvZG93bnJldi54bWxQSwUGAAAAAAQABAD5AAAAkgMAAAAA&#10;" strokeweight="0"/>
                <v:rect id="Rectangle 198" o:spid="_x0000_s1159" style="position:absolute;left:88;top:16198;width:421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oWsYA&#10;AADbAAAADwAAAGRycy9kb3ducmV2LnhtbESPT2vCQBTE74V+h+UVvNVNRa2mWaUKhV4K/jvo7Zl9&#10;TYLZt3F3G9N+elcQehxm5jdMNu9MLVpyvrKs4KWfgCDOra64ULDbfjxPQPiArLG2TAp+ycN89viQ&#10;YarthdfUbkIhIoR9igrKEJpUSp+XZND3bUMcvW/rDIYoXSG1w0uEm1oOkmQsDVYcF0psaFlSftr8&#10;GAWL6WRxXg356299PNBhfzyNBi5RqvfUvb+BCNSF//C9/akVvI7g9iX+AD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doWsYAAADbAAAADwAAAAAAAAAAAAAAAACYAgAAZHJz&#10;L2Rvd25yZXYueG1sUEsFBgAAAAAEAAQA9QAAAIsDAAAAAA==&#10;" fillcolor="black" stroked="f"/>
                <v:line id="Line 199" o:spid="_x0000_s1160" style="position:absolute;visibility:visible;mso-wrap-style:square" from="42424,16198" to="57448,1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Hw/MQAAADbAAAADwAAAGRycy9kb3ducmV2LnhtbESPT2vCQBTE7wW/w/KE3upGQROjGxGp&#10;2N5a/4DHR/aZLMm+Ddmtpt++Wyj0OMzMb5j1ZrCtuFPvjWMF00kCgrh02nCl4Hzav2QgfEDW2Dom&#10;Bd/kYVOMntaYa/fgT7ofQyUihH2OCuoQulxKX9Zk0U9cRxy9m+sthij7SuoeHxFuWzlLkoW0aDgu&#10;1NjRrqayOX5ZBeZjcZi/p5flRb4ewvSaNZmxZ6Wex8N2BSLQEP7Df+03rSBN4fdL/AG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sfD8xAAAANsAAAAPAAAAAAAAAAAA&#10;AAAAAKECAABkcnMvZG93bnJldi54bWxQSwUGAAAAAAQABAD5AAAAkgMAAAAA&#10;" strokeweight="0"/>
                <v:rect id="Rectangle 200" o:spid="_x0000_s1161" style="position:absolute;left:42424;top:16198;width:1502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1MYA&#10;AADbAAAADwAAAGRycy9kb3ducmV2LnhtbESPQWvCQBSE74X+h+UVvNWNQUWja6iFQi9CtT3o7Zl9&#10;JiHZt+nuVtP+ercgeBxm5htmmfemFWdyvrasYDRMQBAXVtdcKvj6fHuegfABWWNrmRT8kod89fiw&#10;xEzbC2/pvAuliBD2GSqoQugyKX1RkUE/tB1x9E7WGQxRulJqh5cIN61Mk2QqDdYcFyrs6LWiotn9&#10;GAXr+Wz9/THmzd/2eKDD/thMUpcoNXjqXxYgAvXhHr6137WCeQr/X+IP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1MYAAADbAAAADwAAAAAAAAAAAAAAAACYAgAAZHJz&#10;L2Rvd25yZXYueG1sUEsFBgAAAAAEAAQA9QAAAIsDAAAAAA==&#10;" fillcolor="black" stroked="f"/>
                <v:line id="Line 201" o:spid="_x0000_s1162" style="position:absolute;visibility:visible;mso-wrap-style:square" from="49936,9207" to="49936,17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QBcQAAADbAAAADwAAAGRycy9kb3ducmV2LnhtbESPQWvCQBSE70L/w/IKvenGFm2MrlJK&#10;i3qzUcHjI/tMFrNvQ3ar8d+7guBxmJlvmNmis7U4U+uNYwXDQQKCuHDacKlgt/3tpyB8QNZYOyYF&#10;V/KwmL/0Zphpd+E/OuehFBHCPkMFVQhNJqUvKrLoB64hjt7RtRZDlG0pdYuXCLe1fE+SsbRoOC5U&#10;2NB3RcUp/7cKzGa8HK0/95O9/FmG4SE9pcbulHp77b6mIAJ14Rl+tFdaweQD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hhAFxAAAANsAAAAPAAAAAAAAAAAA&#10;AAAAAKECAABkcnMvZG93bnJldi54bWxQSwUGAAAAAAQABAD5AAAAkgMAAAAA&#10;" strokeweight="0"/>
                <v:rect id="Rectangle 202" o:spid="_x0000_s1163" style="position:absolute;left:49936;top:9207;width:89;height:8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rO8YA&#10;AADbAAAADwAAAGRycy9kb3ducmV2LnhtbESPQWvCQBSE74X+h+UVvDWbihWNWaUWBC+Faj3o7SX7&#10;TILZt+nuqml/vVsQehxm5hsmX/SmFRdyvrGs4CVJQRCXVjdcKdh9rZ4nIHxA1thaJgU/5GExf3zI&#10;MdP2yhu6bEMlIoR9hgrqELpMSl/WZNAntiOO3tE6gyFKV0nt8BrhppXDNB1Lgw3HhRo7eq+pPG3P&#10;RsFyOll+f47443dTHOiwL06vQ5cqNXjq32YgAvXhP3xvr7WC6Qj+vs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crO8YAAADbAAAADwAAAAAAAAAAAAAAAACYAgAAZHJz&#10;L2Rvd25yZXYueG1sUEsFBgAAAAAEAAQA9QAAAIsDAAAAAA==&#10;" fillcolor="black" stroked="f"/>
                <v:rect id="Rectangle 203" o:spid="_x0000_s1164" style="position:absolute;left:88;top:17964;width:5753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OoMUA&#10;AADbAAAADwAAAGRycy9kb3ducmV2LnhtbESPQWsCMRSE70L/Q3iF3txsRUVXo1RB6KWgtod6e26e&#10;u4ublzVJdfXXG0HocZiZb5jpvDW1OJPzlWUF70kKgji3uuJCwc/3qjsC4QOyxtoyKbiSh/nspTPF&#10;TNsLb+i8DYWIEPYZKihDaDIpfV6SQZ/Yhjh6B+sMhihdIbXDS4SbWvbSdCgNVhwXSmxoWVJ+3P4Z&#10;BYvxaHFa9/nrttnvaPe7Pw56LlXq7bX9mIAI1Ib/8LP9qRWMB/D4En+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46gxQAAANsAAAAPAAAAAAAAAAAAAAAAAJgCAABkcnMv&#10;ZG93bnJldi54bWxQSwUGAAAAAAQABAD1AAAAigMAAAAA&#10;" fillcolor="black" stroked="f"/>
                <v:rect id="Rectangle 204" o:spid="_x0000_s1165" style="position:absolute;left:-88;top:-88;width:176;height:20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94c8QA&#10;AADcAAAADwAAAGRycy9kb3ducmV2LnhtbERPz2vCMBS+D/wfwhN2W1NlOq2NooPBLoPpdpi31+bZ&#10;FpuXmmRa99cvB8Hjx/c7X/WmFWdyvrGsYJSkIIhLqxuuFHx/vT3NQPiArLG1TAqu5GG1HDzkmGl7&#10;4S2dd6ESMYR9hgrqELpMSl/WZNAntiOO3ME6gyFCV0nt8BLDTSvHaTqVBhuODTV29FpTedz9GgWb&#10;+Wxz+nzmj79tsaf9T3GcjF2q1OOwXy9ABOrDXXxzv2sFL9O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eHPEAAAA3AAAAA8AAAAAAAAAAAAAAAAAmAIAAGRycy9k&#10;b3ducmV2LnhtbFBLBQYAAAAABAAEAPUAAACJAwAAAAA=&#10;" fillcolor="black" stroked="f"/>
                <v:rect id="Rectangle 205" o:spid="_x0000_s1166" style="position:absolute;left:42246;top:1949;width:178;height:180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206" o:spid="_x0000_s1167" style="position:absolute;visibility:visible;mso-wrap-style:square" from="49936,18141" to="49936,19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vPBcIAAADcAAAADwAAAGRycy9kb3ducmV2LnhtbERPz2vCMBS+C/sfwhN207SD2a4aZYyN&#10;bjd1Ch4fzbMNNi+lydruv18OA48f3+/NbrKtGKj3xrGCdJmAIK6cNlwrOH1/LHIQPiBrbB2Tgl/y&#10;sNs+zDZYaDfygYZjqEUMYV+ggiaErpDSVw1Z9EvXEUfu6nqLIcK+lrrHMYbbVj4lyUpaNBwbGuzo&#10;raHqdvyxCsx+VT5/ZeeXs3wvQ3rJb7mxJ6Ue59PrGkSgKdzF/+5PrSDL4vx4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MvPBcIAAADcAAAADwAAAAAAAAAAAAAA&#10;AAChAgAAZHJzL2Rvd25yZXYueG1sUEsFBgAAAAAEAAQA+QAAAJADAAAAAA==&#10;" strokeweight="0"/>
                <v:rect id="Rectangle 207" o:spid="_x0000_s1168" style="position:absolute;left:49936;top:18141;width:89;height:1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rect id="Rectangle 208" o:spid="_x0000_s1169" style="position:absolute;left:88;top:19824;width:5753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7ZR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jMcp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2UTHAAAA3AAAAA8AAAAAAAAAAAAAAAAAmAIAAGRy&#10;cy9kb3ducmV2LnhtbFBLBQYAAAAABAAEAPUAAACMAwAAAAA=&#10;" fillcolor="black" stroked="f"/>
                <v:rect id="Rectangle 209" o:spid="_x0000_s1170" style="position:absolute;left:57448;top:88;width:178;height:19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838cA&#10;AADcAAAADwAAAGRycy9kb3ducmV2LnhtbESPT2sCMRTE70K/Q3iCN82qterWKFUQehHqn4PenpvX&#10;3cXNy5pE3fbTN4VCj8PM/IaZLRpTiTs5X1pW0O8lIIgzq0vOFRz26+4EhA/IGivLpOCLPCzmT60Z&#10;pto+eEv3XchFhLBPUUERQp1K6bOCDPqerYmj92mdwRCly6V2+IhwU8lBkrxIgyXHhQJrWhWUXXY3&#10;o2A5nSyvH8+8+d6eT3Q6ni+jgUuU6rSbt1cQgZrwH/5rv2sF4/EQ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yfN/HAAAA3AAAAA8AAAAAAAAAAAAAAAAAmAIAAGRy&#10;cy9kb3ducmV2LnhtbFBLBQYAAAAABAAEAPUAAACMAwAAAAA=&#10;" fillcolor="black" stroked="f"/>
                <v:line id="Line 210" o:spid="_x0000_s1171" style="position:absolute;visibility:visible;mso-wrap-style:square" from="0,20002" to="6,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H0OMYAAADcAAAADwAAAGRycy9kb3ducmV2LnhtbESPT2vCQBTE74V+h+UVvIhu1FIlZpWS&#10;InjwUFPF6zP7mj/Nvg3ZVeO37wqFHoeZ+Q2TrHvTiCt1rrKsYDKOQBDnVldcKDh8bUYLEM4ja2ws&#10;k4I7OVivnp8SjLW98Z6umS9EgLCLUUHpfRtL6fKSDLqxbYmD9207gz7IrpC6w1uAm0ZOo+hNGqw4&#10;LJTYUlpS/pNdjILhaTGc4TGr00kxTan+3J0/9k6pwUv/vgThqff/4b/2ViuYz1/hcS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9DjGAAAA3AAAAA8AAAAAAAAA&#10;AAAAAAAAoQIAAGRycy9kb3ducmV2LnhtbFBLBQYAAAAABAAEAPkAAACUAwAAAAA=&#10;" strokecolor="#dadcdd" strokeweight="0"/>
                <v:rect id="Rectangle 211" o:spid="_x0000_s1172" style="position:absolute;top:20002;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qcMUA&#10;AADcAAAADwAAAGRycy9kb3ducmV2LnhtbESPUWvCMBSF3wf7D+EOfJupA610RpnChiAM1FX2eGnu&#10;mrDmpjSZtv9+EQQfD+ec73AWq9414kxdsJ4VTMYZCOLKa8u1gq/j+/McRIjIGhvPpGCgAKvl48MC&#10;C+0vvKfzIdYiQTgUqMDE2BZShsqQwzD2LXHyfnznMCbZ1VJ3eElw18iXLJtJh5bTgsGWNoaq38Of&#10;U7AbTrac6QmW36fPweQfa+uyvVKjp/7tFUSkPt7Dt/ZWK8jzK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upwxQAAANwAAAAPAAAAAAAAAAAAAAAAAJgCAABkcnMv&#10;ZG93bnJldi54bWxQSwUGAAAAAAQABAD1AAAAigMAAAAA&#10;" fillcolor="#dadcdd" stroked="f"/>
                <v:line id="Line 212" o:spid="_x0000_s1173" style="position:absolute;visibility:visible;mso-wrap-style:square" from="57537,20002" to="57543,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MUAAADcAAAADwAAAGRycy9kb3ducmV2LnhtbESPQYvCMBSE74L/ITzBi2iqgko1ytJF&#10;8OBB6y5en83btm7zUpqo3X+/EQSPw8x8w6w2ranEnRpXWlYwHkUgiDOrS84VfJ22wwUI55E1VpZJ&#10;wR852Ky7nRXG2j74SPfU5yJA2MWooPC+jqV0WUEG3cjWxMH7sY1BH2STS93gI8BNJSdRNJMGSw4L&#10;BdaUFJT9pjejYHBeDKb4nV6TcT5J6HrYXz6PTql+r/1YgvDU+nf41d5pBfP5DJ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MUAAADcAAAADwAAAAAAAAAA&#10;AAAAAAChAgAAZHJzL2Rvd25yZXYueG1sUEsFBgAAAAAEAAQA+QAAAJMDAAAAAA==&#10;" strokecolor="#dadcdd" strokeweight="0"/>
                <v:rect id="Rectangle 213" o:spid="_x0000_s1174" style="position:absolute;left:57537;top:2000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RnMQA&#10;AADcAAAADwAAAGRycy9kb3ducmV2LnhtbESPQWsCMRSE7wX/Q3iCt5q1B7esRlHBUhAEbRWPj81z&#10;E9y8LJtUd/+9KRR6HGbmG2a+7Fwt7tQG61nBZJyBIC69tlwp+P7avr6DCBFZY+2ZFPQUYLkYvMyx&#10;0P7BB7ofYyUShEOBCkyMTSFlKA05DGPfECfv6luHMcm2krrFR4K7Wr5l2VQ6tJwWDDa0MVTejj9O&#10;wa4/29NUT/B0Oe97k3+srcsOSo2G3WoGIlIX/8N/7U+tIM9z+D2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k0ZzEAAAA3AAAAA8AAAAAAAAAAAAAAAAAmAIAAGRycy9k&#10;b3ducmV2LnhtbFBLBQYAAAAABAAEAPUAAACJAwAAAAA=&#10;" fillcolor="#dadcdd" stroked="f"/>
                <v:line id="Line 214" o:spid="_x0000_s1175" style="position:absolute;visibility:visible;mso-wrap-style:square" from="42335,20002" to="42341,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z+PcQAAADcAAAADwAAAGRycy9kb3ducmV2LnhtbERPTWvCQBC9F/oflil4CXWjQiOpq5QU&#10;oQcPTVR6nWbHJJqdDdltkv777qHg8fG+N7vJtGKg3jWWFSzmMQji0uqGKwWn4/55DcJ5ZI2tZVLw&#10;Sw5228eHDabajpzTUPhKhBB2KSqove9SKV1Zk0E3tx1x4C62N+gD7CupexxDuGnlMo5fpMGGQ0ON&#10;HWU1lbfixyiIvtbRCs/FNVtUy4yun4fv99wpNXua3l5BeJr8Xfzv/tAKkiSsDWfC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P49xAAAANwAAAAPAAAAAAAAAAAA&#10;AAAAAKECAABkcnMvZG93bnJldi54bWxQSwUGAAAAAAQABAD5AAAAkgMAAAAA&#10;" strokecolor="#dadcdd" strokeweight="0"/>
                <v:rect id="Rectangle 215" o:spid="_x0000_s1176" style="position:absolute;left:42335;top:2000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gdcUA&#10;AADcAAAADwAAAGRycy9kb3ducmV2LnhtbESPQWsCMRSE70L/Q3gFb5rVg9tujVIFRRAK2io9Pjav&#10;m9DNy7KJuvvvTaHgcZiZb5j5snO1uFIbrGcFk3EGgrj02nKl4OtzM3oBESKyxtozKegpwHLxNJhj&#10;of2ND3Q9xkokCIcCFZgYm0LKUBpyGMa+IU7ej28dxiTbSuoWbwnuajnNspl0aDktGGxobaj8PV6c&#10;gn1/tqeZnuDp+/zRm3y7si47KDV87t7fQETq4iP8395pBXn+Cn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1xQAAANwAAAAPAAAAAAAAAAAAAAAAAJgCAABkcnMv&#10;ZG93bnJldi54bWxQSwUGAAAAAAQABAD1AAAAigMAAAAA&#10;" fillcolor="#dadcdd" stroked="f"/>
                <v:line id="Line 216" o:spid="_x0000_s1177" style="position:absolute;visibility:visible;mso-wrap-style:square" from="49936,20002" to="49942,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HMQAAADcAAAADwAAAGRycy9kb3ducmV2LnhtbERPTWvCQBC9F/wPywi9BLPRQhtiVikp&#10;BQ891FTxOmanSWx2NmRXk/777qHg8fG+8+1kOnGjwbWWFSzjBARxZXXLtYLD1/siBeE8ssbOMin4&#10;JQfbzewhx0zbkfd0K30tQgi7DBU03veZlK5qyKCLbU8cuG87GPQBDrXUA44h3HRylSTP0mDLoaHB&#10;noqGqp/yahREpzR6wmN5KZb1qqDL58f5be+UepxPr2sQniZ/F/+7d1rBSxrmh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4IcxAAAANwAAAAPAAAAAAAAAAAA&#10;AAAAAKECAABkcnMvZG93bnJldi54bWxQSwUGAAAAAAQABAD5AAAAkgMAAAAA&#10;" strokecolor="#dadcdd" strokeweight="0"/>
                <v:rect id="Rectangle 217" o:spid="_x0000_s1178" style="position:absolute;left:49936;top:2000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cVMQA&#10;AADcAAAADwAAAGRycy9kb3ducmV2LnhtbESPT2sCMRTE70K/Q3hCb5pdDyqrUWrBUhAE/9LjY/O6&#10;Cd28LJtUd7+9EQo9DjPzG2a57lwtbtQG61lBPs5AEJdeW64UnE/b0RxEiMgaa8+koKcA69XLYImF&#10;9nc+0O0YK5EgHApUYGJsCilDachhGPuGOHnfvnUYk2wrqVu8J7ir5STLptKh5bRgsKF3Q+XP8dcp&#10;2PVXe5nqHC9f131vZh8b67KDUq/D7m0BIlIX/8N/7U+tYDbP4Xk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nFTEAAAA3AAAAA8AAAAAAAAAAAAAAAAAmAIAAGRycy9k&#10;b3ducmV2LnhtbFBLBQYAAAAABAAEAPUAAACJAwAAAAA=&#10;" fillcolor="#dadcdd" stroked="f"/>
                <v:line id="Line 218" o:spid="_x0000_s1179" style="position:absolute;visibility:visible;mso-wrap-style:square" from="8928,20002" to="8934,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58MYAAADcAAAADwAAAGRycy9kb3ducmV2LnhtbESPT2vCQBTE70K/w/KEXqRuTEFDdCMl&#10;IvTQg6aWXl+zz/wx+zZkt5p+e7dQ6HGYmd8wm+1oOnGlwTWWFSzmEQji0uqGKwWn9/1TAsJ5ZI2d&#10;ZVLwQw622cNkg6m2Nz7StfCVCBB2KSqove9TKV1Zk0E3tz1x8M52MOiDHCqpB7wFuOlkHEVLabDh&#10;sFBjT3lN5aX4Ngpmn8nsGT+KNl9UcU7t4e1rd3RKPU7HlzUIT6P/D/+1X7WCVRLD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ufDGAAAA3AAAAA8AAAAAAAAA&#10;AAAAAAAAoQIAAGRycy9kb3ducmV2LnhtbFBLBQYAAAAABAAEAPkAAACUAwAAAAA=&#10;" strokecolor="#dadcdd" strokeweight="0"/>
                <v:rect id="Rectangle 219" o:spid="_x0000_s1180" style="position:absolute;left:8928;top:2000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qnuMQA&#10;AADcAAAADwAAAGRycy9kb3ducmV2LnhtbESPQWsCMRSE74L/ITyhN83ags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Kp7jEAAAA3AAAAA8AAAAAAAAAAAAAAAAAmAIAAGRycy9k&#10;b3ducmV2LnhtbFBLBQYAAAAABAAEAPUAAACJAwAAAAA=&#10;" fillcolor="#dadcdd" stroked="f"/>
                <v:line id="Line 220" o:spid="_x0000_s1181" style="position:absolute;visibility:visible;mso-wrap-style:square" from="14585,20002" to="14592,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EH8YAAADcAAAADwAAAGRycy9kb3ducmV2LnhtbESPT2vCQBTE7wW/w/KEXqRu1NKG1I2U&#10;FMGDB01ben3NPvPH7NuQ3Wr89q4g9DjMzG+Y5WowrThR72rLCmbTCARxYXXNpYKvz/VTDMJ5ZI2t&#10;ZVJwIQerdPSwxETbM+/plPtSBAi7BBVU3neJlK6oyKCb2o44eAfbG/RB9qXUPZ4D3LRyHkUv0mDN&#10;YaHCjrKKimP+ZxRMfuLJAr/zJpuV84ya3fb3Y++UehwP728gPA3+P3xvb7SC1/gZbmfCEZD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0hB/GAAAA3AAAAA8AAAAAAAAA&#10;AAAAAAAAoQIAAGRycy9kb3ducmV2LnhtbFBLBQYAAAAABAAEAPkAAACUAwAAAAA=&#10;" strokecolor="#dadcdd" strokeweight="0"/>
                <v:rect id="Rectangle 221" o:spid="_x0000_s1182" style="position:absolute;left:14585;top:2000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8QA&#10;AADcAAAADwAAAGRycy9kb3ducmV2LnhtbESPQWsCMRSE74L/ITyhN81aqMpqFBUqhUJBq+LxsXlu&#10;gpuXZRN19983hUKPw8x8wyxWravEg5pgPSsYjzIQxIXXlksFx+/34QxEiMgaK8+koKMAq2W/t8Bc&#10;+yfv6XGIpUgQDjkqMDHWuZShMOQwjHxNnLyrbxzGJJtS6gafCe4q+ZplE+nQclowWNPWUHE73J2C&#10;z+5sTxM9xtPl/NWZ6W5jXbZX6mXQrucgIrXxP/zX/tAKprM3+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vmlfEAAAA3AAAAA8AAAAAAAAAAAAAAAAAmAIAAGRycy9k&#10;b3ducmV2LnhtbFBLBQYAAAAABAAEAPUAAACJAwAAAAA=&#10;" fillcolor="#dadcdd" stroked="f"/>
                <v:line id="Line 222" o:spid="_x0000_s1183" style="position:absolute;visibility:visible;mso-wrap-style:square" from="20237,20002" to="20243,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88UAAADcAAAADwAAAGRycy9kb3ducmV2LnhtbESPQWvCQBSE74L/YXlCL2I2KtgQXaWk&#10;FDx4qKni9Zl9TWKzb0N21fTfd4WCx2FmvmFWm9404kadqy0rmEYxCOLC6ppLBYevj0kCwnlkjY1l&#10;UvBLDjbr4WCFqbZ33tMt96UIEHYpKqi8b1MpXVGRQRfZljh437Yz6IPsSqk7vAe4aeQsjhfSYM1h&#10;ocKWsoqKn/xqFIxPyXiOx/ySTctZRpfP3fl975R6GfVvSxCeev8M/7e3WsFrsoDHmXAE5P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q/88UAAADcAAAADwAAAAAAAAAA&#10;AAAAAAChAgAAZHJzL2Rvd25yZXYueG1sUEsFBgAAAAAEAAQA+QAAAJMDAAAAAA==&#10;" strokecolor="#dadcdd" strokeweight="0"/>
                <v:rect id="Rectangle 223" o:spid="_x0000_s1184" style="position:absolute;left:20237;top:2000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u8QA&#10;AADcAAAADwAAAGRycy9kb3ducmV2LnhtbESPzWrDMBCE74W+g9hAb7WcHOLgWAlNIaVQCOSXHhdr&#10;a4laK2Opif32VaDQ4zAz3zDVenCtuFIfrGcF0ywHQVx7bblRcDpunxcgQkTW2HomBSMFWK8eHyos&#10;tb/xnq6H2IgE4VCiAhNjV0oZakMOQ+Y74uR9+d5hTLJvpO7xluCulbM8n0uHltOCwY5eDdXfhx+n&#10;4GO82PNcT/H8edmNpnjbWJfvlXqaDC9LEJGG+B/+a79rBcWigP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obvEAAAA3AAAAA8AAAAAAAAAAAAAAAAAmAIAAGRycy9k&#10;b3ducmV2LnhtbFBLBQYAAAAABAAEAPUAAACJAwAAAAA=&#10;" fillcolor="#dadcdd" stroked="f"/>
                <v:line id="Line 224" o:spid="_x0000_s1185" style="position:absolute;visibility:visible;mso-wrap-style:square" from="27578,20002" to="27584,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mOGsQAAADcAAAADwAAAGRycy9kb3ducmV2LnhtbERPTWvCQBC9F/wPywi9BLPRQhtiVikp&#10;BQ891FTxOmanSWx2NmRXk/777qHg8fG+8+1kOnGjwbWWFSzjBARxZXXLtYLD1/siBeE8ssbOMin4&#10;JQfbzewhx0zbkfd0K30tQgi7DBU03veZlK5qyKCLbU8cuG87GPQBDrXUA44h3HRylSTP0mDLoaHB&#10;noqGqp/yahREpzR6wmN5KZb1qqDL58f5be+UepxPr2sQniZ/F/+7d1rBSxrWhj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Y4axAAAANwAAAAPAAAAAAAAAAAA&#10;AAAAAKECAABkcnMvZG93bnJldi54bWxQSwUGAAAAAAQABAD5AAAAkgMAAAAA&#10;" strokecolor="#dadcdd" strokeweight="0"/>
                <v:rect id="Rectangle 225" o:spid="_x0000_s1186" style="position:absolute;left:27578;top:20002;width:8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QUsQA&#10;AADcAAAADwAAAGRycy9kb3ducmV2LnhtbESPQWsCMRSE70L/Q3hCb5rVg9qtUazQUigIapUeH5vn&#10;Jrh5WTap7v57Iwgeh5n5hpkvW1eJCzXBelYwGmYgiAuvLZcKfvefgxmIEJE1Vp5JQUcBlouX3hxz&#10;7a+8pcsuliJBOOSowMRY51KGwpDDMPQ1cfJOvnEYk2xKqRu8Jrir5DjLJtKh5bRgsKa1oeK8+3cK&#10;frqjPUz0CA9/x01npl8f1mVbpV777eodRKQ2PsOP9rdWMJ29wf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ikFLEAAAA3AAAAA8AAAAAAAAAAAAAAAAAmAIAAGRycy9k&#10;b3ducmV2LnhtbFBLBQYAAAAABAAEAPUAAACJAwAAAAA=&#10;" fillcolor="#dadcdd" stroked="f"/>
                <v:line id="Line 226" o:spid="_x0000_s1187" style="position:absolute;visibility:visible;mso-wrap-style:square" from="33229,20002" to="33235,2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UwcIAAADcAAAADwAAAGRycy9kb3ducmV2LnhtbERPy4rCMBTdC/MP4Q7MRjRVwUfHKFIR&#10;XLjQqri909xp6zQ3pclo/XuzEFweznu+bE0lbtS40rKCQT8CQZxZXXKu4HTc9KYgnEfWWFkmBQ9y&#10;sFx8dOYYa3vnA91Sn4sQwi5GBYX3dSylywoy6Pq2Jg7cr20M+gCbXOoG7yHcVHIYRWNpsOTQUGBN&#10;SUHZX/pvFHQv0+4Iz+k1GeTDhK773c/64JT6+mxX3yA8tf4tfrm3WsFkFua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YUwcIAAADcAAAADwAAAAAAAAAAAAAA&#10;AAChAgAAZHJzL2Rvd25yZXYueG1sUEsFBgAAAAAEAAQA+QAAAJADAAAAAA==&#10;" strokecolor="#dadcdd" strokeweight="0"/>
                <v:rect id="Rectangle 227" o:spid="_x0000_s1188" style="position:absolute;left:33229;top:20002;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KicUA&#10;AADcAAAADwAAAGRycy9kb3ducmV2LnhtbESPQWsCMRSE70L/Q3iF3jS7PWi7GqUKLQVB0Kp4fGye&#10;m9DNy7JJdfffG6HgcZiZb5jZonO1uFAbrGcF+SgDQVx6bblSsP/5HL6BCBFZY+2ZFPQUYDF/Gsyw&#10;0P7KW7rsYiUShEOBCkyMTSFlKA05DCPfECfv7FuHMcm2krrFa4K7Wr5m2Vg6tJwWDDa0MlT+7v6c&#10;gnV/tIexzvFwOm56M/laWpdtlXp57j6mICJ18RH+b39rBZP3HO5n0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QqJxQAAANwAAAAPAAAAAAAAAAAAAAAAAJgCAABkcnMv&#10;ZG93bnJldi54bWxQSwUGAAAAAAQABAD1AAAAigMAAAAA&#10;" fillcolor="#dadcdd" stroked="f"/>
                <v:line id="Line 228" o:spid="_x0000_s1189" style="position:absolute;visibility:visible;mso-wrap-style:square" from="57626,0" to="576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vLcYAAADcAAAADwAAAGRycy9kb3ducmV2LnhtbESPT2vCQBTE74V+h+UJvUjdmEJrY1Yp&#10;KYIHDxotvT6zz/xp9m3IbjX99q4g9DjMzG+YdDmYVpypd7VlBdNJBIK4sLrmUsFhv3qegXAeWWNr&#10;mRT8kYPl4vEhxUTbC+/onPtSBAi7BBVU3neJlK6oyKCb2I44eCfbG/RB9qXUPV4C3LQyjqJXabDm&#10;sFBhR1lFxU/+axSMv2fjF/zKm2xaxhk1283xc+eUehoNH3MQngb/H76311rB23sM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ILy3GAAAA3AAAAA8AAAAAAAAA&#10;AAAAAAAAoQIAAGRycy9kb3ducmV2LnhtbFBLBQYAAAAABAAEAPkAAACUAwAAAAA=&#10;" strokecolor="#dadcdd" strokeweight="0"/>
                <v:rect id="Rectangle 229" o:spid="_x0000_s1190" style="position:absolute;left:57626;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MxZcUA&#10;AADcAAAADwAAAGRycy9kb3ducmV2LnhtbESPW2sCMRSE3wX/QziFvmnWFrxsjWILLUJB8IqPh83p&#10;JnRzsmxS3f33piD4OMzMN8x82bpKXKgJ1rOC0TADQVx4bblUcNh/DqYgQkTWWHkmBR0FWC76vTnm&#10;2l95S5ddLEWCcMhRgYmxzqUMhSGHYehr4uT9+MZhTLIppW7wmuCuki9ZNpYOLacFgzV9GCp+d39O&#10;wXd3ssexHuHxfNp0ZvL1bl22Ver5qV29gYjUxkf43l5rBZPZK/y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EzFlxQAAANwAAAAPAAAAAAAAAAAAAAAAAJgCAABkcnMv&#10;ZG93bnJldi54bWxQSwUGAAAAAAQABAD1AAAAigMAAAAA&#10;" fillcolor="#dadcdd" stroked="f"/>
                <v:line id="Line 230" o:spid="_x0000_s1191" style="position:absolute;visibility:visible;mso-wrap-style:square" from="57626,1860" to="57632,1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MpHcMAAADdAAAADwAAAGRycy9kb3ducmV2LnhtbERPTWvCQBC9C/6HZQQvUjeJIJK6ikSE&#10;HjxoWvE6zU6TaHY2ZLca/71bKHibx/uc5bo3jbhR52rLCuJpBIK4sLrmUsHX5+5tAcJ5ZI2NZVLw&#10;IAfr1XCwxFTbOx/plvtShBB2KSqovG9TKV1RkUE3tS1x4H5sZ9AH2JVSd3gP4aaRSRTNpcGaQ0OF&#10;LWUVFdf81yiYnBeTGZ7ySxaXSUaXw/57e3RKjUf95h2Ep96/xP/uDx3mJ/Ec/r4JJ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zKR3DAAAA3QAAAA8AAAAAAAAAAAAA&#10;AAAAoQIAAGRycy9kb3ducmV2LnhtbFBLBQYAAAAABAAEAPkAAACRAwAAAAA=&#10;" strokecolor="#dadcdd" strokeweight="0"/>
                <v:rect id="Rectangle 231" o:spid="_x0000_s1192" style="position:absolute;left:57626;top:1860;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MBcIA&#10;AADdAAAADwAAAGRycy9kb3ducmV2LnhtbERPS2sCMRC+C/6HMII3za4HLatRqtAiCAWf9DhsppvQ&#10;zWTZRN39902h0Nt8fM9ZbTpXiwe1wXpWkE8zEMSl15YrBZfz2+QFRIjIGmvPpKCnAJv1cLDCQvsn&#10;H+lxipVIIRwKVGBibAopQ2nIYZj6hjhxX751GBNsK6lbfKZwV8tZls2lQ8upwWBDO0Pl9+nuFBz6&#10;m73OdY7Xz9tHbxbvW+uyo1LjUfe6BBGpi//iP/dep/mzfAG/36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YwFwgAAAN0AAAAPAAAAAAAAAAAAAAAAAJgCAABkcnMvZG93&#10;bnJldi54bWxQSwUGAAAAAAQABAD1AAAAhwMAAAAA&#10;" fillcolor="#dadcdd" stroked="f"/>
                <v:line id="Line 232" o:spid="_x0000_s1193" style="position:absolute;visibility:visible;mso-wrap-style:square" from="57626,3625" to="57632,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AY9McAAADdAAAADwAAAGRycy9kb3ducmV2LnhtbESPQWvCQBCF74X+h2UKXkQ3SaFIdJWS&#10;UujBg6YVr2N2TGKzsyG71fjvO4dCbzO8N+99s9qMrlNXGkLr2UA6T0ARV962XBv4+nyfLUCFiGyx&#10;80wG7hRgs358WGFu/Y33dC1jrSSEQ44Gmhj7XOtQNeQwzH1PLNrZDw6jrEOt7YA3CXedzpLkRTts&#10;WRoa7KloqPouf5yB6XExfcZDeSnSOivostue3vbBmMnT+LoEFWmM/+a/6w8r+FkquPKNj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oBj0xwAAAN0AAAAPAAAAAAAA&#10;AAAAAAAAAKECAABkcnMvZG93bnJldi54bWxQSwUGAAAAAAQABAD5AAAAlQMAAAAA&#10;" strokecolor="#dadcdd" strokeweight="0"/>
                <v:rect id="Rectangle 233" o:spid="_x0000_s1194" style="position:absolute;left:57626;top:3625;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K97MMA&#10;AADdAAAADwAAAGRycy9kb3ducmV2LnhtbERPS2sCMRC+C/0PYQq9aXY9+NgapQqWQqGgVulx2Ew3&#10;oZvJsom6++9NQfA2H99zFqvO1eJCbbCeFeSjDARx6bXlSsH3YTucgQgRWWPtmRT0FGC1fBossND+&#10;yju67GMlUgiHAhWYGJtCylAachhGviFO3K9vHcYE20rqFq8p3NVynGUT6dByajDY0MZQ+bc/OwWf&#10;/ckeJzrH48/pqzfT97V12U6pl+fu7RVEpC4+xHf3h07zx/k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K97MMAAADdAAAADwAAAAAAAAAAAAAAAACYAgAAZHJzL2Rv&#10;d25yZXYueG1sUEsFBgAAAAAEAAQA9QAAAIgDAAAAAA==&#10;" fillcolor="#dadcdd" stroked="f"/>
                <v:line id="Line 234" o:spid="_x0000_s1195" style="position:absolute;visibility:visible;mso-wrap-style:square" from="57626,5397" to="57632,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eT8YAAADdAAAADwAAAGRycy9kb3ducmV2LnhtbESPQWvCQBCF7wX/wzJCL6IbIxSJrlJS&#10;Cj30UKOl1zE7JrHZ2ZDdavrvnYPgbYb35r1v1tvBtepCfWg8G5jPElDEpbcNVwYO+/fpElSIyBZb&#10;z2TgnwJsN6OnNWbWX3lHlyJWSkI4ZGigjrHLtA5lTQ7DzHfEop187zDK2lfa9niVcNfqNEletMOG&#10;paHGjvKayt/izxmY/CwnC/wuzvm8SnM6f30e33bBmOfx8LoCFWmID/P9+sMKfpoKv3wjI+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63k/GAAAA3QAAAA8AAAAAAAAA&#10;AAAAAAAAoQIAAGRycy9kb3ducmV2LnhtbFBLBQYAAAAABAAEAPkAAACUAwAAAAA=&#10;" strokecolor="#dadcdd" strokeweight="0"/>
                <v:rect id="Rectangle 235" o:spid="_x0000_s1196" style="position:absolute;left:57626;top:5397;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7V8MA&#10;AADdAAAADwAAAGRycy9kb3ducmV2LnhtbERP32vCMBB+H+x/CDfY20zbBx3VKCo4BgNBt4qPR3M2&#10;weZSmkzb/34ZDPZ2H9/PW6wG14ob9cF6VpBPMhDEtdeWGwVfn7uXVxAhImtsPZOCkQKslo8PCyy1&#10;v/OBbsfYiBTCoUQFJsaulDLUhhyGie+IE3fxvcOYYN9I3eM9hbtWFlk2lQ4tpwaDHW0N1dfjt1Pw&#10;MZ5sNdU5VufTfjSzt4112UGp56dhPQcRaYj/4j/3u07ziyKH32/S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h7V8MAAADdAAAADwAAAAAAAAAAAAAAAACYAgAAZHJzL2Rv&#10;d25yZXYueG1sUEsFBgAAAAAEAAQA9QAAAIgDAAAAAA==&#10;" fillcolor="#dadcdd" stroked="f"/>
                <v:line id="Line 236" o:spid="_x0000_s1197" style="position:absolute;visibility:visible;mso-wrap-style:square" from="57626,7258" to="57632,7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lo8MAAADdAAAADwAAAGRycy9kb3ducmV2LnhtbERPTWvCQBC9C/6HZYRepG7cgkh0FYkU&#10;euihRqXXMTtNYrOzIbvV9N+7guBtHu9zluveNuJCna8da5hOEhDEhTM1lxoO+/fXOQgfkA02jknD&#10;P3lYr4aDJabGXXlHlzyUIoawT1FDFUKbSumLiiz6iWuJI/fjOoshwq6UpsNrDLeNVEkykxZrjg0V&#10;tpRVVPzmf1bD+Hs+fsNjfs6mpcro/PV52u681i+jfrMAEagPT/HD/WHifKUU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k5aPDAAAA3QAAAA8AAAAAAAAAAAAA&#10;AAAAoQIAAGRycy9kb3ducmV2LnhtbFBLBQYAAAAABAAEAPkAAACRAwAAAAA=&#10;" strokecolor="#dadcdd" strokeweight="0"/>
                <v:rect id="Rectangle 237" o:spid="_x0000_s1198" style="position:absolute;left:57626;top:7258;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Au8MA&#10;AADdAAAADwAAAGRycy9kb3ducmV2LnhtbERP22oCMRB9F/oPYQp906xbsLIapQothYLgFR+HzbgJ&#10;3UyWTaq7f98IBd/mcK4zX3auFldqg/WsYDzKQBCXXluuFBz2H8MpiBCRNdaeSUFPAZaLp8EcC+1v&#10;vKXrLlYihXAoUIGJsSmkDKUhh2HkG+LEXXzrMCbYVlK3eEvhrpZ5lk2kQ8upwWBDa0Plz+7XKfju&#10;T/Y40WM8nk+b3rx9rqzLtkq9PHfvMxCRuvgQ/7u/dJqf5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Au8MAAADdAAAADwAAAAAAAAAAAAAAAACYAgAAZHJzL2Rv&#10;d25yZXYueG1sUEsFBgAAAAAEAAQA9QAAAIgDAAAAAA==&#10;" fillcolor="#dadcdd" stroked="f"/>
                <v:line id="Line 238" o:spid="_x0000_s1199" style="position:absolute;visibility:visible;mso-wrap-style:square" from="57626,9118" to="57632,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HYTMQAAADdAAAADwAAAGRycy9kb3ducmV2LnhtbERPTWvCQBC9C/0PyxS8iG6MUkJ0lRIR&#10;euihphWvY3ZMYrOzIbtq/PddQehtHu9zluveNOJKnastK5hOIhDEhdU1lwp+vrfjBITzyBoby6Tg&#10;Tg7Wq5fBElNtb7yja+5LEULYpaig8r5NpXRFRQbdxLbEgTvZzqAPsCul7vAWwk0j4yh6kwZrDg0V&#10;tpRVVPzmF6NgdEhGM9zn52xaxhmdvz6Pm51Tavjavy9AeOr9v/jp/tBhfhzP4fFNOE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dhMxAAAAN0AAAAPAAAAAAAAAAAA&#10;AAAAAKECAABkcnMvZG93bnJldi54bWxQSwUGAAAAAAQABAD5AAAAkgMAAAAA&#10;" strokecolor="#dadcdd" strokeweight="0"/>
                <v:rect id="Rectangle 239" o:spid="_x0000_s1200" style="position:absolute;left:57626;top:9118;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9VMMA&#10;AADdAAAADwAAAGRycy9kb3ducmV2LnhtbERP22oCMRB9F/oPYQp906wLtbIapQothYLgFR+HzbgJ&#10;3UyWTaq7f98IBd/mcK4zX3auFldqg/WsYDzKQBCXXluuFBz2H8MpiBCRNdaeSUFPAZaLp8EcC+1v&#10;vKXrLlYihXAoUIGJsSmkDKUhh2HkG+LEXXzrMCbYVlK3eEvhrpZ5lk2kQ8upwWBDa0Plz+7XKfju&#10;T/Y40WM8nk+b3rx9rqzLtkq9PHfvMxCRuvgQ/7u/dJqf569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9VMMAAADdAAAADwAAAAAAAAAAAAAAAACYAgAAZHJzL2Rv&#10;d25yZXYueG1sUEsFBgAAAAAEAAQA9QAAAIgDAAAAAA==&#10;" fillcolor="#dadcdd" stroked="f"/>
                <v:line id="Line 240" o:spid="_x0000_s1201" style="position:absolute;visibility:visible;mso-wrap-style:square" from="57626,10883" to="5763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oMUAAADdAAAADwAAAGRycy9kb3ducmV2LnhtbERPTWvCQBC9C/6HZYReRDeJIJK6iqQU&#10;euihSVt6HbPTJJqdDdltkv57t1DwNo/3OfvjZFoxUO8aywridQSCuLS64UrBx/vzagfCeWSNrWVS&#10;8EsOjof5bI+ptiPnNBS+EiGEXYoKau+7VEpX1mTQrW1HHLhv2xv0AfaV1D2OIdy0MomirTTYcGio&#10;saOspvJa/BgFy6/dcoOfxSWLqySjy9vr+Sl3Sj0sptMjCE+Tv4v/3S86zE+SLfx9E06Qh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oMUAAADdAAAADwAAAAAAAAAA&#10;AAAAAAChAgAAZHJzL2Rvd25yZXYueG1sUEsFBgAAAAAEAAQA+QAAAJMDAAAAAA==&#10;" strokecolor="#dadcdd" strokeweight="0"/>
                <v:rect id="Rectangle 241" o:spid="_x0000_s1202" style="position:absolute;left:57626;top:1088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1GuMIA&#10;AADdAAAADwAAAGRycy9kb3ducmV2LnhtbERPS2sCMRC+F/ofwgi91ax70LIaRQtKoVDwicdhM26C&#10;m8mySXX33zeC0Nt8fM+ZLTpXixu1wXpWMBpmIIhLry1XCg779fsHiBCRNdaeSUFPARbz15cZFtrf&#10;eUu3XaxECuFQoAITY1NIGUpDDsPQN8SJu/jWYUywraRu8Z7CXS3zLBtLh5ZTg8GGPg2V192vU/Dd&#10;n+xxrEd4PJ9+ejPZrKzLtkq9DbrlFESkLv6Ln+4vnebn+QQe36QT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Ua4wgAAAN0AAAAPAAAAAAAAAAAAAAAAAJgCAABkcnMvZG93&#10;bnJldi54bWxQSwUGAAAAAAQABAD1AAAAhwMAAAAA&#10;" fillcolor="#dadcdd" stroked="f"/>
                <v:line id="Line 242" o:spid="_x0000_s1203" style="position:absolute;visibility:visible;mso-wrap-style:square" from="57626,12655" to="57632,12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zSScYAAADdAAAADwAAAGRycy9kb3ducmV2LnhtbESPQWvCQBCF7wX/wzJCL6IbIxSJrlJS&#10;Cj30UKOl1zE7JrHZ2ZDdavrvnYPgbYb35r1v1tvBtepCfWg8G5jPElDEpbcNVwYO+/fpElSIyBZb&#10;z2TgnwJsN6OnNWbWX3lHlyJWSkI4ZGigjrHLtA5lTQ7DzHfEop187zDK2lfa9niVcNfqNEletMOG&#10;paHGjvKayt/izxmY/CwnC/wuzvm8SnM6f30e33bBmOfx8LoCFWmID/P9+sMKfpoKrnwjI+jN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M0knGAAAA3QAAAA8AAAAAAAAA&#10;AAAAAAAAoQIAAGRycy9kb3ducmV2LnhtbFBLBQYAAAAABAAEAPkAAACUAwAAAAA=&#10;" strokecolor="#dadcdd" strokeweight="0"/>
                <v:rect id="Rectangle 243" o:spid="_x0000_s1204" style="position:absolute;left:57626;top:12655;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53UcMA&#10;AADdAAAADwAAAGRycy9kb3ducmV2LnhtbERPS2sCMRC+C/0PYQq9adY9+NgapQqWQqGgVulx2Ew3&#10;oZvJsom6++9NQfA2H99zFqvO1eJCbbCeFYxHGQji0mvLlYLvw3Y4AxEissbaMynoKcBq+TRYYKH9&#10;lXd02cdKpBAOBSowMTaFlKE05DCMfEOcuF/fOowJtpXULV5TuKtlnmUT6dByajDY0MZQ+bc/OwWf&#10;/ckeJ3qMx5/TV2+m72vrsp1SL8/d2yuISF18iO/uD53m5/kc/r9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53UcMAAADdAAAADwAAAAAAAAAAAAAAAACYAgAAZHJzL2Rv&#10;d25yZXYueG1sUEsFBgAAAAAEAAQA9QAAAIgDAAAAAA==&#10;" fillcolor="#dadcdd" stroked="f"/>
                <v:line id="Line 244" o:spid="_x0000_s1205" style="position:absolute;visibility:visible;mso-wrap-style:square" from="57626,14427" to="57632,14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NIkscAAADdAAAADwAAAGRycy9kb3ducmV2LnhtbESPQWvCQBCF74X+h2UKXqRujFAkukpJ&#10;KXjwUKPS65idJrHZ2ZDdavz3nYPgbYb35r1vluvBtepCfWg8G5hOElDEpbcNVwYO+8/XOagQkS22&#10;nsnAjQKsV89PS8ysv/KOLkWslIRwyNBAHWOXaR3KmhyGie+IRfvxvcMoa19p2+NVwl2r0yR50w4b&#10;loYaO8prKn+LP2dg/D0fz/BYnPNpleZ0/tqePnbBmNHL8L4AFWmID/P9emMFP50Jv3wjI+jV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0iSxwAAAN0AAAAPAAAAAAAA&#10;AAAAAAAAAKECAABkcnMvZG93bnJldi54bWxQSwUGAAAAAAQABAD5AAAAlQMAAAAA&#10;" strokecolor="#dadcdd" strokeweight="0"/>
                <v:rect id="Rectangle 245" o:spid="_x0000_s1206" style="position:absolute;left:57626;top:14427;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tisMA&#10;AADdAAAADwAAAGRycy9kb3ducmV2LnhtbERP22oCMRB9F/oPYQp90+xasLIapQothYLgFR+HzbgJ&#10;3UyWTaq7f98IBd/mcK4zX3auFldqg/WsIB9lIIhLry1XCg77j+EURIjIGmvPpKCnAMvF02COhfY3&#10;3tJ1FyuRQjgUqMDE2BRShtKQwzDyDXHiLr51GBNsK6lbvKVwV8txlk2kQ8upwWBDa0Plz+7XKfju&#10;T/Y40Tkez6dNb94+V9ZlW6Venrv3GYhIXXyI/91fOs0fv+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tisMAAADdAAAADwAAAAAAAAAAAAAAAACYAgAAZHJzL2Rv&#10;d25yZXYueG1sUEsFBgAAAAAEAAQA9QAAAIgDAAAAAA==&#10;" fillcolor="#dadcdd" stroked="f"/>
                <v:line id="Line 246" o:spid="_x0000_s1207" style="position:absolute;visibility:visible;mso-wrap-style:square" from="57626,16198" to="57632,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1zfsQAAADdAAAADwAAAGRycy9kb3ducmV2LnhtbERPS2vCQBC+F/wPywi9iG4eIJK6ikSE&#10;HnqoaUuvY3aaRLOzIbtN0n/fLQi9zcf3nO1+Mq0YqHeNZQXxKgJBXFrdcKXg/e203IBwHllja5kU&#10;/JCD/W72sMVM25HPNBS+EiGEXYYKau+7TEpX1mTQrWxHHLgv2xv0AfaV1D2OIdy0MomitTTYcGio&#10;saO8pvJWfBsFi8/NIsWP4prHVZLT9fXlcjw7pR7n0+EJhKfJ/4vv7mcd5idpAn/fhBP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XN+xAAAAN0AAAAPAAAAAAAAAAAA&#10;AAAAAKECAABkcnMvZG93bnJldi54bWxQSwUGAAAAAAQABAD5AAAAkgMAAAAA&#10;" strokecolor="#dadcdd" strokeweight="0"/>
                <v:rect id="Rectangle 247" o:spid="_x0000_s1208" style="position:absolute;left:57626;top:16198;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ZsMA&#10;AADdAAAADwAAAGRycy9kb3ducmV2LnhtbERPTWsCMRC9C/6HMII3zapgy9YoWmgRCoJapcdhM26C&#10;m8mySXX33zdCwds83ucsVq2rxI2aYD0rmIwzEMSF15ZLBd/Hj9EriBCRNVaeSUFHAVbLfm+BufZ3&#10;3tPtEEuRQjjkqMDEWOdShsKQwzD2NXHiLr5xGBNsSqkbvKdwV8lpls2lQ8upwWBN74aK6+HXKfjq&#10;zvY01xM8/Zx3nXn53FiX7ZUaDtr1G4hIbXyK/91bneZPZzN4fJ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WZsMAAADdAAAADwAAAAAAAAAAAAAAAACYAgAAZHJzL2Rv&#10;d25yZXYueG1sUEsFBgAAAAAEAAQA9QAAAIgDAAAAAA==&#10;" fillcolor="#dadcdd" stroked="f"/>
                <v:line id="Line 248" o:spid="_x0000_s1209" style="position:absolute;visibility:visible;mso-wrap-style:square" from="57626,18053" to="57632,1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hOkcQAAADdAAAADwAAAGRycy9kb3ducmV2LnhtbERPTWvCQBC9F/wPywheRDfGUkJ0lZIi&#10;9OChporXMTtNYrOzIbvV+O+7guBtHu9zluveNOJCnastK5hNIxDEhdU1lwr235tJAsJ5ZI2NZVJw&#10;Iwfr1eBliam2V97RJfelCCHsUlRQed+mUrqiIoNualviwP3YzqAPsCul7vAawk0j4yh6kwZrDg0V&#10;tpRVVPzmf0bB+JiM53jIz9msjDM6f21PHzun1GjYvy9AeOr9U/xwf+owP56/wv2bcIJ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E6RxAAAAN0AAAAPAAAAAAAAAAAA&#10;AAAAAKECAABkcnMvZG93bnJldi54bWxQSwUGAAAAAAQABAD5AAAAkgMAAAAA&#10;" strokecolor="#dadcdd" strokeweight="0"/>
                <v:rect id="Rectangle 249" o:spid="_x0000_s1210" style="position:absolute;left:57626;top:18053;width:89;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rricQA&#10;AADdAAAADwAAAGRycy9kb3ducmV2LnhtbERP22oCMRB9L/gPYQp9q1ktXtgaRYWWQqHgesHHYTPd&#10;hG4myybV3b83hYJvczjXWaw6V4sLtcF6VjAaZiCIS68tVwoO+7fnOYgQkTXWnklBTwFWy8HDAnPt&#10;r7yjSxErkUI45KjAxNjkUobSkMMw9A1x4r596zAm2FZSt3hN4a6W4yybSoeWU4PBhraGyp/i1yn4&#10;7E/2ONUjPJ5PX72ZvW+sy3ZKPT1261cQkbp4F/+7P3SaP36ZwN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q64nEAAAA3QAAAA8AAAAAAAAAAAAAAAAAmAIAAGRycy9k&#10;b3ducmV2LnhtbFBLBQYAAAAABAAEAPUAAACJAwAAAAA=&#10;" fillcolor="#dadcdd" stroked="f"/>
                <v:line id="Line 250" o:spid="_x0000_s1211" style="position:absolute;visibility:visible;mso-wrap-style:square" from="57626,19913" to="57632,1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1fcMAAADdAAAADwAAAGRycy9kb3ducmV2LnhtbERPTYvCMBC9L/gfwgheZE2tINI1ilQE&#10;D3vQqux1thnbajMpTdTuvzeCsLd5vM+ZLztTizu1rrKsYDyKQBDnVldcKDgeNp8zEM4ja6wtk4I/&#10;crBc9D7mmGj74D3dM1+IEMIuQQWl900ipctLMuhGtiEO3Nm2Bn2AbSF1i48QbmoZR9FUGqw4NJTY&#10;UFpSfs1uRsHwZzac4Cm7pOMiTumy+/5d751Sg363+gLhqfP/4rd7q8P8eDKF1zfhB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GdX3DAAAA3QAAAA8AAAAAAAAAAAAA&#10;AAAAoQIAAGRycy9kb3ducmV2LnhtbFBLBQYAAAAABAAEAPkAAACRAwAAAAA=&#10;" strokecolor="#dadcdd" strokeweight="0"/>
                <v:rect id="Rectangle 251" o:spid="_x0000_s1212" style="position:absolute;left:57626;top:19913;width:8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TQZcMA&#10;AADdAAAADwAAAGRycy9kb3ducmV2LnhtbERPTWsCMRC9F/ofwgjealYFLVujWMFSKAhqlR6HzbgJ&#10;bibLJtXdf28Ewds83ufMFq2rxIWaYD0rGA4yEMSF15ZLBb/79ds7iBCRNVaeSUFHARbz15cZ5tpf&#10;eUuXXSxFCuGQowITY51LGQpDDsPA18SJO/nGYUywKaVu8JrCXSVHWTaRDi2nBoM1rQwV592/U/DT&#10;He1hood4+DtuOjP9+rQu2yrV77XLDxCR2vgUP9zfOs0fjadw/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TQZcMAAADdAAAADwAAAAAAAAAAAAAAAACYAgAAZHJzL2Rv&#10;d25yZXYueG1sUEsFBgAAAAAEAAQA9QAAAIgDAAAAAA==&#10;" fillcolor="#dadcdd" stroked="f"/>
                <w10:anchorlock/>
              </v:group>
            </w:pict>
          </mc:Fallback>
        </mc:AlternateContent>
      </w:r>
    </w:p>
    <w:p w:rsidR="00BE2D4A" w:rsidRPr="00ED38E9" w:rsidRDefault="00250BC6" w:rsidP="00250BC6">
      <w:pPr>
        <w:spacing w:before="240"/>
        <w:rPr>
          <w:rFonts w:cs="Arial"/>
          <w:b/>
        </w:rPr>
      </w:pPr>
      <w:r w:rsidRPr="00ED38E9">
        <w:rPr>
          <w:rFonts w:cs="Arial"/>
          <w:b/>
        </w:rPr>
        <w:t>Dopady na životní prostředí</w:t>
      </w:r>
    </w:p>
    <w:p w:rsidR="00250BC6" w:rsidRPr="00ED38E9" w:rsidRDefault="003748C7" w:rsidP="00250BC6">
      <w:pPr>
        <w:spacing w:before="120"/>
        <w:rPr>
          <w:rFonts w:cs="Arial"/>
        </w:rPr>
      </w:pPr>
      <w:r w:rsidRPr="003748C7">
        <w:rPr>
          <w:rFonts w:cs="Arial"/>
        </w:rPr>
        <w:t>Návrh řešení má pozitovní vliv na životní prostředí.</w:t>
      </w:r>
      <w:r>
        <w:rPr>
          <w:rFonts w:cs="Arial"/>
        </w:rPr>
        <w:t xml:space="preserve"> </w:t>
      </w:r>
      <w:r w:rsidR="00250BC6" w:rsidRPr="00ED38E9">
        <w:rPr>
          <w:rFonts w:cs="Arial"/>
        </w:rPr>
        <w:t xml:space="preserve">Sjednocení platností </w:t>
      </w:r>
      <w:r w:rsidR="00B34E56" w:rsidRPr="00ED38E9">
        <w:rPr>
          <w:rFonts w:cs="Arial"/>
        </w:rPr>
        <w:t>povolení</w:t>
      </w:r>
      <w:r w:rsidR="00250BC6" w:rsidRPr="00ED38E9">
        <w:rPr>
          <w:rFonts w:cs="Arial"/>
        </w:rPr>
        <w:t xml:space="preserve"> a zažádání o </w:t>
      </w:r>
      <w:r w:rsidR="00B34E56" w:rsidRPr="00ED38E9">
        <w:rPr>
          <w:rFonts w:cs="Arial"/>
        </w:rPr>
        <w:t>povolení</w:t>
      </w:r>
      <w:r w:rsidR="00250BC6" w:rsidRPr="00ED38E9">
        <w:rPr>
          <w:rFonts w:cs="Arial"/>
        </w:rPr>
        <w:t xml:space="preserve"> v prvním roce od účinnosti zákona představuje určité sjednocení pravidel v oblasti nakládání s vozidly s ukončenou životností, zejména omezení pro zařízení, jejichž technologie již neodpovídají potřebným standardům, dále pak pravidelnou kontrolu nad zařízeními, jejichž činnost ohrožuje určitými způsoby životní prostředí.</w:t>
      </w:r>
    </w:p>
    <w:p w:rsidR="00BE2D4A" w:rsidRPr="00ED38E9" w:rsidRDefault="00BE2D4A" w:rsidP="007A2E3D">
      <w:pPr>
        <w:pStyle w:val="Nadpis3"/>
      </w:pPr>
      <w:r w:rsidRPr="00ED38E9">
        <w:lastRenderedPageBreak/>
        <w:t>Vyhodnocení nákladů a přínosů variant</w:t>
      </w:r>
    </w:p>
    <w:p w:rsidR="00BE2D4A" w:rsidRPr="00ED38E9" w:rsidRDefault="00BE2D4A" w:rsidP="00BE2D4A">
      <w:pPr>
        <w:pStyle w:val="Titulek"/>
        <w:rPr>
          <w:rFonts w:cs="Arial"/>
          <w:b w:val="0"/>
          <w:caps/>
        </w:rPr>
      </w:pPr>
      <w:r w:rsidRPr="00ED38E9">
        <w:rPr>
          <w:rFonts w:cs="Arial"/>
        </w:rPr>
        <w:t xml:space="preserve">Tabulka </w:t>
      </w:r>
      <w:r w:rsidR="00381FB7" w:rsidRPr="00ED38E9">
        <w:rPr>
          <w:rFonts w:cs="Arial"/>
          <w:b w:val="0"/>
          <w:caps/>
        </w:rPr>
        <w:fldChar w:fldCharType="begin"/>
      </w:r>
      <w:r w:rsidRPr="00ED38E9">
        <w:rPr>
          <w:rFonts w:cs="Arial"/>
        </w:rPr>
        <w:instrText xml:space="preserve"> SEQ Tabulka \* ARABIC </w:instrText>
      </w:r>
      <w:r w:rsidR="00381FB7" w:rsidRPr="00ED38E9">
        <w:rPr>
          <w:rFonts w:cs="Arial"/>
          <w:b w:val="0"/>
          <w:caps/>
        </w:rPr>
        <w:fldChar w:fldCharType="separate"/>
      </w:r>
      <w:r w:rsidR="00FD5E92">
        <w:rPr>
          <w:rFonts w:cs="Arial"/>
        </w:rPr>
        <w:t>72</w:t>
      </w:r>
      <w:r w:rsidR="00381FB7" w:rsidRPr="00ED38E9">
        <w:rPr>
          <w:rFonts w:cs="Arial"/>
          <w:b w:val="0"/>
          <w:caps/>
        </w:rPr>
        <w:fldChar w:fldCharType="end"/>
      </w:r>
      <w:r w:rsidRPr="00ED38E9">
        <w:rPr>
          <w:rFonts w:cs="Arial"/>
        </w:rPr>
        <w:t>: Porovnání nákladů a přínosů</w:t>
      </w:r>
    </w:p>
    <w:p w:rsidR="00BE2D4A" w:rsidRPr="00ED38E9" w:rsidRDefault="00FE52B8" w:rsidP="00BE2D4A">
      <w:pPr>
        <w:rPr>
          <w:rFonts w:cs="Arial"/>
        </w:rPr>
      </w:pPr>
      <w:r w:rsidRPr="00ED38E9" w:rsidDel="00FE52B8">
        <w:rPr>
          <w:rFonts w:cs="Arial"/>
          <w:lang w:eastAsia="cs-CZ" w:bidi="ar-SA"/>
        </w:rPr>
        <w:t xml:space="preserve"> </w:t>
      </w:r>
      <w:r w:rsidR="00AD7ECA" w:rsidRPr="00AD7ECA">
        <w:rPr>
          <w:lang w:eastAsia="cs-CZ" w:bidi="ar-SA"/>
        </w:rPr>
        <w:drawing>
          <wp:inline distT="0" distB="0" distL="0" distR="0" wp14:anchorId="635E78C5" wp14:editId="3A4C106F">
            <wp:extent cx="5610225" cy="8282136"/>
            <wp:effectExtent l="0" t="0" r="0" b="508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17497" cy="8292871"/>
                    </a:xfrm>
                    <a:prstGeom prst="rect">
                      <a:avLst/>
                    </a:prstGeom>
                    <a:noFill/>
                    <a:ln>
                      <a:noFill/>
                    </a:ln>
                  </pic:spPr>
                </pic:pic>
              </a:graphicData>
            </a:graphic>
          </wp:inline>
        </w:drawing>
      </w:r>
    </w:p>
    <w:p w:rsidR="00BE2D4A" w:rsidRPr="00ED38E9" w:rsidRDefault="00BE2D4A" w:rsidP="007A2E3D">
      <w:pPr>
        <w:pStyle w:val="Nadpis2"/>
      </w:pPr>
      <w:bookmarkStart w:id="266" w:name="_Toc441759949"/>
      <w:r w:rsidRPr="00ED38E9">
        <w:lastRenderedPageBreak/>
        <w:t>Návrh řešení</w:t>
      </w:r>
      <w:bookmarkEnd w:id="266"/>
    </w:p>
    <w:p w:rsidR="00BE2D4A" w:rsidRPr="00ED38E9" w:rsidRDefault="00BE2D4A" w:rsidP="007A2E3D">
      <w:pPr>
        <w:pStyle w:val="Nadpis3"/>
      </w:pPr>
      <w:r w:rsidRPr="00ED38E9">
        <w:t>Stanovení pořadí variant a výběr nejvhodnějšího řešení</w:t>
      </w:r>
    </w:p>
    <w:p w:rsidR="00BE2D4A" w:rsidRPr="00ED38E9" w:rsidRDefault="00BE2D4A" w:rsidP="00620E6B">
      <w:pPr>
        <w:pStyle w:val="Odstavecseseznamem"/>
        <w:numPr>
          <w:ilvl w:val="0"/>
          <w:numId w:val="5"/>
        </w:numPr>
        <w:rPr>
          <w:rFonts w:cs="Arial"/>
          <w:b/>
        </w:rPr>
      </w:pPr>
      <w:r w:rsidRPr="00ED38E9">
        <w:rPr>
          <w:rFonts w:cs="Arial"/>
          <w:b/>
        </w:rPr>
        <w:t>Varianta 1</w:t>
      </w:r>
    </w:p>
    <w:p w:rsidR="00BE2D4A" w:rsidRPr="00ED38E9" w:rsidRDefault="00BE2D4A" w:rsidP="00620E6B">
      <w:pPr>
        <w:pStyle w:val="Odstavecseseznamem"/>
        <w:numPr>
          <w:ilvl w:val="0"/>
          <w:numId w:val="5"/>
        </w:numPr>
        <w:rPr>
          <w:rFonts w:cs="Arial"/>
        </w:rPr>
      </w:pPr>
      <w:r w:rsidRPr="00ED38E9">
        <w:rPr>
          <w:rFonts w:cs="Arial"/>
        </w:rPr>
        <w:t>Varianta 0</w:t>
      </w:r>
    </w:p>
    <w:p w:rsidR="00BE2D4A" w:rsidRPr="00ED38E9" w:rsidRDefault="00BE2D4A" w:rsidP="00BE2D4A">
      <w:pPr>
        <w:rPr>
          <w:rFonts w:cs="Arial"/>
        </w:rPr>
      </w:pPr>
      <w:r w:rsidRPr="00ED38E9">
        <w:rPr>
          <w:rFonts w:cs="Arial"/>
        </w:rPr>
        <w:t>V souvislosti s nastavením stejných podmínek pro všechny podnikatelské subjekty navrhujeme přijmout Variantu 1.</w:t>
      </w:r>
    </w:p>
    <w:p w:rsidR="00BE2D4A" w:rsidRPr="00ED38E9" w:rsidRDefault="003211D6" w:rsidP="007A2E3D">
      <w:pPr>
        <w:pStyle w:val="Nadpis1"/>
      </w:pPr>
      <w:bookmarkStart w:id="267" w:name="_Toc381791034"/>
      <w:bookmarkStart w:id="268" w:name="_Toc441759950"/>
      <w:bookmarkStart w:id="269" w:name="_Toc441760201"/>
      <w:r w:rsidRPr="00ED38E9">
        <w:t xml:space="preserve">Poplatek </w:t>
      </w:r>
      <w:bookmarkEnd w:id="267"/>
      <w:r w:rsidR="00084446" w:rsidRPr="00084446">
        <w:t>za registraci vo</w:t>
      </w:r>
      <w:r w:rsidR="00084446">
        <w:t>zidla dle plnění emisních norem</w:t>
      </w:r>
      <w:bookmarkEnd w:id="268"/>
      <w:bookmarkEnd w:id="269"/>
    </w:p>
    <w:p w:rsidR="00BE2D4A" w:rsidRPr="00ED38E9" w:rsidRDefault="00BE2D4A" w:rsidP="007A2E3D">
      <w:pPr>
        <w:pStyle w:val="Nadpis2"/>
      </w:pPr>
      <w:bookmarkStart w:id="270" w:name="_Toc441759951"/>
      <w:r w:rsidRPr="00ED38E9">
        <w:t>Důvod předložení a cíle</w:t>
      </w:r>
      <w:bookmarkEnd w:id="270"/>
    </w:p>
    <w:p w:rsidR="00BE2D4A" w:rsidRPr="00ED38E9" w:rsidRDefault="00BE2D4A" w:rsidP="007A2E3D">
      <w:pPr>
        <w:pStyle w:val="Nadpis3"/>
      </w:pPr>
      <w:r w:rsidRPr="00ED38E9">
        <w:t>Definice problému</w:t>
      </w:r>
    </w:p>
    <w:p w:rsidR="00BE2D4A" w:rsidRPr="00ED38E9" w:rsidRDefault="00BE2D4A" w:rsidP="00BE2D4A">
      <w:pPr>
        <w:rPr>
          <w:rFonts w:cs="Arial"/>
          <w:i/>
        </w:rPr>
      </w:pPr>
      <w:r w:rsidRPr="00ED38E9">
        <w:rPr>
          <w:rFonts w:cs="Arial"/>
        </w:rPr>
        <w:t xml:space="preserve">Současné nastavení poplatků </w:t>
      </w:r>
      <w:r w:rsidR="003211D6" w:rsidRPr="00ED38E9">
        <w:rPr>
          <w:rFonts w:cs="Arial"/>
        </w:rPr>
        <w:t>na podporu sběru, zpracování, využití a odstranění vozidel s ukončenou životností</w:t>
      </w:r>
      <w:r w:rsidR="003211D6" w:rsidRPr="00ED38E9" w:rsidDel="003211D6">
        <w:rPr>
          <w:rFonts w:cs="Arial"/>
        </w:rPr>
        <w:t xml:space="preserve"> </w:t>
      </w:r>
      <w:r w:rsidRPr="00ED38E9">
        <w:rPr>
          <w:rFonts w:cs="Arial"/>
        </w:rPr>
        <w:t>vešlo v platnost 1.1.2009. Od té doby jsou poplatky vybírány a jsou příjmem Státního fondu životního prostředí ČR, kter</w:t>
      </w:r>
      <w:r w:rsidR="006A2158" w:rsidRPr="00ED38E9">
        <w:rPr>
          <w:rFonts w:cs="Arial"/>
        </w:rPr>
        <w:t>ý</w:t>
      </w:r>
      <w:r w:rsidRPr="00ED38E9">
        <w:rPr>
          <w:rFonts w:cs="Arial"/>
        </w:rPr>
        <w:t xml:space="preserve"> </w:t>
      </w:r>
      <w:r w:rsidR="0029509F" w:rsidRPr="0029509F">
        <w:rPr>
          <w:rFonts w:cs="Arial"/>
        </w:rPr>
        <w:t xml:space="preserve">získané prostředky </w:t>
      </w:r>
      <w:r w:rsidR="0029509F">
        <w:rPr>
          <w:rFonts w:cs="Arial"/>
        </w:rPr>
        <w:t>vy</w:t>
      </w:r>
      <w:r w:rsidR="0029509F" w:rsidRPr="0029509F">
        <w:rPr>
          <w:rFonts w:cs="Arial"/>
        </w:rPr>
        <w:t xml:space="preserve">užívá na ochranu životního prostředí, v rámci čehož </w:t>
      </w:r>
      <w:r w:rsidRPr="00ED38E9">
        <w:rPr>
          <w:rFonts w:cs="Arial"/>
        </w:rPr>
        <w:t>dále podporuje zpracování autovraků. Od doby platnosti předchozích limitů (od 1.1.2009) český vozový park opět zestárl, z tohoto důvodu je nutné zahrnout do placení poplatků další vozidla, která nesplňují přísnější emisní normy EURO 1–3.</w:t>
      </w:r>
    </w:p>
    <w:p w:rsidR="00BE2D4A" w:rsidRPr="00ED38E9" w:rsidRDefault="00BE2D4A" w:rsidP="007A2E3D">
      <w:pPr>
        <w:pStyle w:val="Nadpis3"/>
      </w:pPr>
      <w:r w:rsidRPr="00ED38E9">
        <w:t>Popis existujícího právního stavu v dané oblasti</w:t>
      </w:r>
    </w:p>
    <w:p w:rsidR="00BE2D4A" w:rsidRPr="00ED38E9" w:rsidRDefault="00BE2D4A" w:rsidP="00BE2D4A">
      <w:pPr>
        <w:rPr>
          <w:rFonts w:cs="Arial"/>
        </w:rPr>
      </w:pPr>
      <w:r w:rsidRPr="00ED38E9">
        <w:rPr>
          <w:rFonts w:cs="Arial"/>
        </w:rPr>
        <w:t xml:space="preserve">Žadatel o registraci použitého vozidla kategorie M1 a N1 do registru silničních vozidel podle jiného právního předpisu je povinnen zaplatit poplatek </w:t>
      </w:r>
      <w:r w:rsidR="00FA78D5" w:rsidRPr="00FA78D5">
        <w:t>na podporu sběru, zpracování, využití a odstranění vybraných autovraků</w:t>
      </w:r>
      <w:r w:rsidRPr="00ED38E9">
        <w:rPr>
          <w:rFonts w:cs="Arial"/>
        </w:rPr>
        <w:t>. Poplatek se platí při první registraci použitého vozidla M1 a N1 v České republice. Pokud je již vozidlo v České republice registrováno, platí se poplatek při první přeregistraci vozidla.</w:t>
      </w:r>
    </w:p>
    <w:p w:rsidR="00BE2D4A" w:rsidRPr="00ED38E9" w:rsidRDefault="00BE2D4A" w:rsidP="00BE2D4A">
      <w:pPr>
        <w:rPr>
          <w:rFonts w:cs="Arial"/>
        </w:rPr>
      </w:pPr>
      <w:r w:rsidRPr="00ED38E9">
        <w:rPr>
          <w:rFonts w:cs="Arial"/>
        </w:rPr>
        <w:t>Poplatek je stanoven dle plnění mezních hodnot emisí ve výfukových plynech v souladu s právními předpisy Evropsk</w:t>
      </w:r>
      <w:r w:rsidR="00084446">
        <w:rPr>
          <w:rFonts w:cs="Arial"/>
        </w:rPr>
        <w:t>é unie</w:t>
      </w:r>
      <w:r w:rsidRPr="00ED38E9">
        <w:rPr>
          <w:rFonts w:cs="Arial"/>
        </w:rPr>
        <w:t>.</w:t>
      </w:r>
    </w:p>
    <w:p w:rsidR="00BE2D4A" w:rsidRPr="00ED38E9" w:rsidRDefault="00BE2D4A" w:rsidP="00620E6B">
      <w:pPr>
        <w:pStyle w:val="Odstavecseseznamem"/>
        <w:numPr>
          <w:ilvl w:val="0"/>
          <w:numId w:val="6"/>
        </w:numPr>
        <w:rPr>
          <w:rFonts w:cs="Arial"/>
        </w:rPr>
      </w:pPr>
      <w:r w:rsidRPr="00ED38E9">
        <w:rPr>
          <w:rFonts w:cs="Arial"/>
        </w:rPr>
        <w:t>3 000 Kč v případě splnění mezních hodnot emisí EURO 2,</w:t>
      </w:r>
    </w:p>
    <w:p w:rsidR="00BE2D4A" w:rsidRPr="00ED38E9" w:rsidRDefault="00BE2D4A" w:rsidP="00620E6B">
      <w:pPr>
        <w:pStyle w:val="Odstavecseseznamem"/>
        <w:numPr>
          <w:ilvl w:val="0"/>
          <w:numId w:val="6"/>
        </w:numPr>
        <w:rPr>
          <w:rFonts w:cs="Arial"/>
        </w:rPr>
      </w:pPr>
      <w:r w:rsidRPr="00ED38E9">
        <w:rPr>
          <w:rFonts w:cs="Arial"/>
        </w:rPr>
        <w:t>5 000 Kč v případě splnění mezních hodnot emisí EURO 1,</w:t>
      </w:r>
    </w:p>
    <w:p w:rsidR="00BE2D4A" w:rsidRPr="00ED38E9" w:rsidRDefault="00BE2D4A" w:rsidP="00620E6B">
      <w:pPr>
        <w:pStyle w:val="Odstavecseseznamem"/>
        <w:numPr>
          <w:ilvl w:val="0"/>
          <w:numId w:val="6"/>
        </w:numPr>
        <w:rPr>
          <w:rFonts w:cs="Arial"/>
        </w:rPr>
      </w:pPr>
      <w:r w:rsidRPr="00ED38E9">
        <w:rPr>
          <w:rFonts w:cs="Arial"/>
        </w:rPr>
        <w:t>10 000 Kč v případě nesplnění mezních hodnot emisí podle písmene a) nebo b).</w:t>
      </w:r>
    </w:p>
    <w:p w:rsidR="00BE2D4A" w:rsidRPr="00ED38E9" w:rsidRDefault="00BE2D4A" w:rsidP="007A2E3D">
      <w:pPr>
        <w:pStyle w:val="Nadpis3"/>
      </w:pPr>
      <w:r w:rsidRPr="00ED38E9">
        <w:t>Identifikace dotčených subjektů</w:t>
      </w:r>
    </w:p>
    <w:p w:rsidR="00BE2D4A" w:rsidRPr="00ED38E9" w:rsidRDefault="00BE2D4A" w:rsidP="00620E6B">
      <w:pPr>
        <w:pStyle w:val="Odstavecseseznamem"/>
        <w:numPr>
          <w:ilvl w:val="0"/>
          <w:numId w:val="7"/>
        </w:numPr>
        <w:rPr>
          <w:rFonts w:cs="Arial"/>
        </w:rPr>
      </w:pPr>
      <w:r w:rsidRPr="00ED38E9">
        <w:rPr>
          <w:rFonts w:cs="Arial"/>
        </w:rPr>
        <w:t>majitelé vozidel,</w:t>
      </w:r>
    </w:p>
    <w:p w:rsidR="00BE2D4A" w:rsidRPr="00ED38E9" w:rsidRDefault="00BE2D4A" w:rsidP="00620E6B">
      <w:pPr>
        <w:pStyle w:val="Odstavecseseznamem"/>
        <w:numPr>
          <w:ilvl w:val="0"/>
          <w:numId w:val="7"/>
        </w:numPr>
        <w:rPr>
          <w:rFonts w:cs="Arial"/>
        </w:rPr>
      </w:pPr>
      <w:r w:rsidRPr="00ED38E9">
        <w:rPr>
          <w:rFonts w:cs="Arial"/>
        </w:rPr>
        <w:t>Státní fond životního prostředí ČR (SFŽP ČR),</w:t>
      </w:r>
    </w:p>
    <w:p w:rsidR="00BE2D4A" w:rsidRPr="00ED38E9" w:rsidRDefault="00BE2D4A" w:rsidP="00620E6B">
      <w:pPr>
        <w:pStyle w:val="Odstavecseseznamem"/>
        <w:numPr>
          <w:ilvl w:val="0"/>
          <w:numId w:val="7"/>
        </w:numPr>
        <w:rPr>
          <w:rFonts w:cs="Arial"/>
        </w:rPr>
      </w:pPr>
      <w:r w:rsidRPr="00ED38E9">
        <w:rPr>
          <w:rFonts w:cs="Arial"/>
        </w:rPr>
        <w:t>zpracovatelé autovraků.</w:t>
      </w:r>
    </w:p>
    <w:p w:rsidR="002A5C5D" w:rsidRPr="00ED38E9" w:rsidRDefault="002A5C5D">
      <w:pPr>
        <w:spacing w:line="240" w:lineRule="auto"/>
        <w:jc w:val="left"/>
        <w:rPr>
          <w:rFonts w:cs="Arial"/>
          <w:b/>
          <w:bCs/>
          <w:i/>
          <w:szCs w:val="26"/>
        </w:rPr>
      </w:pPr>
      <w:r w:rsidRPr="00ED38E9">
        <w:rPr>
          <w:rFonts w:cs="Arial"/>
        </w:rPr>
        <w:br w:type="page"/>
      </w:r>
    </w:p>
    <w:p w:rsidR="00BE2D4A" w:rsidRPr="00ED38E9" w:rsidRDefault="00BE2D4A" w:rsidP="007A2E3D">
      <w:pPr>
        <w:pStyle w:val="Nadpis3"/>
      </w:pPr>
      <w:r w:rsidRPr="00ED38E9">
        <w:lastRenderedPageBreak/>
        <w:t>Popis cílového stavu</w:t>
      </w:r>
    </w:p>
    <w:p w:rsidR="00BE2D4A" w:rsidRPr="00ED38E9" w:rsidRDefault="00BE2D4A" w:rsidP="00BE2D4A">
      <w:pPr>
        <w:rPr>
          <w:rFonts w:cs="Arial"/>
          <w:lang w:eastAsia="cs-CZ" w:bidi="ar-SA"/>
        </w:rPr>
      </w:pPr>
      <w:r w:rsidRPr="00ED38E9">
        <w:rPr>
          <w:rFonts w:cs="Arial"/>
          <w:lang w:eastAsia="cs-CZ" w:bidi="ar-SA"/>
        </w:rPr>
        <w:t>Cílem je snížit počet dovážených starých vozidel a prodej starých vozidel</w:t>
      </w:r>
      <w:r w:rsidR="00C14B64">
        <w:rPr>
          <w:rFonts w:cs="Arial"/>
          <w:lang w:eastAsia="cs-CZ" w:bidi="ar-SA"/>
        </w:rPr>
        <w:t>,</w:t>
      </w:r>
      <w:r w:rsidRPr="00ED38E9">
        <w:rPr>
          <w:rFonts w:cs="Arial"/>
          <w:lang w:eastAsia="cs-CZ" w:bidi="ar-SA"/>
        </w:rPr>
        <w:t xml:space="preserve"> </w:t>
      </w:r>
      <w:r w:rsidR="00C14B64">
        <w:rPr>
          <w:rFonts w:cs="Arial"/>
          <w:lang w:eastAsia="cs-CZ" w:bidi="ar-SA"/>
        </w:rPr>
        <w:t xml:space="preserve">omlazení vozového parku </w:t>
      </w:r>
      <w:r w:rsidR="00C14B64" w:rsidRPr="00ED38E9">
        <w:rPr>
          <w:rFonts w:cs="Arial"/>
          <w:lang w:eastAsia="cs-CZ" w:bidi="ar-SA"/>
        </w:rPr>
        <w:t>České republiky</w:t>
      </w:r>
      <w:r w:rsidR="00C14B64">
        <w:rPr>
          <w:rFonts w:cs="Arial"/>
          <w:lang w:eastAsia="cs-CZ" w:bidi="ar-SA"/>
        </w:rPr>
        <w:t xml:space="preserve"> a snížení emisí vznikající v silniční dopravě. </w:t>
      </w:r>
    </w:p>
    <w:p w:rsidR="00BE2D4A" w:rsidRPr="00ED38E9" w:rsidRDefault="00BE2D4A" w:rsidP="007A2E3D">
      <w:pPr>
        <w:pStyle w:val="Nadpis3"/>
      </w:pPr>
      <w:r w:rsidRPr="00ED38E9">
        <w:t>Zhodnocení rizika</w:t>
      </w:r>
    </w:p>
    <w:p w:rsidR="00BE2D4A" w:rsidRPr="00ED38E9" w:rsidRDefault="00BE2D4A" w:rsidP="00BE2D4A">
      <w:pPr>
        <w:rPr>
          <w:rFonts w:cs="Arial"/>
        </w:rPr>
      </w:pPr>
      <w:r w:rsidRPr="00ED38E9">
        <w:rPr>
          <w:rFonts w:cs="Arial"/>
        </w:rPr>
        <w:t xml:space="preserve">V případě </w:t>
      </w:r>
      <w:r w:rsidR="00E95AA0">
        <w:rPr>
          <w:rFonts w:cs="Arial"/>
        </w:rPr>
        <w:t xml:space="preserve">zachování </w:t>
      </w:r>
      <w:r w:rsidRPr="00ED38E9">
        <w:rPr>
          <w:rFonts w:cs="Arial"/>
        </w:rPr>
        <w:t xml:space="preserve">limitů k daným poplatkům </w:t>
      </w:r>
      <w:r w:rsidR="002903FF">
        <w:rPr>
          <w:rFonts w:cs="Arial"/>
        </w:rPr>
        <w:t>dojde k nesplnění</w:t>
      </w:r>
      <w:r w:rsidR="002903FF" w:rsidRPr="00ED38E9">
        <w:rPr>
          <w:rFonts w:cs="Arial"/>
        </w:rPr>
        <w:t xml:space="preserve"> </w:t>
      </w:r>
      <w:r w:rsidR="002903FF">
        <w:rPr>
          <w:rFonts w:cs="Arial"/>
        </w:rPr>
        <w:t>u</w:t>
      </w:r>
      <w:r w:rsidRPr="00ED38E9">
        <w:rPr>
          <w:rFonts w:cs="Arial"/>
        </w:rPr>
        <w:t>snesení vlády České republiky č. 819 ze dne 9. listopadu 2011, které ukládá ministru životního prostředí ve spolupráci s ministrem průmyslu a obchodu předložit vládě do 31.</w:t>
      </w:r>
      <w:r w:rsidR="00C14B64">
        <w:rPr>
          <w:rFonts w:cs="Arial"/>
        </w:rPr>
        <w:t> prosince </w:t>
      </w:r>
      <w:r w:rsidRPr="00ED38E9">
        <w:rPr>
          <w:rFonts w:cs="Arial"/>
        </w:rPr>
        <w:t>2012 návrh nového zákona o zpětném odběru vybraných výrobků, ve kterém budou zahrnuty do placení poplatku za 1. registraci použitého vozidla i vozidla plnící emisní normu EURO 3.</w:t>
      </w:r>
    </w:p>
    <w:p w:rsidR="00BE2D4A" w:rsidRPr="00ED38E9" w:rsidRDefault="00BE2D4A" w:rsidP="007A2E3D">
      <w:pPr>
        <w:pStyle w:val="Nadpis2"/>
      </w:pPr>
      <w:bookmarkStart w:id="271" w:name="_Toc441759952"/>
      <w:r w:rsidRPr="00ED38E9">
        <w:t>Návrh variant řešení</w:t>
      </w:r>
      <w:bookmarkEnd w:id="271"/>
    </w:p>
    <w:p w:rsidR="00BE2D4A" w:rsidRPr="00ED38E9" w:rsidRDefault="00BE2D4A" w:rsidP="007A2E3D">
      <w:pPr>
        <w:pStyle w:val="Nadpis3"/>
      </w:pPr>
      <w:r w:rsidRPr="00ED38E9">
        <w:t>Varianta 0</w:t>
      </w:r>
    </w:p>
    <w:p w:rsidR="00BE2D4A" w:rsidRPr="00ED38E9" w:rsidRDefault="00BE2D4A" w:rsidP="00BE2D4A">
      <w:pPr>
        <w:rPr>
          <w:rFonts w:cs="Arial"/>
        </w:rPr>
      </w:pPr>
      <w:r w:rsidRPr="00ED38E9">
        <w:rPr>
          <w:rFonts w:cs="Arial"/>
        </w:rPr>
        <w:t>Současný stav, kdy poplatek je stanoven dle plnění mezních hodnot emisí ve výfukových plynech v souladu s právními předpisy Evropsk</w:t>
      </w:r>
      <w:r w:rsidR="00084446">
        <w:rPr>
          <w:rFonts w:cs="Arial"/>
        </w:rPr>
        <w:t>é unie</w:t>
      </w:r>
      <w:r w:rsidR="00E95AA0">
        <w:rPr>
          <w:rFonts w:cs="Arial"/>
        </w:rPr>
        <w:t>:</w:t>
      </w:r>
    </w:p>
    <w:p w:rsidR="00BE2D4A" w:rsidRPr="00ED38E9" w:rsidRDefault="00BE2D4A" w:rsidP="00620E6B">
      <w:pPr>
        <w:pStyle w:val="Odstavecseseznamem"/>
        <w:numPr>
          <w:ilvl w:val="0"/>
          <w:numId w:val="8"/>
        </w:numPr>
        <w:rPr>
          <w:rFonts w:cs="Arial"/>
        </w:rPr>
      </w:pPr>
      <w:r w:rsidRPr="00ED38E9">
        <w:rPr>
          <w:rFonts w:cs="Arial"/>
        </w:rPr>
        <w:t>3 000 Kč v případě splnění mezních hodnot emisí EURO 2,</w:t>
      </w:r>
    </w:p>
    <w:p w:rsidR="00BE2D4A" w:rsidRPr="00ED38E9" w:rsidRDefault="00BE2D4A" w:rsidP="00620E6B">
      <w:pPr>
        <w:pStyle w:val="Odstavecseseznamem"/>
        <w:numPr>
          <w:ilvl w:val="0"/>
          <w:numId w:val="8"/>
        </w:numPr>
        <w:rPr>
          <w:rFonts w:cs="Arial"/>
        </w:rPr>
      </w:pPr>
      <w:r w:rsidRPr="00ED38E9">
        <w:rPr>
          <w:rFonts w:cs="Arial"/>
        </w:rPr>
        <w:t>5 000 Kč v případě splnění mezních hodnot emisí EURO 1,</w:t>
      </w:r>
    </w:p>
    <w:p w:rsidR="00BE2D4A" w:rsidRPr="00ED38E9" w:rsidRDefault="00BE2D4A" w:rsidP="00620E6B">
      <w:pPr>
        <w:pStyle w:val="Odstavecseseznamem"/>
        <w:numPr>
          <w:ilvl w:val="0"/>
          <w:numId w:val="8"/>
        </w:numPr>
        <w:rPr>
          <w:rFonts w:cs="Arial"/>
        </w:rPr>
      </w:pPr>
      <w:r w:rsidRPr="00ED38E9">
        <w:rPr>
          <w:rFonts w:cs="Arial"/>
        </w:rPr>
        <w:t>10 000 Kč v případě nesplnění mezních hodnot emisí podle písmene a) nebo b).</w:t>
      </w:r>
    </w:p>
    <w:p w:rsidR="00BE2D4A" w:rsidRPr="00ED38E9" w:rsidRDefault="00BE2D4A" w:rsidP="007A2E3D">
      <w:pPr>
        <w:pStyle w:val="Nadpis3"/>
      </w:pPr>
      <w:r w:rsidRPr="00ED38E9">
        <w:t>Varianta 1</w:t>
      </w:r>
    </w:p>
    <w:p w:rsidR="00BE2D4A" w:rsidRPr="00ED38E9" w:rsidRDefault="00BE2D4A" w:rsidP="00BE2D4A">
      <w:pPr>
        <w:rPr>
          <w:rFonts w:cs="Arial"/>
        </w:rPr>
      </w:pPr>
      <w:r w:rsidRPr="00ED38E9">
        <w:rPr>
          <w:rFonts w:cs="Arial"/>
        </w:rPr>
        <w:t>Změna poplatku dle plnění mezních hodnot emisí ve výfukových plynech v souladu s právními předpisy Evropsk</w:t>
      </w:r>
      <w:r w:rsidR="00084446">
        <w:rPr>
          <w:rFonts w:cs="Arial"/>
        </w:rPr>
        <w:t>é</w:t>
      </w:r>
      <w:r w:rsidRPr="00ED38E9">
        <w:rPr>
          <w:rFonts w:cs="Arial"/>
        </w:rPr>
        <w:t xml:space="preserve"> </w:t>
      </w:r>
      <w:r w:rsidR="00084446">
        <w:rPr>
          <w:rFonts w:cs="Arial"/>
        </w:rPr>
        <w:t>unie</w:t>
      </w:r>
      <w:r w:rsidR="00E95AA0">
        <w:rPr>
          <w:rFonts w:cs="Arial"/>
        </w:rPr>
        <w:t>,</w:t>
      </w:r>
      <w:r w:rsidRPr="00ED38E9">
        <w:rPr>
          <w:rFonts w:cs="Arial"/>
        </w:rPr>
        <w:t xml:space="preserve"> a to na:</w:t>
      </w:r>
    </w:p>
    <w:p w:rsidR="00BE2D4A" w:rsidRPr="00ED38E9" w:rsidRDefault="00BE2D4A" w:rsidP="00620E6B">
      <w:pPr>
        <w:pStyle w:val="Odstavecseseznamem"/>
        <w:numPr>
          <w:ilvl w:val="0"/>
          <w:numId w:val="9"/>
        </w:numPr>
        <w:rPr>
          <w:rFonts w:cs="Arial"/>
        </w:rPr>
      </w:pPr>
      <w:r w:rsidRPr="00ED38E9">
        <w:rPr>
          <w:rFonts w:cs="Arial"/>
        </w:rPr>
        <w:t>3 000 Kč v případě splnění mezních hodnot emisí EURO 3,</w:t>
      </w:r>
    </w:p>
    <w:p w:rsidR="00BE2D4A" w:rsidRPr="00ED38E9" w:rsidRDefault="00BE2D4A" w:rsidP="00620E6B">
      <w:pPr>
        <w:pStyle w:val="Odstavecseseznamem"/>
        <w:numPr>
          <w:ilvl w:val="0"/>
          <w:numId w:val="9"/>
        </w:numPr>
        <w:rPr>
          <w:rFonts w:cs="Arial"/>
        </w:rPr>
      </w:pPr>
      <w:r w:rsidRPr="00ED38E9">
        <w:rPr>
          <w:rFonts w:cs="Arial"/>
        </w:rPr>
        <w:t>5 000 Kč v případě splnění mezních hodnot emisí EURO 2,</w:t>
      </w:r>
    </w:p>
    <w:p w:rsidR="00BE2D4A" w:rsidRDefault="00BE2D4A" w:rsidP="00620E6B">
      <w:pPr>
        <w:pStyle w:val="Odstavecseseznamem"/>
        <w:numPr>
          <w:ilvl w:val="0"/>
          <w:numId w:val="9"/>
        </w:numPr>
        <w:rPr>
          <w:rFonts w:cs="Arial"/>
        </w:rPr>
      </w:pPr>
      <w:r w:rsidRPr="00ED38E9">
        <w:rPr>
          <w:rFonts w:cs="Arial"/>
        </w:rPr>
        <w:t>10 000 Kč v případě nesplnění mezních hodnot emisí podle písmene b).</w:t>
      </w:r>
    </w:p>
    <w:p w:rsidR="000C7590" w:rsidRPr="000C7590" w:rsidRDefault="000C7590" w:rsidP="000C7590">
      <w:pPr>
        <w:rPr>
          <w:rFonts w:cs="Arial"/>
        </w:rPr>
      </w:pPr>
      <w:r w:rsidRPr="000C7590">
        <w:rPr>
          <w:rFonts w:cs="Arial"/>
        </w:rPr>
        <w:t>Oproti současnému stavu je navrženo zavedení výjimky pro vozidla, která připadla státu na základě rozhodnutí o propadnutí nebo zabrání věci v trestním, přestupkovém nebo jiném obdobném řízení. Počet vozidel státu takto připadlých, která zároveň nebudou splňovat příslušné mezní hodnoty emisí a spadaly by tak pod povinnost úhrady po</w:t>
      </w:r>
      <w:r w:rsidR="00627FF1">
        <w:rPr>
          <w:rFonts w:cs="Arial"/>
        </w:rPr>
        <w:t>p</w:t>
      </w:r>
      <w:r w:rsidRPr="000C7590">
        <w:rPr>
          <w:rFonts w:cs="Arial"/>
        </w:rPr>
        <w:t>latku se však pohybuje v jednotkách či desítkách.</w:t>
      </w:r>
    </w:p>
    <w:p w:rsidR="00BE2D4A" w:rsidRPr="00ED38E9" w:rsidRDefault="00BE2D4A" w:rsidP="007A2E3D">
      <w:pPr>
        <w:pStyle w:val="Nadpis2"/>
      </w:pPr>
      <w:bookmarkStart w:id="272" w:name="_Toc441759953"/>
      <w:r w:rsidRPr="00ED38E9">
        <w:t>Vyhodnocení nákladů a přínosů</w:t>
      </w:r>
      <w:bookmarkEnd w:id="272"/>
    </w:p>
    <w:p w:rsidR="00BE2D4A" w:rsidRPr="00ED38E9" w:rsidRDefault="00BE2D4A" w:rsidP="007A2E3D">
      <w:pPr>
        <w:pStyle w:val="Nadpis3"/>
      </w:pPr>
      <w:r w:rsidRPr="00ED38E9">
        <w:t>Identifikace nákladů a přínosů</w:t>
      </w:r>
    </w:p>
    <w:p w:rsidR="00BE2D4A" w:rsidRPr="00ED38E9" w:rsidRDefault="00BE2D4A" w:rsidP="002D66F0">
      <w:pPr>
        <w:keepNext/>
        <w:numPr>
          <w:ilvl w:val="0"/>
          <w:numId w:val="87"/>
        </w:numPr>
        <w:spacing w:before="240" w:after="120"/>
        <w:rPr>
          <w:rFonts w:cs="Arial"/>
        </w:rPr>
      </w:pPr>
      <w:r w:rsidRPr="00ED38E9">
        <w:rPr>
          <w:rFonts w:cs="Arial"/>
          <w:noProof w:val="0"/>
          <w:lang w:bidi="ar-SA"/>
        </w:rPr>
        <w:t>Varianta</w:t>
      </w:r>
      <w:r w:rsidRPr="00ED38E9">
        <w:rPr>
          <w:rFonts w:cs="Arial"/>
        </w:rPr>
        <w:t xml:space="preserve"> 0</w:t>
      </w:r>
    </w:p>
    <w:p w:rsidR="00BE2D4A" w:rsidRPr="00ED38E9" w:rsidRDefault="00BE2D4A" w:rsidP="00BE2D4A">
      <w:pPr>
        <w:rPr>
          <w:rFonts w:cs="Arial"/>
        </w:rPr>
      </w:pPr>
      <w:r w:rsidRPr="00ED38E9">
        <w:rPr>
          <w:rFonts w:cs="Arial"/>
        </w:rPr>
        <w:t>Tato varianta přináší náklady spojené s registrací vozidel, kdy při registraci vozidla na ORP je po majiteli vyžadován poplatek dle emisního limitu. Vybrané poplatky jsou v měsíčních intervalech vykazovány a předávány SFŽP ČR.</w:t>
      </w:r>
    </w:p>
    <w:p w:rsidR="002A5C5D" w:rsidRPr="00ED38E9" w:rsidRDefault="00BE2D4A" w:rsidP="00BE2D4A">
      <w:pPr>
        <w:rPr>
          <w:rFonts w:cs="Arial"/>
        </w:rPr>
      </w:pPr>
      <w:r w:rsidRPr="00ED38E9">
        <w:rPr>
          <w:rFonts w:cs="Arial"/>
        </w:rPr>
        <w:t>Přínosem této varianty je příjem finančních prostředků do SFŽP ČR, který je závislý na emisních normách registrovaných vozidel v daném roce.</w:t>
      </w:r>
      <w:r w:rsidR="002A5C5D" w:rsidRPr="00ED38E9">
        <w:rPr>
          <w:rFonts w:cs="Arial"/>
        </w:rPr>
        <w:t xml:space="preserve"> </w:t>
      </w:r>
    </w:p>
    <w:p w:rsidR="002A5C5D" w:rsidRPr="00ED38E9" w:rsidRDefault="002A5C5D">
      <w:pPr>
        <w:spacing w:line="240" w:lineRule="auto"/>
        <w:jc w:val="left"/>
        <w:rPr>
          <w:rFonts w:cs="Arial"/>
        </w:rPr>
      </w:pPr>
      <w:r w:rsidRPr="00ED38E9">
        <w:rPr>
          <w:rFonts w:cs="Arial"/>
        </w:rPr>
        <w:br w:type="page"/>
      </w:r>
    </w:p>
    <w:p w:rsidR="002A5C5D" w:rsidRPr="00ED38E9" w:rsidRDefault="002A5C5D" w:rsidP="002A5C5D">
      <w:pPr>
        <w:rPr>
          <w:rFonts w:cs="Arial"/>
        </w:rPr>
      </w:pPr>
      <w:r w:rsidRPr="00ED38E9">
        <w:rPr>
          <w:rFonts w:cs="Arial"/>
        </w:rPr>
        <w:lastRenderedPageBreak/>
        <w:t>V následujucí tabulce jsou zobrazeny příjmy v letech 2009–2014 a odhadované příjmy v roce  2015-2017.</w:t>
      </w:r>
    </w:p>
    <w:p w:rsidR="00BE2D4A" w:rsidRPr="00ED38E9" w:rsidRDefault="00BE2D4A" w:rsidP="00BE2D4A">
      <w:pPr>
        <w:pStyle w:val="Titulek"/>
        <w:rPr>
          <w:rFonts w:cs="Arial"/>
          <w:b w:val="0"/>
        </w:rPr>
      </w:pPr>
      <w:r w:rsidRPr="00ED38E9">
        <w:rPr>
          <w:rFonts w:cs="Arial"/>
        </w:rPr>
        <w:t xml:space="preserve">Tabulka </w:t>
      </w:r>
      <w:r w:rsidR="00381FB7" w:rsidRPr="00ED38E9">
        <w:rPr>
          <w:rFonts w:cs="Arial"/>
          <w:b w:val="0"/>
        </w:rPr>
        <w:fldChar w:fldCharType="begin"/>
      </w:r>
      <w:r w:rsidRPr="00ED38E9">
        <w:rPr>
          <w:rFonts w:cs="Arial"/>
        </w:rPr>
        <w:instrText xml:space="preserve"> SEQ Tabulka \* ARABIC </w:instrText>
      </w:r>
      <w:r w:rsidR="00381FB7" w:rsidRPr="00ED38E9">
        <w:rPr>
          <w:rFonts w:cs="Arial"/>
          <w:b w:val="0"/>
        </w:rPr>
        <w:fldChar w:fldCharType="separate"/>
      </w:r>
      <w:r w:rsidR="00FD5E92">
        <w:rPr>
          <w:rFonts w:cs="Arial"/>
        </w:rPr>
        <w:t>73</w:t>
      </w:r>
      <w:r w:rsidR="00381FB7" w:rsidRPr="00ED38E9">
        <w:rPr>
          <w:rFonts w:cs="Arial"/>
          <w:b w:val="0"/>
        </w:rPr>
        <w:fldChar w:fldCharType="end"/>
      </w:r>
      <w:r w:rsidRPr="00ED38E9">
        <w:rPr>
          <w:rFonts w:cs="Arial"/>
        </w:rPr>
        <w:t>: Přehled příjmů SFŽP ČR v jednotlivých letech</w:t>
      </w:r>
      <w:r w:rsidR="002A5C5D" w:rsidRPr="00ED38E9">
        <w:rPr>
          <w:rFonts w:cs="Arial"/>
        </w:rPr>
        <w:t xml:space="preserve"> a odhad pro další roky</w:t>
      </w:r>
      <w:r w:rsidRPr="00ED38E9">
        <w:rPr>
          <w:rFonts w:cs="Arial"/>
        </w:rPr>
        <w:t xml:space="preserve"> (zdroj: SFŽP ČR)</w:t>
      </w:r>
    </w:p>
    <w:p w:rsidR="00BE2D4A" w:rsidRPr="00ED38E9" w:rsidRDefault="002A5C5D" w:rsidP="00BE2D4A">
      <w:pPr>
        <w:rPr>
          <w:rFonts w:cs="Arial"/>
        </w:rPr>
      </w:pPr>
      <w:r w:rsidRPr="00ED38E9">
        <w:rPr>
          <w:rFonts w:cs="Arial"/>
          <w:lang w:eastAsia="cs-CZ" w:bidi="ar-SA"/>
        </w:rPr>
        <w:drawing>
          <wp:inline distT="0" distB="0" distL="0" distR="0" wp14:anchorId="131F3743" wp14:editId="2F97BD03">
            <wp:extent cx="5760720" cy="1725387"/>
            <wp:effectExtent l="0" t="0" r="0" b="8255"/>
            <wp:docPr id="258"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1725387"/>
                    </a:xfrm>
                    <a:prstGeom prst="rect">
                      <a:avLst/>
                    </a:prstGeom>
                    <a:noFill/>
                    <a:ln>
                      <a:noFill/>
                    </a:ln>
                  </pic:spPr>
                </pic:pic>
              </a:graphicData>
            </a:graphic>
          </wp:inline>
        </w:drawing>
      </w:r>
    </w:p>
    <w:p w:rsidR="00616033" w:rsidRPr="00ED38E9" w:rsidRDefault="00616033" w:rsidP="00A55022">
      <w:pPr>
        <w:spacing w:before="120"/>
        <w:rPr>
          <w:rFonts w:cs="Arial"/>
        </w:rPr>
      </w:pPr>
      <w:r w:rsidRPr="00ED38E9">
        <w:rPr>
          <w:rFonts w:cs="Arial"/>
        </w:rPr>
        <w:t>V letech 2015–201</w:t>
      </w:r>
      <w:r w:rsidR="00A55022" w:rsidRPr="00ED38E9">
        <w:rPr>
          <w:rFonts w:cs="Arial"/>
        </w:rPr>
        <w:t>7</w:t>
      </w:r>
      <w:r w:rsidRPr="00ED38E9">
        <w:rPr>
          <w:rFonts w:cs="Arial"/>
        </w:rPr>
        <w:t xml:space="preserve"> se jedná o kvalifikovaný odhad SFŽP ČR na základě analýzy dat uhrazených poplatků a veřejně dostupných informací. Ministestvo </w:t>
      </w:r>
      <w:r w:rsidR="00A55022" w:rsidRPr="00ED38E9">
        <w:rPr>
          <w:rFonts w:cs="Arial"/>
        </w:rPr>
        <w:t>má k dispozici</w:t>
      </w:r>
      <w:r w:rsidRPr="00ED38E9">
        <w:rPr>
          <w:rFonts w:cs="Arial"/>
        </w:rPr>
        <w:t xml:space="preserve"> statistik</w:t>
      </w:r>
      <w:r w:rsidR="00A55022" w:rsidRPr="00ED38E9">
        <w:rPr>
          <w:rFonts w:cs="Arial"/>
        </w:rPr>
        <w:t>y</w:t>
      </w:r>
      <w:r w:rsidRPr="00ED38E9">
        <w:rPr>
          <w:rFonts w:cs="Arial"/>
        </w:rPr>
        <w:t xml:space="preserve"> o</w:t>
      </w:r>
      <w:r w:rsidR="00A55022" w:rsidRPr="00ED38E9">
        <w:rPr>
          <w:rFonts w:cs="Arial"/>
        </w:rPr>
        <w:t> </w:t>
      </w:r>
      <w:r w:rsidRPr="00ED38E9">
        <w:rPr>
          <w:rFonts w:cs="Arial"/>
        </w:rPr>
        <w:t xml:space="preserve">počtu vozidel </w:t>
      </w:r>
      <w:r w:rsidR="00A55022" w:rsidRPr="00ED38E9">
        <w:rPr>
          <w:rFonts w:cs="Arial"/>
        </w:rPr>
        <w:t xml:space="preserve">dle </w:t>
      </w:r>
      <w:r w:rsidRPr="00ED38E9">
        <w:rPr>
          <w:rFonts w:cs="Arial"/>
        </w:rPr>
        <w:t>emisních nor</w:t>
      </w:r>
      <w:r w:rsidR="00A55022" w:rsidRPr="00ED38E9">
        <w:rPr>
          <w:rFonts w:cs="Arial"/>
        </w:rPr>
        <w:t>em</w:t>
      </w:r>
      <w:r w:rsidRPr="00ED38E9">
        <w:rPr>
          <w:rFonts w:cs="Arial"/>
        </w:rPr>
        <w:t xml:space="preserve"> </w:t>
      </w:r>
      <w:r w:rsidR="00A55022" w:rsidRPr="00ED38E9">
        <w:rPr>
          <w:rFonts w:cs="Arial"/>
        </w:rPr>
        <w:t>nebo</w:t>
      </w:r>
      <w:r w:rsidRPr="00ED38E9">
        <w:rPr>
          <w:rFonts w:cs="Arial"/>
        </w:rPr>
        <w:t xml:space="preserve"> stáří vozidel, ale již nedisponuje informací, jaké množství z daných vozidel již daný poplatek má zaplacený nebo jejich majitelé se v následujících</w:t>
      </w:r>
      <w:r w:rsidR="00A55022" w:rsidRPr="00ED38E9">
        <w:rPr>
          <w:rFonts w:cs="Arial"/>
        </w:rPr>
        <w:t xml:space="preserve"> letech rozhodnou o převod</w:t>
      </w:r>
      <w:r w:rsidR="00E95AA0">
        <w:rPr>
          <w:rFonts w:cs="Arial"/>
        </w:rPr>
        <w:t>u</w:t>
      </w:r>
      <w:r w:rsidR="00A55022" w:rsidRPr="00ED38E9">
        <w:rPr>
          <w:rFonts w:cs="Arial"/>
        </w:rPr>
        <w:t xml:space="preserve"> a tím budou nuceni daný poplatek uhradit.</w:t>
      </w:r>
    </w:p>
    <w:p w:rsidR="00BE2D4A" w:rsidRPr="00ED38E9" w:rsidRDefault="00BE2D4A" w:rsidP="002D66F0">
      <w:pPr>
        <w:keepNext/>
        <w:numPr>
          <w:ilvl w:val="0"/>
          <w:numId w:val="87"/>
        </w:numPr>
        <w:spacing w:before="240" w:after="120"/>
        <w:rPr>
          <w:rFonts w:cs="Arial"/>
        </w:rPr>
      </w:pPr>
      <w:r w:rsidRPr="00ED38E9">
        <w:rPr>
          <w:rFonts w:cs="Arial"/>
          <w:noProof w:val="0"/>
          <w:lang w:bidi="ar-SA"/>
        </w:rPr>
        <w:t>Varianta</w:t>
      </w:r>
      <w:r w:rsidRPr="00ED38E9">
        <w:rPr>
          <w:rFonts w:cs="Arial"/>
        </w:rPr>
        <w:t xml:space="preserve"> 1</w:t>
      </w:r>
    </w:p>
    <w:p w:rsidR="002A5C5D" w:rsidRPr="00ED38E9" w:rsidRDefault="00BE2D4A" w:rsidP="00BE2D4A">
      <w:pPr>
        <w:rPr>
          <w:rFonts w:cs="Arial"/>
        </w:rPr>
      </w:pPr>
      <w:r w:rsidRPr="00ED38E9">
        <w:rPr>
          <w:rFonts w:cs="Arial"/>
        </w:rPr>
        <w:t>Předpokládáme mírné navýšení nákladů oproti roku 201</w:t>
      </w:r>
      <w:r w:rsidR="00317718" w:rsidRPr="00ED38E9">
        <w:rPr>
          <w:rFonts w:cs="Arial"/>
        </w:rPr>
        <w:t>4</w:t>
      </w:r>
      <w:r w:rsidRPr="00ED38E9">
        <w:rPr>
          <w:rFonts w:cs="Arial"/>
        </w:rPr>
        <w:t xml:space="preserve"> v souvislosti s navýšením počtu vozidel nesplňujících dané normy. Naopak se předpokládá zvýšení příjmů na straně SFŽP</w:t>
      </w:r>
      <w:r w:rsidR="00317718" w:rsidRPr="00ED38E9">
        <w:rPr>
          <w:rFonts w:cs="Arial"/>
        </w:rPr>
        <w:t> </w:t>
      </w:r>
      <w:r w:rsidRPr="00ED38E9">
        <w:rPr>
          <w:rFonts w:cs="Arial"/>
        </w:rPr>
        <w:t>ČR, kte</w:t>
      </w:r>
      <w:r w:rsidR="00AD386C" w:rsidRPr="00ED38E9">
        <w:rPr>
          <w:rFonts w:cs="Arial"/>
        </w:rPr>
        <w:t>rý je příjemcem tohoto poplatku</w:t>
      </w:r>
      <w:r w:rsidRPr="00ED38E9">
        <w:rPr>
          <w:rFonts w:cs="Arial"/>
        </w:rPr>
        <w:t>. V</w:t>
      </w:r>
      <w:r w:rsidR="00333557" w:rsidRPr="00ED38E9">
        <w:rPr>
          <w:rFonts w:cs="Arial"/>
        </w:rPr>
        <w:t> </w:t>
      </w:r>
      <w:r w:rsidRPr="00ED38E9">
        <w:rPr>
          <w:rFonts w:cs="Arial"/>
        </w:rPr>
        <w:t>následuj</w:t>
      </w:r>
      <w:r w:rsidR="00504D77">
        <w:rPr>
          <w:rFonts w:cs="Arial"/>
        </w:rPr>
        <w:t>í</w:t>
      </w:r>
      <w:r w:rsidRPr="00ED38E9">
        <w:rPr>
          <w:rFonts w:cs="Arial"/>
        </w:rPr>
        <w:t>cí tabulce jsou zobrazeny</w:t>
      </w:r>
      <w:r w:rsidR="007B0D4B" w:rsidRPr="00ED38E9">
        <w:rPr>
          <w:rFonts w:cs="Arial"/>
        </w:rPr>
        <w:t xml:space="preserve"> příjmy v letech 2009–201</w:t>
      </w:r>
      <w:r w:rsidR="002A5C5D" w:rsidRPr="00ED38E9">
        <w:rPr>
          <w:rFonts w:cs="Arial"/>
        </w:rPr>
        <w:t>4</w:t>
      </w:r>
      <w:r w:rsidR="007B0D4B" w:rsidRPr="00ED38E9">
        <w:rPr>
          <w:rFonts w:cs="Arial"/>
        </w:rPr>
        <w:t xml:space="preserve"> a</w:t>
      </w:r>
      <w:r w:rsidRPr="00ED38E9">
        <w:rPr>
          <w:rFonts w:cs="Arial"/>
        </w:rPr>
        <w:t xml:space="preserve"> odhadované příjmy </w:t>
      </w:r>
      <w:r w:rsidR="007B0D4B" w:rsidRPr="00ED38E9">
        <w:rPr>
          <w:rFonts w:cs="Arial"/>
        </w:rPr>
        <w:t>v roce</w:t>
      </w:r>
      <w:r w:rsidRPr="00ED38E9">
        <w:rPr>
          <w:rFonts w:cs="Arial"/>
        </w:rPr>
        <w:t xml:space="preserve">  201</w:t>
      </w:r>
      <w:r w:rsidR="002A5C5D" w:rsidRPr="00ED38E9">
        <w:rPr>
          <w:rFonts w:cs="Arial"/>
        </w:rPr>
        <w:t>5-2017.</w:t>
      </w:r>
    </w:p>
    <w:p w:rsidR="00BE2D4A" w:rsidRPr="00ED38E9" w:rsidRDefault="00BE2D4A" w:rsidP="00BE2D4A">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74</w:t>
      </w:r>
      <w:r w:rsidR="00381FB7" w:rsidRPr="00ED38E9">
        <w:rPr>
          <w:rFonts w:cs="Arial"/>
        </w:rPr>
        <w:fldChar w:fldCharType="end"/>
      </w:r>
      <w:r w:rsidRPr="00ED38E9">
        <w:rPr>
          <w:rFonts w:cs="Arial"/>
        </w:rPr>
        <w:t>: Přehled příjmů SFŽP ČR v</w:t>
      </w:r>
      <w:r w:rsidR="00333557" w:rsidRPr="00ED38E9">
        <w:rPr>
          <w:rFonts w:cs="Arial"/>
        </w:rPr>
        <w:t> </w:t>
      </w:r>
      <w:r w:rsidRPr="00ED38E9">
        <w:rPr>
          <w:rFonts w:cs="Arial"/>
        </w:rPr>
        <w:t xml:space="preserve">jednotlivých letech </w:t>
      </w:r>
      <w:r w:rsidR="002A5C5D" w:rsidRPr="00ED38E9">
        <w:rPr>
          <w:rFonts w:cs="Arial"/>
        </w:rPr>
        <w:t xml:space="preserve">a odhad pro další roky </w:t>
      </w:r>
      <w:r w:rsidRPr="00ED38E9">
        <w:rPr>
          <w:rFonts w:cs="Arial"/>
        </w:rPr>
        <w:t>(zdroj: SFŽP ČR)</w:t>
      </w:r>
    </w:p>
    <w:p w:rsidR="00BE2D4A" w:rsidRPr="00ED38E9" w:rsidRDefault="002A5C5D" w:rsidP="00BE2D4A">
      <w:pPr>
        <w:rPr>
          <w:rFonts w:cs="Arial"/>
        </w:rPr>
      </w:pPr>
      <w:r w:rsidRPr="00ED38E9">
        <w:rPr>
          <w:rFonts w:cs="Arial"/>
          <w:lang w:eastAsia="cs-CZ" w:bidi="ar-SA"/>
        </w:rPr>
        <w:drawing>
          <wp:inline distT="0" distB="0" distL="0" distR="0" wp14:anchorId="6B3AF45A" wp14:editId="4FBD1FD9">
            <wp:extent cx="5760720" cy="1725387"/>
            <wp:effectExtent l="0" t="0" r="0" b="8255"/>
            <wp:docPr id="259"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60720" cy="1725387"/>
                    </a:xfrm>
                    <a:prstGeom prst="rect">
                      <a:avLst/>
                    </a:prstGeom>
                    <a:noFill/>
                    <a:ln>
                      <a:noFill/>
                    </a:ln>
                  </pic:spPr>
                </pic:pic>
              </a:graphicData>
            </a:graphic>
          </wp:inline>
        </w:drawing>
      </w:r>
    </w:p>
    <w:p w:rsidR="00A55022" w:rsidRDefault="00A55022" w:rsidP="00A55022">
      <w:pPr>
        <w:spacing w:before="120"/>
        <w:rPr>
          <w:rFonts w:cs="Arial"/>
        </w:rPr>
      </w:pPr>
      <w:r w:rsidRPr="00ED38E9">
        <w:rPr>
          <w:rFonts w:cs="Arial"/>
        </w:rPr>
        <w:t xml:space="preserve">V letech 2015–2017 se jedná o kvalifikovaný odhad SFŽP ČR na základě analýzy dat uhrazených poplatků a veřejně dostupných informací. </w:t>
      </w:r>
      <w:r w:rsidR="004961D3">
        <w:rPr>
          <w:rFonts w:cs="Arial"/>
        </w:rPr>
        <w:t>Odhad je orientační, k navýšení příjmu dojde až po nabytí účinnosti navrhovaného zákona.</w:t>
      </w:r>
    </w:p>
    <w:p w:rsidR="004961D3" w:rsidRDefault="004961D3" w:rsidP="004961D3"/>
    <w:p w:rsidR="004961D3" w:rsidRDefault="004961D3" w:rsidP="004961D3">
      <w:r w:rsidRPr="00CB5941">
        <w:t>Vzhledem k</w:t>
      </w:r>
      <w:r>
        <w:t> </w:t>
      </w:r>
      <w:r w:rsidRPr="00CB5941">
        <w:t>tomu, že doposud vybrané prostředky významně převyšují podpory poskytované SFŽP zpracovatelům autovraků a</w:t>
      </w:r>
      <w:r>
        <w:t> </w:t>
      </w:r>
      <w:r w:rsidRPr="00CB5941">
        <w:t>budou navýšeny při zpoplatnění registrací vozidel plnících EURO 3, bude</w:t>
      </w:r>
      <w:r>
        <w:t xml:space="preserve"> možné využít</w:t>
      </w:r>
      <w:r w:rsidRPr="00CB5941">
        <w:t xml:space="preserve"> na opatření související s</w:t>
      </w:r>
      <w:r>
        <w:t> </w:t>
      </w:r>
      <w:r w:rsidRPr="00CB5941">
        <w:t>podporou zpracovatelů autovraků a</w:t>
      </w:r>
      <w:r>
        <w:t> </w:t>
      </w:r>
      <w:r w:rsidRPr="00CB5941">
        <w:t xml:space="preserve">opatření na zlepšení vozového parku </w:t>
      </w:r>
      <w:r>
        <w:t>finanční prostředky v </w:t>
      </w:r>
      <w:r w:rsidRPr="00CB5941">
        <w:t>odhad</w:t>
      </w:r>
      <w:r>
        <w:t>ované</w:t>
      </w:r>
      <w:r w:rsidRPr="00CB5941">
        <w:t xml:space="preserve"> </w:t>
      </w:r>
      <w:r>
        <w:t xml:space="preserve">výši cca </w:t>
      </w:r>
      <w:r w:rsidRPr="00CB5941">
        <w:t>300 mil. Kč ročně.</w:t>
      </w:r>
      <w:r>
        <w:t xml:space="preserve"> </w:t>
      </w:r>
    </w:p>
    <w:p w:rsidR="004961D3" w:rsidRDefault="004961D3" w:rsidP="004961D3"/>
    <w:p w:rsidR="004961D3" w:rsidRPr="00CB5941" w:rsidRDefault="004961D3" w:rsidP="004961D3"/>
    <w:p w:rsidR="004961D3" w:rsidRDefault="004961D3" w:rsidP="004961D3">
      <w:r>
        <w:t>V</w:t>
      </w:r>
      <w:r w:rsidRPr="00826574">
        <w:t xml:space="preserve"> České republice se nedaří snižovat stáří tuzemského vozového parku, ale naopak průměrné stá</w:t>
      </w:r>
      <w:r w:rsidR="00C14B64">
        <w:t>ří neustále roste (viz graf č. 6</w:t>
      </w:r>
      <w:r w:rsidRPr="00826574">
        <w:t>)</w:t>
      </w:r>
      <w:r>
        <w:t>.</w:t>
      </w:r>
    </w:p>
    <w:p w:rsidR="004961D3" w:rsidRPr="00C14B64" w:rsidRDefault="00ED179C" w:rsidP="00C14B64">
      <w:pPr>
        <w:pStyle w:val="Titulek"/>
      </w:pPr>
      <w:r>
        <w:rPr>
          <w:rFonts w:cs="Arial"/>
          <w:lang w:eastAsia="cs-CZ" w:bidi="ar-SA"/>
        </w:rPr>
        <w:drawing>
          <wp:anchor distT="0" distB="0" distL="114300" distR="114300" simplePos="0" relativeHeight="251661312" behindDoc="0" locked="0" layoutInCell="1" allowOverlap="1" wp14:anchorId="257BAB1D" wp14:editId="146044DD">
            <wp:simplePos x="0" y="0"/>
            <wp:positionH relativeFrom="column">
              <wp:posOffset>-5080</wp:posOffset>
            </wp:positionH>
            <wp:positionV relativeFrom="paragraph">
              <wp:posOffset>378460</wp:posOffset>
            </wp:positionV>
            <wp:extent cx="5692775" cy="2800350"/>
            <wp:effectExtent l="19050" t="0" r="3175" b="0"/>
            <wp:wrapNone/>
            <wp:docPr id="1314" name="Obrázek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92775" cy="2800350"/>
                    </a:xfrm>
                    <a:prstGeom prst="rect">
                      <a:avLst/>
                    </a:prstGeom>
                    <a:noFill/>
                  </pic:spPr>
                </pic:pic>
              </a:graphicData>
            </a:graphic>
          </wp:anchor>
        </w:drawing>
      </w:r>
      <w:r w:rsidR="004961D3" w:rsidRPr="00C14B64">
        <w:rPr>
          <w:rFonts w:cs="Arial"/>
          <w:lang w:eastAsia="cs-CZ" w:bidi="ar-SA"/>
        </w:rPr>
        <w:t>Graf č. 6 Vývoj průměrného stáří vozového parku osobních automobilů v ČR v letech 1995-3Q 2015</w:t>
      </w:r>
    </w:p>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4961D3" w:rsidRDefault="004961D3" w:rsidP="004961D3"/>
    <w:p w:rsidR="00C14B64" w:rsidRDefault="00C14B64" w:rsidP="004961D3">
      <w:pPr>
        <w:rPr>
          <w:sz w:val="18"/>
          <w:szCs w:val="18"/>
        </w:rPr>
      </w:pPr>
    </w:p>
    <w:p w:rsidR="004961D3" w:rsidRPr="000B7F65" w:rsidRDefault="004961D3" w:rsidP="004961D3">
      <w:pPr>
        <w:rPr>
          <w:sz w:val="18"/>
          <w:szCs w:val="18"/>
        </w:rPr>
      </w:pPr>
      <w:r w:rsidRPr="000B7F65">
        <w:rPr>
          <w:sz w:val="18"/>
          <w:szCs w:val="18"/>
        </w:rPr>
        <w:t>Zdroj: Sdružení automobilového průmyslu</w:t>
      </w:r>
    </w:p>
    <w:p w:rsidR="004961D3" w:rsidRDefault="004961D3" w:rsidP="004961D3"/>
    <w:p w:rsidR="004961D3" w:rsidRDefault="004961D3" w:rsidP="004961D3">
      <w:r>
        <w:t xml:space="preserve">V letošním roce bude aktualizován materiál „Návrh opatření na zlepšení struktury vozového parku v České republice“. Ten by měl obsahovat krátkodobá až dlouhodobá opatření, která by měla napomoci omlazení vozového parku a tím i snížení dopadů silniční dopravy na životní prostředí a zlepšení bezpečnosti silničního provozu a redukci následků dopravních nehod </w:t>
      </w:r>
      <w:r>
        <w:rPr>
          <w:rStyle w:val="Znakapoznpodarou"/>
        </w:rPr>
        <w:footnoteReference w:id="13"/>
      </w:r>
      <w:r>
        <w:t>.</w:t>
      </w:r>
    </w:p>
    <w:p w:rsidR="004961D3" w:rsidRDefault="004961D3" w:rsidP="004961D3">
      <w:r>
        <w:t>Jako jedno z opatření bude uváděn „příspěvek na trvalé vyřazení vozidla v ČR a příspěvek na nákup vozidla na alternativní pohon“.  Jako zdroj pro financování tohoto opatření se navrhuje Státní fond životního prostředí.</w:t>
      </w:r>
    </w:p>
    <w:p w:rsidR="004961D3" w:rsidRPr="00CB5941" w:rsidRDefault="004961D3" w:rsidP="004961D3"/>
    <w:p w:rsidR="004961D3" w:rsidRDefault="004961D3" w:rsidP="004961D3">
      <w:r w:rsidRPr="005B1209">
        <w:t>Po schválení N</w:t>
      </w:r>
      <w:r>
        <w:t>árodního akčního plánu čisté mobility (N</w:t>
      </w:r>
      <w:r w:rsidRPr="005B1209">
        <w:t>AP CM</w:t>
      </w:r>
      <w:r>
        <w:t>)</w:t>
      </w:r>
      <w:r w:rsidRPr="005B1209">
        <w:t xml:space="preserve"> byla zpracována studie zájmu občanů a</w:t>
      </w:r>
      <w:r>
        <w:t> </w:t>
      </w:r>
      <w:r w:rsidRPr="005B1209">
        <w:t>firem o</w:t>
      </w:r>
      <w:r>
        <w:t> </w:t>
      </w:r>
      <w:r w:rsidRPr="005B1209">
        <w:t>příspěvek při odevzdání starého vozidla a</w:t>
      </w:r>
      <w:r>
        <w:t> </w:t>
      </w:r>
      <w:r w:rsidRPr="005B1209">
        <w:t>na nákup vozidla na alternativní pohon (CNG a</w:t>
      </w:r>
      <w:r>
        <w:t> </w:t>
      </w:r>
      <w:r w:rsidRPr="005B1209">
        <w:t>elektřinu). Z</w:t>
      </w:r>
      <w:r>
        <w:t> </w:t>
      </w:r>
      <w:r w:rsidRPr="005B1209">
        <w:t>dotazníkové akce vyplynulo, že majitelé starých vozidel mají zájem za určitý obnos nechat svůj automobil ekologicky zlikvidovat. Zároveň mají povědomí o</w:t>
      </w:r>
      <w:r>
        <w:t> </w:t>
      </w:r>
      <w:r w:rsidRPr="005B1209">
        <w:t xml:space="preserve">přínosech využívání vozidel na alternativní pohon. </w:t>
      </w:r>
    </w:p>
    <w:p w:rsidR="004961D3" w:rsidRPr="005B1209" w:rsidRDefault="004961D3" w:rsidP="004961D3"/>
    <w:p w:rsidR="004961D3" w:rsidRPr="005B1209" w:rsidRDefault="004961D3" w:rsidP="004961D3">
      <w:r w:rsidRPr="005B1209">
        <w:t>Dle posledních statistik je v</w:t>
      </w:r>
      <w:r>
        <w:t> </w:t>
      </w:r>
      <w:r w:rsidRPr="005B1209">
        <w:t>registru cca 600 tisíc vozidel neplnících emisní normy EURO. Při odhadovaném zájmu cca 10 % majitelů o</w:t>
      </w:r>
      <w:r>
        <w:t> </w:t>
      </w:r>
      <w:r w:rsidRPr="005B1209">
        <w:t>získání příspěvku, můžeme odhadovat, že by jej využilo cca 60 tisíc lidí. Při částce 3 tisíce Kč to znamená výdaje na úrovni cca 200 mil. Kč. Zároveň by se emise snížily o</w:t>
      </w:r>
      <w:r>
        <w:t> </w:t>
      </w:r>
      <w:r w:rsidRPr="005B1209">
        <w:t xml:space="preserve">cca 600 tun (HC +NOx). </w:t>
      </w:r>
    </w:p>
    <w:p w:rsidR="004961D3" w:rsidRDefault="004961D3" w:rsidP="004961D3">
      <w:pPr>
        <w:spacing w:before="120"/>
        <w:rPr>
          <w:rFonts w:cs="Arial"/>
        </w:rPr>
      </w:pPr>
      <w:r w:rsidRPr="00263EC6">
        <w:t xml:space="preserve">Pokud by byl podpořen nákup nových </w:t>
      </w:r>
      <w:r w:rsidR="00D62CB8" w:rsidRPr="00263EC6">
        <w:t xml:space="preserve">cca </w:t>
      </w:r>
      <w:r w:rsidRPr="00263EC6">
        <w:t xml:space="preserve">1 500 vozidel na alternativní pohon, </w:t>
      </w:r>
      <w:r>
        <w:t xml:space="preserve">činí výdaje na opatření </w:t>
      </w:r>
      <w:r w:rsidRPr="00263EC6">
        <w:t>dalších cca 110 mil.</w:t>
      </w:r>
      <w:r>
        <w:t xml:space="preserve"> </w:t>
      </w:r>
      <w:r w:rsidRPr="00263EC6">
        <w:t>Kč</w:t>
      </w:r>
      <w:r>
        <w:t>.</w:t>
      </w:r>
    </w:p>
    <w:p w:rsidR="004961D3" w:rsidRPr="00ED38E9" w:rsidRDefault="004961D3" w:rsidP="004961D3">
      <w:pPr>
        <w:spacing w:before="120"/>
        <w:rPr>
          <w:rFonts w:cs="Arial"/>
        </w:rPr>
      </w:pPr>
    </w:p>
    <w:p w:rsidR="00BE2D4A" w:rsidRPr="00ED38E9" w:rsidRDefault="00BE2D4A" w:rsidP="0011664A">
      <w:pPr>
        <w:pStyle w:val="Nadpis3"/>
      </w:pPr>
      <w:r w:rsidRPr="00ED38E9">
        <w:t>Vyhodnocení nákladů a přínosů variant</w:t>
      </w:r>
    </w:p>
    <w:p w:rsidR="00BE2D4A" w:rsidRPr="00ED38E9" w:rsidRDefault="00BE2D4A" w:rsidP="00BE2D4A">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75</w:t>
      </w:r>
      <w:r w:rsidR="00381FB7" w:rsidRPr="00ED38E9">
        <w:rPr>
          <w:rFonts w:cs="Arial"/>
        </w:rPr>
        <w:fldChar w:fldCharType="end"/>
      </w:r>
      <w:r w:rsidRPr="00ED38E9">
        <w:rPr>
          <w:rFonts w:cs="Arial"/>
        </w:rPr>
        <w:t>: Porovnání nákladů a přínosů</w:t>
      </w:r>
    </w:p>
    <w:p w:rsidR="00BE2D4A" w:rsidRPr="00ED38E9" w:rsidRDefault="00317718" w:rsidP="00BE2D4A">
      <w:pPr>
        <w:rPr>
          <w:rFonts w:cs="Arial"/>
        </w:rPr>
      </w:pPr>
      <w:r w:rsidRPr="00ED38E9">
        <w:rPr>
          <w:rFonts w:cs="Arial"/>
          <w:lang w:eastAsia="cs-CZ" w:bidi="ar-SA"/>
        </w:rPr>
        <w:drawing>
          <wp:inline distT="0" distB="0" distL="0" distR="0" wp14:anchorId="4C3E9725" wp14:editId="18393D83">
            <wp:extent cx="5760720" cy="5263956"/>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60720" cy="5263956"/>
                    </a:xfrm>
                    <a:prstGeom prst="rect">
                      <a:avLst/>
                    </a:prstGeom>
                    <a:noFill/>
                    <a:ln>
                      <a:noFill/>
                    </a:ln>
                  </pic:spPr>
                </pic:pic>
              </a:graphicData>
            </a:graphic>
          </wp:inline>
        </w:drawing>
      </w:r>
    </w:p>
    <w:p w:rsidR="00BE2D4A" w:rsidRPr="00ED38E9" w:rsidRDefault="00BE2D4A" w:rsidP="0011664A">
      <w:pPr>
        <w:pStyle w:val="Nadpis2"/>
      </w:pPr>
      <w:bookmarkStart w:id="273" w:name="_Toc441759954"/>
      <w:r w:rsidRPr="00ED38E9">
        <w:t>Návrh řešení</w:t>
      </w:r>
      <w:bookmarkEnd w:id="273"/>
    </w:p>
    <w:p w:rsidR="00BE2D4A" w:rsidRPr="00ED38E9" w:rsidRDefault="00BE2D4A" w:rsidP="0011664A">
      <w:pPr>
        <w:pStyle w:val="Nadpis3"/>
      </w:pPr>
      <w:r w:rsidRPr="00ED38E9">
        <w:t>Stanovení pořadí variant a výběr nejvhodnějšího řešení</w:t>
      </w:r>
    </w:p>
    <w:p w:rsidR="00BE2D4A" w:rsidRPr="00ED38E9" w:rsidRDefault="00BE2D4A" w:rsidP="00620E6B">
      <w:pPr>
        <w:pStyle w:val="Odstavecseseznamem"/>
        <w:numPr>
          <w:ilvl w:val="0"/>
          <w:numId w:val="10"/>
        </w:numPr>
        <w:rPr>
          <w:rFonts w:cs="Arial"/>
          <w:b/>
        </w:rPr>
      </w:pPr>
      <w:r w:rsidRPr="00ED38E9">
        <w:rPr>
          <w:rFonts w:cs="Arial"/>
          <w:b/>
        </w:rPr>
        <w:t>Varianta 1</w:t>
      </w:r>
    </w:p>
    <w:p w:rsidR="00BE2D4A" w:rsidRPr="00ED38E9" w:rsidRDefault="00BE2D4A" w:rsidP="00620E6B">
      <w:pPr>
        <w:pStyle w:val="Odstavecseseznamem"/>
        <w:numPr>
          <w:ilvl w:val="0"/>
          <w:numId w:val="10"/>
        </w:numPr>
        <w:rPr>
          <w:rFonts w:cs="Arial"/>
        </w:rPr>
      </w:pPr>
      <w:r w:rsidRPr="00ED38E9">
        <w:rPr>
          <w:rFonts w:cs="Arial"/>
        </w:rPr>
        <w:t>Varianta 0</w:t>
      </w:r>
    </w:p>
    <w:p w:rsidR="00BE2D4A" w:rsidRPr="00ED38E9" w:rsidRDefault="00BE2D4A" w:rsidP="00BE2D4A">
      <w:pPr>
        <w:rPr>
          <w:rFonts w:cs="Arial"/>
        </w:rPr>
      </w:pPr>
      <w:r w:rsidRPr="00ED38E9">
        <w:rPr>
          <w:rFonts w:cs="Arial"/>
        </w:rPr>
        <w:t>Z</w:t>
      </w:r>
      <w:r w:rsidR="00333557" w:rsidRPr="00ED38E9">
        <w:rPr>
          <w:rFonts w:cs="Arial"/>
        </w:rPr>
        <w:t> </w:t>
      </w:r>
      <w:r w:rsidRPr="00ED38E9">
        <w:rPr>
          <w:rFonts w:cs="Arial"/>
        </w:rPr>
        <w:t xml:space="preserve">důvodu splnění </w:t>
      </w:r>
      <w:r w:rsidR="008B3512">
        <w:rPr>
          <w:rFonts w:cs="Arial"/>
        </w:rPr>
        <w:t>u</w:t>
      </w:r>
      <w:r w:rsidRPr="00ED38E9">
        <w:rPr>
          <w:rFonts w:cs="Arial"/>
        </w:rPr>
        <w:t>snesení vlády České republiky č. 819 ze dne 9. listopadu 2011 a dalších aspektů vedoucích k</w:t>
      </w:r>
      <w:r w:rsidR="00333557" w:rsidRPr="00ED38E9">
        <w:rPr>
          <w:rFonts w:cs="Arial"/>
        </w:rPr>
        <w:t> </w:t>
      </w:r>
      <w:r w:rsidRPr="00ED38E9">
        <w:rPr>
          <w:rFonts w:cs="Arial"/>
        </w:rPr>
        <w:t>větší ochraně životního prostředí, navrhujeme Variantu 1.</w:t>
      </w:r>
    </w:p>
    <w:p w:rsidR="00BE2D4A" w:rsidRPr="0011664A" w:rsidRDefault="00BE2D4A" w:rsidP="0011664A">
      <w:pPr>
        <w:pStyle w:val="Nadpis1"/>
      </w:pPr>
      <w:bookmarkStart w:id="274" w:name="_Toc441759955"/>
      <w:bookmarkStart w:id="275" w:name="_Toc441760202"/>
      <w:r w:rsidRPr="0011664A">
        <w:lastRenderedPageBreak/>
        <w:t>Povinnosti výrobců a akreditovaných zástupců – roční zprávy</w:t>
      </w:r>
      <w:bookmarkEnd w:id="274"/>
      <w:bookmarkEnd w:id="275"/>
    </w:p>
    <w:p w:rsidR="00BE2D4A" w:rsidRPr="00ED38E9" w:rsidRDefault="00BE2D4A" w:rsidP="0011664A">
      <w:pPr>
        <w:pStyle w:val="Nadpis2"/>
      </w:pPr>
      <w:bookmarkStart w:id="276" w:name="_Toc441759956"/>
      <w:r w:rsidRPr="00ED38E9">
        <w:t>Důvod předložení a cíle</w:t>
      </w:r>
      <w:bookmarkEnd w:id="276"/>
    </w:p>
    <w:p w:rsidR="00BE2D4A" w:rsidRPr="00ED38E9" w:rsidRDefault="00BE2D4A" w:rsidP="0011664A">
      <w:pPr>
        <w:pStyle w:val="Nadpis3"/>
      </w:pPr>
      <w:r w:rsidRPr="00ED38E9">
        <w:t>Definice problému</w:t>
      </w:r>
    </w:p>
    <w:p w:rsidR="00BE2D4A" w:rsidRPr="00ED38E9" w:rsidRDefault="001F7AC0" w:rsidP="00BE2D4A">
      <w:pPr>
        <w:rPr>
          <w:rFonts w:cs="Arial"/>
        </w:rPr>
      </w:pPr>
      <w:r w:rsidRPr="001F7AC0">
        <w:rPr>
          <w:rFonts w:cs="Arial"/>
        </w:rPr>
        <w:t>Na základě zkuše</w:t>
      </w:r>
      <w:r>
        <w:rPr>
          <w:rFonts w:cs="Arial"/>
        </w:rPr>
        <w:t>ností z praxe bylo zjištěno,</w:t>
      </w:r>
      <w:r w:rsidR="00BE2D4A" w:rsidRPr="00ED38E9">
        <w:rPr>
          <w:rFonts w:cs="Arial"/>
        </w:rPr>
        <w:t xml:space="preserve"> že povinnost</w:t>
      </w:r>
      <w:r>
        <w:rPr>
          <w:rFonts w:cs="Arial"/>
        </w:rPr>
        <w:t xml:space="preserve"> výrobců vozidel včetně akreditovaných zástupců zahraničních výrobců předkládat roční zprávy</w:t>
      </w:r>
      <w:r w:rsidR="00AC5170">
        <w:rPr>
          <w:rFonts w:cs="Arial"/>
        </w:rPr>
        <w:t xml:space="preserve"> </w:t>
      </w:r>
      <w:r w:rsidRPr="001F7AC0">
        <w:rPr>
          <w:rFonts w:cs="Arial"/>
        </w:rPr>
        <w:t>pravděpodobně</w:t>
      </w:r>
      <w:r>
        <w:rPr>
          <w:rFonts w:cs="Arial"/>
        </w:rPr>
        <w:t xml:space="preserve"> </w:t>
      </w:r>
      <w:r w:rsidR="00BE2D4A" w:rsidRPr="00ED38E9">
        <w:rPr>
          <w:rFonts w:cs="Arial"/>
        </w:rPr>
        <w:t>představuje zbytečnou administrativní zátěž, kter</w:t>
      </w:r>
      <w:r w:rsidR="00AC5170">
        <w:rPr>
          <w:rFonts w:cs="Arial"/>
        </w:rPr>
        <w:t>á</w:t>
      </w:r>
      <w:r w:rsidR="00BE2D4A" w:rsidRPr="00ED38E9">
        <w:rPr>
          <w:rFonts w:cs="Arial"/>
        </w:rPr>
        <w:t xml:space="preserve"> má</w:t>
      </w:r>
      <w:r w:rsidR="00AC5170">
        <w:rPr>
          <w:rFonts w:cs="Arial"/>
        </w:rPr>
        <w:t xml:space="preserve"> být</w:t>
      </w:r>
      <w:r w:rsidR="00BE2D4A" w:rsidRPr="00ED38E9">
        <w:rPr>
          <w:rFonts w:cs="Arial"/>
        </w:rPr>
        <w:t xml:space="preserve"> postupně snižov</w:t>
      </w:r>
      <w:r w:rsidR="00AC5170">
        <w:rPr>
          <w:rFonts w:cs="Arial"/>
        </w:rPr>
        <w:t>ána</w:t>
      </w:r>
      <w:r w:rsidR="00BE2D4A" w:rsidRPr="00ED38E9">
        <w:rPr>
          <w:rFonts w:cs="Arial"/>
        </w:rPr>
        <w:t>.</w:t>
      </w:r>
    </w:p>
    <w:p w:rsidR="00BE2D4A" w:rsidRPr="00ED38E9" w:rsidRDefault="00BE2D4A" w:rsidP="007A2E3D">
      <w:pPr>
        <w:pStyle w:val="Nadpis3"/>
      </w:pPr>
      <w:r w:rsidRPr="00ED38E9">
        <w:t>Popis existujícího právního stavu v</w:t>
      </w:r>
      <w:r w:rsidR="00333557" w:rsidRPr="00ED38E9">
        <w:t> </w:t>
      </w:r>
      <w:r w:rsidRPr="00ED38E9">
        <w:t>dané oblasti</w:t>
      </w:r>
    </w:p>
    <w:p w:rsidR="00BE2D4A" w:rsidRPr="00ED38E9" w:rsidRDefault="00BE2D4A" w:rsidP="00BE2D4A">
      <w:pPr>
        <w:rPr>
          <w:rFonts w:cs="Arial"/>
        </w:rPr>
      </w:pPr>
      <w:r w:rsidRPr="00ED38E9">
        <w:rPr>
          <w:rFonts w:cs="Arial"/>
        </w:rPr>
        <w:t>Současný zákon o odpadech uvádí, že výrobce a akreditovaný zástupce jsou povinni zpracovávat roční zprávu pro vlastní značku o plnění cílů stanovených v § 37</w:t>
      </w:r>
      <w:r w:rsidR="00EF59AB" w:rsidRPr="00ED38E9">
        <w:rPr>
          <w:rFonts w:cs="Arial"/>
        </w:rPr>
        <w:t>a</w:t>
      </w:r>
      <w:r w:rsidRPr="00ED38E9">
        <w:rPr>
          <w:rFonts w:cs="Arial"/>
        </w:rPr>
        <w:t xml:space="preserve"> odst. </w:t>
      </w:r>
      <w:r w:rsidR="00EF59AB" w:rsidRPr="00ED38E9">
        <w:rPr>
          <w:rFonts w:cs="Arial"/>
        </w:rPr>
        <w:t>5</w:t>
      </w:r>
      <w:r w:rsidRPr="00ED38E9">
        <w:rPr>
          <w:rFonts w:cs="Arial"/>
        </w:rPr>
        <w:t xml:space="preserve"> písm. b) za uplynulý kalendářní rok v</w:t>
      </w:r>
      <w:r w:rsidR="00333557" w:rsidRPr="00ED38E9">
        <w:rPr>
          <w:rFonts w:cs="Arial"/>
        </w:rPr>
        <w:t> </w:t>
      </w:r>
      <w:r w:rsidRPr="00ED38E9">
        <w:rPr>
          <w:rFonts w:cs="Arial"/>
        </w:rPr>
        <w:t>rozsahu stanoveném prováděcím právním předpisem (vyhláška č. 352/2008 Sb.) a tuto zprávu zaslat ministerstvu do 31. března</w:t>
      </w:r>
      <w:r w:rsidR="001F7AC0">
        <w:rPr>
          <w:rFonts w:cs="Arial"/>
        </w:rPr>
        <w:t xml:space="preserve"> následujícího roku</w:t>
      </w:r>
      <w:r w:rsidRPr="00ED38E9">
        <w:rPr>
          <w:rFonts w:cs="Arial"/>
        </w:rPr>
        <w:t>.</w:t>
      </w:r>
    </w:p>
    <w:p w:rsidR="00BE2D4A" w:rsidRPr="00ED38E9" w:rsidRDefault="00BE2D4A" w:rsidP="007A2E3D">
      <w:pPr>
        <w:pStyle w:val="Nadpis3"/>
      </w:pPr>
      <w:r w:rsidRPr="00ED38E9">
        <w:t>Identifikace dotčených subjektů</w:t>
      </w:r>
    </w:p>
    <w:p w:rsidR="00BE2D4A" w:rsidRPr="00ED38E9" w:rsidRDefault="00BE2D4A" w:rsidP="002D66F0">
      <w:pPr>
        <w:pStyle w:val="Odstavecseseznamem"/>
        <w:numPr>
          <w:ilvl w:val="0"/>
          <w:numId w:val="35"/>
        </w:numPr>
        <w:rPr>
          <w:rFonts w:cs="Arial"/>
        </w:rPr>
      </w:pPr>
      <w:r w:rsidRPr="00ED38E9">
        <w:rPr>
          <w:rFonts w:cs="Arial"/>
        </w:rPr>
        <w:t>výrobci a akreditovaní zástupci,</w:t>
      </w:r>
    </w:p>
    <w:p w:rsidR="00BE2D4A" w:rsidRPr="00ED38E9" w:rsidRDefault="00BE2D4A" w:rsidP="002D66F0">
      <w:pPr>
        <w:pStyle w:val="Odstavecseseznamem"/>
        <w:numPr>
          <w:ilvl w:val="0"/>
          <w:numId w:val="35"/>
        </w:numPr>
        <w:rPr>
          <w:rFonts w:cs="Arial"/>
        </w:rPr>
      </w:pPr>
      <w:r w:rsidRPr="00ED38E9">
        <w:rPr>
          <w:rFonts w:cs="Arial"/>
        </w:rPr>
        <w:t>Ministerstvo životního prostředí, CENIA.</w:t>
      </w:r>
    </w:p>
    <w:p w:rsidR="00BE2D4A" w:rsidRPr="00ED38E9" w:rsidRDefault="00BE2D4A" w:rsidP="007A2E3D">
      <w:pPr>
        <w:pStyle w:val="Nadpis3"/>
      </w:pPr>
      <w:r w:rsidRPr="00ED38E9">
        <w:t>Popis cílového stavu</w:t>
      </w:r>
    </w:p>
    <w:p w:rsidR="00BE2D4A" w:rsidRPr="00ED38E9" w:rsidRDefault="00BE2D4A" w:rsidP="00BE2D4A">
      <w:pPr>
        <w:rPr>
          <w:rFonts w:cs="Arial"/>
          <w:lang w:eastAsia="cs-CZ" w:bidi="ar-SA"/>
        </w:rPr>
      </w:pPr>
      <w:r w:rsidRPr="00ED38E9">
        <w:rPr>
          <w:rFonts w:cs="Arial"/>
          <w:lang w:eastAsia="cs-CZ" w:bidi="ar-SA"/>
        </w:rPr>
        <w:t>Cílem je snížit administrativní zátěž dotčeným subjektům bez ztráty potřebných dat.</w:t>
      </w:r>
    </w:p>
    <w:p w:rsidR="00BE2D4A" w:rsidRPr="00ED38E9" w:rsidRDefault="00BE2D4A" w:rsidP="007A2E3D">
      <w:pPr>
        <w:pStyle w:val="Nadpis3"/>
      </w:pPr>
      <w:r w:rsidRPr="00ED38E9">
        <w:t>Zhodnocení rizika</w:t>
      </w:r>
    </w:p>
    <w:p w:rsidR="00BE2D4A" w:rsidRPr="00ED38E9" w:rsidRDefault="00BE2D4A" w:rsidP="00BE2D4A">
      <w:pPr>
        <w:rPr>
          <w:rFonts w:cs="Arial"/>
        </w:rPr>
      </w:pPr>
      <w:r w:rsidRPr="00ED38E9">
        <w:rPr>
          <w:rFonts w:cs="Arial"/>
        </w:rPr>
        <w:t>Nepřijetím změny nehrozí závažná rizika, ale jedná se o jednu z</w:t>
      </w:r>
      <w:r w:rsidR="00333557" w:rsidRPr="00ED38E9">
        <w:rPr>
          <w:rFonts w:cs="Arial"/>
        </w:rPr>
        <w:t> </w:t>
      </w:r>
      <w:r w:rsidRPr="00ED38E9">
        <w:rPr>
          <w:rFonts w:cs="Arial"/>
        </w:rPr>
        <w:t>činností, kterou je možné postupně snižovat administrativní zátěž.</w:t>
      </w:r>
    </w:p>
    <w:p w:rsidR="00BE2D4A" w:rsidRPr="00ED38E9" w:rsidRDefault="00BE2D4A" w:rsidP="007A2E3D">
      <w:pPr>
        <w:pStyle w:val="Nadpis2"/>
      </w:pPr>
      <w:bookmarkStart w:id="277" w:name="_Toc441759957"/>
      <w:r w:rsidRPr="00ED38E9">
        <w:t>Návrh variant řešení</w:t>
      </w:r>
      <w:bookmarkEnd w:id="277"/>
    </w:p>
    <w:p w:rsidR="00BE2D4A" w:rsidRPr="00ED38E9" w:rsidRDefault="00BE2D4A" w:rsidP="007A2E3D">
      <w:pPr>
        <w:pStyle w:val="Nadpis3"/>
      </w:pPr>
      <w:r w:rsidRPr="00ED38E9">
        <w:t>Varianta 0</w:t>
      </w:r>
    </w:p>
    <w:p w:rsidR="00BE2D4A" w:rsidRPr="00ED38E9" w:rsidRDefault="00BE2D4A" w:rsidP="00BE2D4A">
      <w:pPr>
        <w:rPr>
          <w:rFonts w:cs="Arial"/>
        </w:rPr>
      </w:pPr>
      <w:r w:rsidRPr="00ED38E9">
        <w:rPr>
          <w:rFonts w:cs="Arial"/>
        </w:rPr>
        <w:t xml:space="preserve">Ponechání současného stavu, kdy výrobci a akreditovaní zástupci jsou povinni zpracovávat roční zprávu pro vlastní značku o plnění cílů stanovených v § 37 odst. 7 písm. b) </w:t>
      </w:r>
      <w:r w:rsidR="00C03A13" w:rsidRPr="00ED38E9">
        <w:rPr>
          <w:rFonts w:cs="Arial"/>
        </w:rPr>
        <w:t>zákon</w:t>
      </w:r>
      <w:r w:rsidR="00C03A13">
        <w:rPr>
          <w:rFonts w:cs="Arial"/>
        </w:rPr>
        <w:t>a</w:t>
      </w:r>
      <w:r w:rsidR="00C03A13" w:rsidRPr="00ED38E9">
        <w:rPr>
          <w:rFonts w:cs="Arial"/>
        </w:rPr>
        <w:t xml:space="preserve"> o odpadech </w:t>
      </w:r>
      <w:r w:rsidRPr="00ED38E9">
        <w:rPr>
          <w:rFonts w:cs="Arial"/>
        </w:rPr>
        <w:t>za uplynulý rok v</w:t>
      </w:r>
      <w:r w:rsidR="00333557" w:rsidRPr="00ED38E9">
        <w:rPr>
          <w:rFonts w:cs="Arial"/>
        </w:rPr>
        <w:t> </w:t>
      </w:r>
      <w:r w:rsidRPr="00ED38E9">
        <w:rPr>
          <w:rFonts w:cs="Arial"/>
        </w:rPr>
        <w:t>rozsahu přílohy č. 5 k</w:t>
      </w:r>
      <w:r w:rsidR="00333557" w:rsidRPr="00ED38E9">
        <w:rPr>
          <w:rFonts w:cs="Arial"/>
        </w:rPr>
        <w:t> </w:t>
      </w:r>
      <w:r w:rsidRPr="00ED38E9">
        <w:rPr>
          <w:rFonts w:cs="Arial"/>
        </w:rPr>
        <w:t>vyhlášce č. 352/2008 Sb.</w:t>
      </w:r>
    </w:p>
    <w:p w:rsidR="00BE2D4A" w:rsidRPr="00ED38E9" w:rsidRDefault="00BE2D4A" w:rsidP="007A2E3D">
      <w:pPr>
        <w:pStyle w:val="Nadpis3"/>
      </w:pPr>
      <w:r w:rsidRPr="00ED38E9">
        <w:t>Varianta 1</w:t>
      </w:r>
    </w:p>
    <w:p w:rsidR="00BE2D4A" w:rsidRPr="00ED38E9" w:rsidRDefault="00BE2D4A" w:rsidP="00BE2D4A">
      <w:pPr>
        <w:rPr>
          <w:rFonts w:cs="Arial"/>
        </w:rPr>
      </w:pPr>
      <w:r w:rsidRPr="00ED38E9">
        <w:rPr>
          <w:rFonts w:cs="Arial"/>
        </w:rPr>
        <w:t xml:space="preserve">Tato varianta předpokládá ponechání roční periodicity zasílání zpráv, ale </w:t>
      </w:r>
      <w:r w:rsidR="00C03A13">
        <w:rPr>
          <w:rFonts w:cs="Arial"/>
        </w:rPr>
        <w:t xml:space="preserve">současně </w:t>
      </w:r>
      <w:r w:rsidRPr="00ED38E9">
        <w:rPr>
          <w:rFonts w:cs="Arial"/>
        </w:rPr>
        <w:t>úpravu přílohy č. 5 k</w:t>
      </w:r>
      <w:r w:rsidR="00333557" w:rsidRPr="00ED38E9">
        <w:rPr>
          <w:rFonts w:cs="Arial"/>
        </w:rPr>
        <w:t> </w:t>
      </w:r>
      <w:r w:rsidRPr="00ED38E9">
        <w:rPr>
          <w:rFonts w:cs="Arial"/>
        </w:rPr>
        <w:t>vyhlášce č. 352/2008 Sb. Předpokládá se, že některé údaje není třeba požadovat, protože je možné je získat z</w:t>
      </w:r>
      <w:r w:rsidR="00333557" w:rsidRPr="00ED38E9">
        <w:rPr>
          <w:rFonts w:cs="Arial"/>
        </w:rPr>
        <w:t> </w:t>
      </w:r>
      <w:r w:rsidRPr="00ED38E9">
        <w:rPr>
          <w:rFonts w:cs="Arial"/>
        </w:rPr>
        <w:t>jiných zdrojů.</w:t>
      </w:r>
    </w:p>
    <w:p w:rsidR="00BE2D4A" w:rsidRPr="00ED38E9" w:rsidRDefault="00BE2D4A" w:rsidP="007A2E3D">
      <w:pPr>
        <w:pStyle w:val="Nadpis3"/>
      </w:pPr>
      <w:r w:rsidRPr="00ED38E9">
        <w:t>Varianta 2</w:t>
      </w:r>
    </w:p>
    <w:p w:rsidR="002C4386" w:rsidRPr="00ED38E9" w:rsidRDefault="002C4386" w:rsidP="002C4386">
      <w:pPr>
        <w:rPr>
          <w:rFonts w:cs="Arial"/>
        </w:rPr>
      </w:pPr>
      <w:r w:rsidRPr="00ED38E9">
        <w:rPr>
          <w:rFonts w:cs="Arial"/>
        </w:rPr>
        <w:t xml:space="preserve">Systém hlášení stejný jako u varianty předchozí, </w:t>
      </w:r>
      <w:r w:rsidR="00F8698F">
        <w:rPr>
          <w:rFonts w:cs="Arial"/>
        </w:rPr>
        <w:t>m</w:t>
      </w:r>
      <w:r w:rsidRPr="00ED38E9">
        <w:rPr>
          <w:rFonts w:cs="Arial"/>
        </w:rPr>
        <w:t>ění se pouze interval ohlašovaní z</w:t>
      </w:r>
      <w:r w:rsidR="00333557" w:rsidRPr="00ED38E9">
        <w:rPr>
          <w:rFonts w:cs="Arial"/>
        </w:rPr>
        <w:t> </w:t>
      </w:r>
      <w:r w:rsidRPr="00ED38E9">
        <w:rPr>
          <w:rFonts w:cs="Arial"/>
        </w:rPr>
        <w:t>1 roku na 1x za 3 roky.</w:t>
      </w:r>
    </w:p>
    <w:p w:rsidR="002C4386" w:rsidRPr="00ED38E9" w:rsidRDefault="002C4386" w:rsidP="007A2E3D">
      <w:pPr>
        <w:pStyle w:val="Nadpis3"/>
      </w:pPr>
      <w:r w:rsidRPr="00ED38E9">
        <w:t>Varianta 3</w:t>
      </w:r>
    </w:p>
    <w:p w:rsidR="00BE2D4A" w:rsidRPr="00ED38E9" w:rsidRDefault="00BE2D4A" w:rsidP="00BE2D4A">
      <w:pPr>
        <w:rPr>
          <w:rFonts w:cs="Arial"/>
        </w:rPr>
      </w:pPr>
      <w:r w:rsidRPr="00ED38E9">
        <w:rPr>
          <w:rFonts w:cs="Arial"/>
        </w:rPr>
        <w:t xml:space="preserve">Poslední varianta předpokládá úplné zrušení této povinnosti, protože veškerá </w:t>
      </w:r>
      <w:r w:rsidR="00F8698F">
        <w:rPr>
          <w:rFonts w:cs="Arial"/>
        </w:rPr>
        <w:t xml:space="preserve">potřebná </w:t>
      </w:r>
      <w:r w:rsidRPr="00ED38E9">
        <w:rPr>
          <w:rFonts w:cs="Arial"/>
        </w:rPr>
        <w:t>data je možné získat z</w:t>
      </w:r>
      <w:r w:rsidR="00333557" w:rsidRPr="00ED38E9">
        <w:rPr>
          <w:rFonts w:cs="Arial"/>
        </w:rPr>
        <w:t> </w:t>
      </w:r>
      <w:r w:rsidRPr="00ED38E9">
        <w:rPr>
          <w:rFonts w:cs="Arial"/>
        </w:rPr>
        <w:t>jiných zdrojů (</w:t>
      </w:r>
      <w:r w:rsidR="00A56310" w:rsidRPr="00ED38E9">
        <w:rPr>
          <w:rFonts w:cs="Arial"/>
        </w:rPr>
        <w:t>registr silničních vozidel</w:t>
      </w:r>
      <w:r w:rsidRPr="00ED38E9">
        <w:rPr>
          <w:rFonts w:cs="Arial"/>
        </w:rPr>
        <w:t>, roční hlášení od zpracovatelů vozidel s</w:t>
      </w:r>
      <w:r w:rsidR="00333557" w:rsidRPr="00ED38E9">
        <w:rPr>
          <w:rFonts w:cs="Arial"/>
        </w:rPr>
        <w:t> </w:t>
      </w:r>
      <w:r w:rsidRPr="00ED38E9">
        <w:rPr>
          <w:rFonts w:cs="Arial"/>
        </w:rPr>
        <w:t>ukončenou životností).</w:t>
      </w:r>
    </w:p>
    <w:p w:rsidR="00BE2D4A" w:rsidRPr="00ED38E9" w:rsidRDefault="00BE2D4A" w:rsidP="007A2E3D">
      <w:pPr>
        <w:pStyle w:val="Nadpis2"/>
      </w:pPr>
      <w:bookmarkStart w:id="278" w:name="_Toc441759958"/>
      <w:r w:rsidRPr="00ED38E9">
        <w:lastRenderedPageBreak/>
        <w:t>Vyhodnocení nákladů a přínosů</w:t>
      </w:r>
      <w:bookmarkEnd w:id="278"/>
    </w:p>
    <w:p w:rsidR="00BE2D4A" w:rsidRPr="00ED38E9" w:rsidRDefault="00BE2D4A" w:rsidP="007A2E3D">
      <w:pPr>
        <w:pStyle w:val="Nadpis3"/>
      </w:pPr>
      <w:r w:rsidRPr="00ED38E9">
        <w:t>Identifikace nákladů a přínosů</w:t>
      </w:r>
    </w:p>
    <w:p w:rsidR="00BE2D4A" w:rsidRPr="00ED38E9" w:rsidRDefault="00BE2D4A" w:rsidP="002D66F0">
      <w:pPr>
        <w:pStyle w:val="Odstavecseseznamem"/>
        <w:numPr>
          <w:ilvl w:val="0"/>
          <w:numId w:val="36"/>
        </w:numPr>
        <w:spacing w:before="240" w:after="120"/>
        <w:rPr>
          <w:rFonts w:cs="Arial"/>
        </w:rPr>
      </w:pPr>
      <w:r w:rsidRPr="00ED38E9">
        <w:rPr>
          <w:rFonts w:cs="Arial"/>
        </w:rPr>
        <w:t>Varianta 0</w:t>
      </w:r>
    </w:p>
    <w:p w:rsidR="00BE2D4A" w:rsidRPr="00ED38E9" w:rsidRDefault="00BE2D4A" w:rsidP="00BE2D4A">
      <w:pPr>
        <w:rPr>
          <w:rFonts w:cs="Arial"/>
        </w:rPr>
      </w:pPr>
      <w:r w:rsidRPr="00ED38E9">
        <w:rPr>
          <w:rFonts w:cs="Arial"/>
        </w:rPr>
        <w:t xml:space="preserve">Mezi přínosy řadíme získání dat od výrobců a akreditovaných zástupců. Roční náklady výrobců a akreditovaných zástupců na zaslání roční zprávy přes ISPOP odhadujeme cca </w:t>
      </w:r>
      <w:r w:rsidRPr="0011664A">
        <w:rPr>
          <w:rFonts w:cs="Arial"/>
        </w:rPr>
        <w:t>1 </w:t>
      </w:r>
      <w:r w:rsidR="005406C0" w:rsidRPr="0011664A">
        <w:rPr>
          <w:rFonts w:cs="Arial"/>
        </w:rPr>
        <w:t>5</w:t>
      </w:r>
      <w:r w:rsidRPr="0011664A">
        <w:rPr>
          <w:rFonts w:cs="Arial"/>
        </w:rPr>
        <w:t xml:space="preserve">00 Kč za všechny subjekty </w:t>
      </w:r>
      <w:r w:rsidR="005406C0" w:rsidRPr="0011664A">
        <w:rPr>
          <w:rFonts w:cs="Arial"/>
        </w:rPr>
        <w:t xml:space="preserve">ročně </w:t>
      </w:r>
      <w:r w:rsidRPr="0011664A">
        <w:rPr>
          <w:rFonts w:cs="Arial"/>
        </w:rPr>
        <w:t>(</w:t>
      </w:r>
      <w:r w:rsidR="005406C0" w:rsidRPr="0011664A">
        <w:rPr>
          <w:rFonts w:cs="Arial"/>
        </w:rPr>
        <w:t>23–</w:t>
      </w:r>
      <w:r w:rsidRPr="0011664A">
        <w:rPr>
          <w:rFonts w:cs="Arial"/>
        </w:rPr>
        <w:t xml:space="preserve">26 ks) při časové náročnosti cca 15 minut na jedno hlášení. Náklady </w:t>
      </w:r>
      <w:r w:rsidR="00B74697" w:rsidRPr="0011664A">
        <w:rPr>
          <w:rFonts w:cs="Arial"/>
        </w:rPr>
        <w:t>MŽP</w:t>
      </w:r>
      <w:r w:rsidR="00AC5170" w:rsidRPr="0011664A">
        <w:rPr>
          <w:rFonts w:cs="Arial"/>
        </w:rPr>
        <w:t xml:space="preserve"> </w:t>
      </w:r>
      <w:r w:rsidRPr="0011664A">
        <w:rPr>
          <w:rFonts w:cs="Arial"/>
        </w:rPr>
        <w:t>na zpracování těchto zaslaných ročních zpráv jsou v</w:t>
      </w:r>
      <w:r w:rsidR="00333557" w:rsidRPr="0011664A">
        <w:rPr>
          <w:rFonts w:cs="Arial"/>
        </w:rPr>
        <w:t> </w:t>
      </w:r>
      <w:r w:rsidRPr="0011664A">
        <w:rPr>
          <w:rFonts w:cs="Arial"/>
        </w:rPr>
        <w:t>porovnání s</w:t>
      </w:r>
      <w:r w:rsidR="00333557" w:rsidRPr="0011664A">
        <w:rPr>
          <w:rFonts w:cs="Arial"/>
        </w:rPr>
        <w:t> </w:t>
      </w:r>
      <w:r w:rsidRPr="0011664A">
        <w:rPr>
          <w:rFonts w:cs="Arial"/>
        </w:rPr>
        <w:t>jinými ročními hlášeními minimální. Vezm</w:t>
      </w:r>
      <w:r w:rsidR="00C60347" w:rsidRPr="0011664A">
        <w:rPr>
          <w:rFonts w:cs="Arial"/>
        </w:rPr>
        <w:t>eme</w:t>
      </w:r>
      <w:r w:rsidRPr="0011664A">
        <w:rPr>
          <w:rFonts w:cs="Arial"/>
        </w:rPr>
        <w:t>-li roční zprávy o nakládání s</w:t>
      </w:r>
      <w:r w:rsidR="00333557" w:rsidRPr="0011664A">
        <w:rPr>
          <w:rFonts w:cs="Arial"/>
        </w:rPr>
        <w:t> </w:t>
      </w:r>
      <w:r w:rsidRPr="0011664A">
        <w:rPr>
          <w:rFonts w:cs="Arial"/>
        </w:rPr>
        <w:t>odpady, které představují při objemu 72 699 hlášení od 29 644 subjektů náklady cca 1,6 mil. Kč, tak náklady na tuto a</w:t>
      </w:r>
      <w:r w:rsidR="005406C0" w:rsidRPr="0011664A">
        <w:rPr>
          <w:rFonts w:cs="Arial"/>
        </w:rPr>
        <w:t>gendu jsou odhadovány na cca 1 3</w:t>
      </w:r>
      <w:r w:rsidRPr="0011664A">
        <w:rPr>
          <w:rFonts w:cs="Arial"/>
        </w:rPr>
        <w:t xml:space="preserve">00 </w:t>
      </w:r>
      <w:r w:rsidRPr="00ED38E9">
        <w:rPr>
          <w:rFonts w:cs="Arial"/>
        </w:rPr>
        <w:t>Kč</w:t>
      </w:r>
      <w:r w:rsidR="005406C0" w:rsidRPr="00ED38E9">
        <w:rPr>
          <w:rFonts w:cs="Arial"/>
        </w:rPr>
        <w:t xml:space="preserve"> ročně</w:t>
      </w:r>
      <w:r w:rsidRPr="00ED38E9">
        <w:rPr>
          <w:rFonts w:cs="Arial"/>
        </w:rPr>
        <w:t>.</w:t>
      </w:r>
    </w:p>
    <w:p w:rsidR="00BE2D4A" w:rsidRPr="00ED38E9" w:rsidRDefault="00BE2D4A" w:rsidP="00BE2D4A">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76</w:t>
      </w:r>
      <w:r w:rsidR="00381FB7" w:rsidRPr="00ED38E9">
        <w:rPr>
          <w:rFonts w:cs="Arial"/>
        </w:rPr>
        <w:fldChar w:fldCharType="end"/>
      </w:r>
      <w:r w:rsidRPr="00ED38E9">
        <w:rPr>
          <w:rFonts w:cs="Arial"/>
        </w:rPr>
        <w:t>: Náklady na zaslání ročního hlášení přes ISPOP</w:t>
      </w:r>
    </w:p>
    <w:p w:rsidR="00BE2D4A" w:rsidRPr="00ED38E9" w:rsidRDefault="005406C0" w:rsidP="00BE2D4A">
      <w:pPr>
        <w:rPr>
          <w:rFonts w:cs="Arial"/>
        </w:rPr>
      </w:pPr>
      <w:r w:rsidRPr="00ED38E9">
        <w:rPr>
          <w:rFonts w:cs="Arial"/>
          <w:lang w:eastAsia="cs-CZ" w:bidi="ar-SA"/>
        </w:rPr>
        <w:drawing>
          <wp:inline distT="0" distB="0" distL="0" distR="0" wp14:anchorId="66F9809C" wp14:editId="0CC7DF74">
            <wp:extent cx="4895850" cy="1171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95850" cy="1171575"/>
                    </a:xfrm>
                    <a:prstGeom prst="rect">
                      <a:avLst/>
                    </a:prstGeom>
                    <a:noFill/>
                    <a:ln>
                      <a:noFill/>
                    </a:ln>
                  </pic:spPr>
                </pic:pic>
              </a:graphicData>
            </a:graphic>
          </wp:inline>
        </w:drawing>
      </w:r>
    </w:p>
    <w:p w:rsidR="00BE2D4A" w:rsidRPr="00ED38E9" w:rsidRDefault="00BE2D4A" w:rsidP="00BE2D4A">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77</w:t>
      </w:r>
      <w:r w:rsidR="00381FB7" w:rsidRPr="00ED38E9">
        <w:rPr>
          <w:rFonts w:cs="Arial"/>
        </w:rPr>
        <w:fldChar w:fldCharType="end"/>
      </w:r>
      <w:r w:rsidRPr="00ED38E9">
        <w:rPr>
          <w:rFonts w:cs="Arial"/>
        </w:rPr>
        <w:t>: Náklady MŽP, CENIA na tuto agendu</w:t>
      </w:r>
    </w:p>
    <w:p w:rsidR="00BE2D4A" w:rsidRPr="00ED38E9" w:rsidRDefault="005406C0" w:rsidP="00BE2D4A">
      <w:pPr>
        <w:rPr>
          <w:rFonts w:cs="Arial"/>
        </w:rPr>
      </w:pPr>
      <w:r w:rsidRPr="00ED38E9">
        <w:rPr>
          <w:rFonts w:cs="Arial"/>
          <w:lang w:eastAsia="cs-CZ" w:bidi="ar-SA"/>
        </w:rPr>
        <w:drawing>
          <wp:inline distT="0" distB="0" distL="0" distR="0" wp14:anchorId="6AD42580" wp14:editId="67AFA0D3">
            <wp:extent cx="4895850" cy="15906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95850" cy="1590675"/>
                    </a:xfrm>
                    <a:prstGeom prst="rect">
                      <a:avLst/>
                    </a:prstGeom>
                    <a:noFill/>
                    <a:ln>
                      <a:noFill/>
                    </a:ln>
                  </pic:spPr>
                </pic:pic>
              </a:graphicData>
            </a:graphic>
          </wp:inline>
        </w:drawing>
      </w:r>
    </w:p>
    <w:p w:rsidR="00BE2D4A" w:rsidRPr="00ED38E9" w:rsidRDefault="00BE2D4A" w:rsidP="002D66F0">
      <w:pPr>
        <w:pStyle w:val="Odstavecseseznamem"/>
        <w:numPr>
          <w:ilvl w:val="0"/>
          <w:numId w:val="36"/>
        </w:numPr>
        <w:spacing w:before="240" w:after="120"/>
        <w:rPr>
          <w:rFonts w:cs="Arial"/>
        </w:rPr>
      </w:pPr>
      <w:r w:rsidRPr="00ED38E9">
        <w:rPr>
          <w:rFonts w:cs="Arial"/>
        </w:rPr>
        <w:t>Varianta 1</w:t>
      </w:r>
    </w:p>
    <w:p w:rsidR="00BE2D4A" w:rsidRPr="00ED38E9" w:rsidRDefault="00BE2D4A" w:rsidP="00BE2D4A">
      <w:pPr>
        <w:spacing w:before="240" w:after="120"/>
        <w:contextualSpacing/>
        <w:rPr>
          <w:rFonts w:cs="Arial"/>
        </w:rPr>
      </w:pPr>
      <w:r w:rsidRPr="00ED38E9">
        <w:rPr>
          <w:rFonts w:cs="Arial"/>
        </w:rPr>
        <w:t>Tato varianta představuje změnu zasílaného formuláře. V</w:t>
      </w:r>
      <w:r w:rsidR="00333557" w:rsidRPr="00ED38E9">
        <w:rPr>
          <w:rFonts w:cs="Arial"/>
        </w:rPr>
        <w:t> </w:t>
      </w:r>
      <w:r w:rsidRPr="00ED38E9">
        <w:rPr>
          <w:rFonts w:cs="Arial"/>
        </w:rPr>
        <w:t xml:space="preserve">případě, že by se jednalo o změnu malého rozsahu, která by vyžadovala činnost jednoho programátora po dobu jednoho dne, tak náklady na tuto změnu se pohybují kolem 17 tis. Kč. Pokud by ale bylo nutné vytvořit formulář </w:t>
      </w:r>
      <w:r w:rsidR="00AC5170">
        <w:rPr>
          <w:rFonts w:cs="Arial"/>
        </w:rPr>
        <w:t>nový</w:t>
      </w:r>
      <w:r w:rsidRPr="00ED38E9">
        <w:rPr>
          <w:rFonts w:cs="Arial"/>
        </w:rPr>
        <w:t xml:space="preserve">, </w:t>
      </w:r>
      <w:r w:rsidR="00AC5170">
        <w:rPr>
          <w:rFonts w:cs="Arial"/>
        </w:rPr>
        <w:t xml:space="preserve">náklady by se pohybovaly </w:t>
      </w:r>
      <w:r w:rsidRPr="00ED38E9">
        <w:rPr>
          <w:rFonts w:cs="Arial"/>
        </w:rPr>
        <w:t>v</w:t>
      </w:r>
      <w:r w:rsidR="00333557" w:rsidRPr="00ED38E9">
        <w:rPr>
          <w:rFonts w:cs="Arial"/>
        </w:rPr>
        <w:t> </w:t>
      </w:r>
      <w:r w:rsidRPr="00ED38E9">
        <w:rPr>
          <w:rFonts w:cs="Arial"/>
        </w:rPr>
        <w:t xml:space="preserve">částkách cca 200–400 tis. Kč (zdroj: CENIA). Roční náklady </w:t>
      </w:r>
      <w:r w:rsidR="00B74697">
        <w:rPr>
          <w:rFonts w:cs="Arial"/>
        </w:rPr>
        <w:t>MŽP</w:t>
      </w:r>
      <w:r w:rsidR="00AC5170">
        <w:rPr>
          <w:rFonts w:cs="Arial"/>
        </w:rPr>
        <w:t xml:space="preserve"> </w:t>
      </w:r>
      <w:r w:rsidRPr="00ED38E9">
        <w:rPr>
          <w:rFonts w:cs="Arial"/>
        </w:rPr>
        <w:t>na zpracování hlášení odhadujeme opět na cca 1 </w:t>
      </w:r>
      <w:r w:rsidR="004934CE" w:rsidRPr="00ED38E9">
        <w:rPr>
          <w:rFonts w:cs="Arial"/>
        </w:rPr>
        <w:t>3</w:t>
      </w:r>
      <w:r w:rsidRPr="00ED38E9">
        <w:rPr>
          <w:rFonts w:cs="Arial"/>
        </w:rPr>
        <w:t>00 Kč</w:t>
      </w:r>
      <w:r w:rsidR="004934CE" w:rsidRPr="00ED38E9">
        <w:rPr>
          <w:rFonts w:cs="Arial"/>
        </w:rPr>
        <w:t xml:space="preserve"> ročně</w:t>
      </w:r>
      <w:r w:rsidRPr="00ED38E9">
        <w:rPr>
          <w:rFonts w:cs="Arial"/>
        </w:rPr>
        <w:t>.</w:t>
      </w:r>
    </w:p>
    <w:p w:rsidR="00BE2D4A" w:rsidRPr="00ED38E9" w:rsidRDefault="00B74697" w:rsidP="00BE2D4A">
      <w:pPr>
        <w:spacing w:before="240" w:after="120"/>
        <w:contextualSpacing/>
        <w:rPr>
          <w:rFonts w:cs="Arial"/>
        </w:rPr>
      </w:pPr>
      <w:r>
        <w:rPr>
          <w:rFonts w:cs="Arial"/>
        </w:rPr>
        <w:t xml:space="preserve">Pro podnikatelské subjekty </w:t>
      </w:r>
      <w:r w:rsidRPr="00ED38E9">
        <w:rPr>
          <w:rFonts w:cs="Arial"/>
        </w:rPr>
        <w:t xml:space="preserve">předpokládáme </w:t>
      </w:r>
      <w:r>
        <w:rPr>
          <w:rFonts w:cs="Arial"/>
        </w:rPr>
        <w:t>stejnou č</w:t>
      </w:r>
      <w:r w:rsidR="00BE2D4A" w:rsidRPr="00ED38E9">
        <w:rPr>
          <w:rFonts w:cs="Arial"/>
        </w:rPr>
        <w:t xml:space="preserve">asovou náročnost na vyplnění formuláře </w:t>
      </w:r>
      <w:r>
        <w:rPr>
          <w:rFonts w:cs="Arial"/>
        </w:rPr>
        <w:t xml:space="preserve">jako při stávajícím stavu, tj. </w:t>
      </w:r>
      <w:r w:rsidR="00BE2D4A" w:rsidRPr="00ED38E9">
        <w:rPr>
          <w:rFonts w:cs="Arial"/>
        </w:rPr>
        <w:t>maximálně 15 minut na jedno hlášení. V</w:t>
      </w:r>
      <w:r w:rsidR="00333557" w:rsidRPr="00ED38E9">
        <w:rPr>
          <w:rFonts w:cs="Arial"/>
        </w:rPr>
        <w:t> </w:t>
      </w:r>
      <w:r w:rsidR="00BE2D4A" w:rsidRPr="00ED38E9">
        <w:rPr>
          <w:rFonts w:cs="Arial"/>
        </w:rPr>
        <w:t>tomto případě jso</w:t>
      </w:r>
      <w:r w:rsidR="004934CE" w:rsidRPr="00ED38E9">
        <w:rPr>
          <w:rFonts w:cs="Arial"/>
        </w:rPr>
        <w:t>u pak roční náklady opět cca 1 5</w:t>
      </w:r>
      <w:r w:rsidR="00BE2D4A" w:rsidRPr="00ED38E9">
        <w:rPr>
          <w:rFonts w:cs="Arial"/>
        </w:rPr>
        <w:t xml:space="preserve">00 Kč za všechny výrobce a akreditované zástupce. </w:t>
      </w:r>
      <w:r w:rsidR="00743367">
        <w:rPr>
          <w:rFonts w:cs="Arial"/>
        </w:rPr>
        <w:t xml:space="preserve">Administrativní zátěž je pro výrobce stejná. </w:t>
      </w:r>
    </w:p>
    <w:p w:rsidR="00BE2D4A" w:rsidRPr="00ED38E9" w:rsidRDefault="00BE2D4A" w:rsidP="002D66F0">
      <w:pPr>
        <w:pStyle w:val="Odstavecseseznamem"/>
        <w:numPr>
          <w:ilvl w:val="0"/>
          <w:numId w:val="36"/>
        </w:numPr>
        <w:spacing w:before="240" w:after="120"/>
        <w:rPr>
          <w:rFonts w:cs="Arial"/>
        </w:rPr>
      </w:pPr>
      <w:r w:rsidRPr="00ED38E9">
        <w:rPr>
          <w:rFonts w:cs="Arial"/>
        </w:rPr>
        <w:t>Varianta 2</w:t>
      </w:r>
    </w:p>
    <w:p w:rsidR="00BE2D4A" w:rsidRPr="00ED38E9" w:rsidRDefault="00BE2D4A" w:rsidP="00BE2D4A">
      <w:pPr>
        <w:rPr>
          <w:rFonts w:cs="Arial"/>
        </w:rPr>
      </w:pPr>
      <w:r w:rsidRPr="00ED38E9">
        <w:rPr>
          <w:rFonts w:cs="Arial"/>
        </w:rPr>
        <w:t>Tato varianta počítá se změnou zasílání hlášení výrobců a akreditovaných zástupců z</w:t>
      </w:r>
      <w:r w:rsidR="00333557" w:rsidRPr="00ED38E9">
        <w:rPr>
          <w:rFonts w:cs="Arial"/>
        </w:rPr>
        <w:t> </w:t>
      </w:r>
      <w:r w:rsidRPr="00ED38E9">
        <w:rPr>
          <w:rFonts w:cs="Arial"/>
        </w:rPr>
        <w:t>roční periodicity na tříletou. V</w:t>
      </w:r>
      <w:r w:rsidR="00333557" w:rsidRPr="00ED38E9">
        <w:rPr>
          <w:rFonts w:cs="Arial"/>
        </w:rPr>
        <w:t> </w:t>
      </w:r>
      <w:r w:rsidRPr="00ED38E9">
        <w:rPr>
          <w:rFonts w:cs="Arial"/>
        </w:rPr>
        <w:t xml:space="preserve">tomto případě předpokládáme snížení ročních nákladů na třetinu, </w:t>
      </w:r>
      <w:r w:rsidRPr="00ED38E9">
        <w:rPr>
          <w:rFonts w:cs="Arial"/>
        </w:rPr>
        <w:lastRenderedPageBreak/>
        <w:t xml:space="preserve">tj. náklady výrobců na cca </w:t>
      </w:r>
      <w:r w:rsidR="004934CE" w:rsidRPr="00ED38E9">
        <w:rPr>
          <w:rFonts w:cs="Arial"/>
        </w:rPr>
        <w:t>500</w:t>
      </w:r>
      <w:r w:rsidRPr="00ED38E9">
        <w:rPr>
          <w:rFonts w:cs="Arial"/>
        </w:rPr>
        <w:t xml:space="preserve"> Kč ročně a náklady MŽP na cca </w:t>
      </w:r>
      <w:r w:rsidR="004934CE" w:rsidRPr="00ED38E9">
        <w:rPr>
          <w:rFonts w:cs="Arial"/>
        </w:rPr>
        <w:t>435</w:t>
      </w:r>
      <w:r w:rsidRPr="00ED38E9">
        <w:rPr>
          <w:rFonts w:cs="Arial"/>
        </w:rPr>
        <w:t xml:space="preserve"> Kč ročně. V</w:t>
      </w:r>
      <w:r w:rsidR="00333557" w:rsidRPr="00ED38E9">
        <w:rPr>
          <w:rFonts w:cs="Arial"/>
        </w:rPr>
        <w:t> </w:t>
      </w:r>
      <w:r w:rsidRPr="00ED38E9">
        <w:rPr>
          <w:rFonts w:cs="Arial"/>
        </w:rPr>
        <w:t>případě, že bude formulář upraven, tak jednorázové náklady na jeho úpravu mohou být cca 17–400 tis. Kč dle náročnosti úpravy. Mezi přínosy můžeme zařadit mírné snížení administrativní zátěže výrobců a akreditovaných zástupců, ale naopak očekáváme mírné navýšení administrativní zátěže MŽP nebo dalších orgánů, které budou muset vést evidenci výrobců a akreditovaných zátupců o tom, ve kterém roce zasílají hlášení a jestli splnili svoji povinnost.</w:t>
      </w:r>
    </w:p>
    <w:p w:rsidR="00BE2D4A" w:rsidRPr="00ED38E9" w:rsidRDefault="00BE2D4A" w:rsidP="002D66F0">
      <w:pPr>
        <w:pStyle w:val="Odstavecseseznamem"/>
        <w:numPr>
          <w:ilvl w:val="0"/>
          <w:numId w:val="36"/>
        </w:numPr>
        <w:spacing w:before="240" w:after="120"/>
        <w:rPr>
          <w:rFonts w:cs="Arial"/>
        </w:rPr>
      </w:pPr>
      <w:r w:rsidRPr="00ED38E9">
        <w:rPr>
          <w:rFonts w:cs="Arial"/>
        </w:rPr>
        <w:t>Varianta 3</w:t>
      </w:r>
    </w:p>
    <w:p w:rsidR="00BE2D4A" w:rsidRPr="00ED38E9" w:rsidRDefault="00BE2D4A" w:rsidP="00BE2D4A">
      <w:pPr>
        <w:rPr>
          <w:rFonts w:cs="Arial"/>
        </w:rPr>
      </w:pPr>
      <w:r w:rsidRPr="00ED38E9">
        <w:rPr>
          <w:rFonts w:cs="Arial"/>
        </w:rPr>
        <w:t xml:space="preserve">Varianta 3 představuje úplné zrušení informační povinnosti pro výrobce a akreditované zástupce. </w:t>
      </w:r>
      <w:r w:rsidR="00B74697">
        <w:rPr>
          <w:rFonts w:cs="Arial"/>
        </w:rPr>
        <w:t xml:space="preserve">Tato varianta </w:t>
      </w:r>
      <w:r w:rsidRPr="00ED38E9">
        <w:rPr>
          <w:rFonts w:cs="Arial"/>
        </w:rPr>
        <w:t>předs</w:t>
      </w:r>
      <w:r w:rsidR="007B7D80" w:rsidRPr="00ED38E9">
        <w:rPr>
          <w:rFonts w:cs="Arial"/>
        </w:rPr>
        <w:t>t</w:t>
      </w:r>
      <w:r w:rsidRPr="00ED38E9">
        <w:rPr>
          <w:rFonts w:cs="Arial"/>
        </w:rPr>
        <w:t xml:space="preserve">avuje </w:t>
      </w:r>
      <w:r w:rsidR="005F42B3" w:rsidRPr="005F42B3">
        <w:rPr>
          <w:rFonts w:cs="Arial"/>
        </w:rPr>
        <w:t xml:space="preserve">pro výrobce a akreditované zástupce </w:t>
      </w:r>
      <w:r w:rsidRPr="00ED38E9">
        <w:rPr>
          <w:rFonts w:cs="Arial"/>
        </w:rPr>
        <w:t>roční úsporu cca 2 </w:t>
      </w:r>
      <w:r w:rsidR="004934CE" w:rsidRPr="00ED38E9">
        <w:rPr>
          <w:rFonts w:cs="Arial"/>
        </w:rPr>
        <w:t>8</w:t>
      </w:r>
      <w:r w:rsidRPr="00ED38E9">
        <w:rPr>
          <w:rFonts w:cs="Arial"/>
        </w:rPr>
        <w:t>00 Kč za administrativní činnosti spojené s</w:t>
      </w:r>
      <w:r w:rsidR="00333557" w:rsidRPr="00ED38E9">
        <w:rPr>
          <w:rFonts w:cs="Arial"/>
        </w:rPr>
        <w:t> </w:t>
      </w:r>
      <w:r w:rsidRPr="00ED38E9">
        <w:rPr>
          <w:rFonts w:cs="Arial"/>
        </w:rPr>
        <w:t>touto agendou.</w:t>
      </w:r>
    </w:p>
    <w:p w:rsidR="00BE2D4A" w:rsidRPr="00ED38E9" w:rsidRDefault="00BE2D4A" w:rsidP="007A2E3D">
      <w:pPr>
        <w:pStyle w:val="Nadpis3"/>
      </w:pPr>
      <w:r w:rsidRPr="00ED38E9">
        <w:t>Vyhodnocení nákladů a přínosů variant</w:t>
      </w:r>
    </w:p>
    <w:p w:rsidR="00BE2D4A" w:rsidRPr="00ED38E9" w:rsidRDefault="00BE2D4A" w:rsidP="00BE2D4A">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78</w:t>
      </w:r>
      <w:r w:rsidR="00381FB7" w:rsidRPr="00ED38E9">
        <w:rPr>
          <w:rFonts w:cs="Arial"/>
        </w:rPr>
        <w:fldChar w:fldCharType="end"/>
      </w:r>
      <w:r w:rsidRPr="00ED38E9">
        <w:rPr>
          <w:rFonts w:cs="Arial"/>
        </w:rPr>
        <w:t>: Porovnání nákladů a přínosů</w:t>
      </w:r>
    </w:p>
    <w:p w:rsidR="00BE2D4A" w:rsidRPr="00ED38E9" w:rsidRDefault="002A5C5D" w:rsidP="00BE2D4A">
      <w:pPr>
        <w:rPr>
          <w:rFonts w:cs="Arial"/>
        </w:rPr>
      </w:pPr>
      <w:r w:rsidRPr="00ED38E9">
        <w:rPr>
          <w:rFonts w:cs="Arial"/>
          <w:lang w:eastAsia="cs-CZ" w:bidi="ar-SA"/>
        </w:rPr>
        <w:drawing>
          <wp:inline distT="0" distB="0" distL="0" distR="0" wp14:anchorId="57B9AC1F" wp14:editId="090D0991">
            <wp:extent cx="5760720" cy="2740783"/>
            <wp:effectExtent l="0" t="0" r="0" b="2540"/>
            <wp:docPr id="260"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2740783"/>
                    </a:xfrm>
                    <a:prstGeom prst="rect">
                      <a:avLst/>
                    </a:prstGeom>
                    <a:noFill/>
                    <a:ln>
                      <a:noFill/>
                    </a:ln>
                  </pic:spPr>
                </pic:pic>
              </a:graphicData>
            </a:graphic>
          </wp:inline>
        </w:drawing>
      </w:r>
    </w:p>
    <w:p w:rsidR="002A5C5D" w:rsidRPr="00ED38E9" w:rsidRDefault="002A5C5D" w:rsidP="00BE2D4A">
      <w:pPr>
        <w:rPr>
          <w:rFonts w:cs="Arial"/>
        </w:rPr>
      </w:pPr>
      <w:r w:rsidRPr="00ED38E9">
        <w:rPr>
          <w:rFonts w:cs="Arial"/>
          <w:lang w:eastAsia="cs-CZ" w:bidi="ar-SA"/>
        </w:rPr>
        <w:lastRenderedPageBreak/>
        <w:drawing>
          <wp:inline distT="0" distB="0" distL="0" distR="0" wp14:anchorId="5434AD28" wp14:editId="03E3BB31">
            <wp:extent cx="5760720" cy="4094256"/>
            <wp:effectExtent l="0" t="0" r="0" b="1905"/>
            <wp:docPr id="261"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60720" cy="4094256"/>
                    </a:xfrm>
                    <a:prstGeom prst="rect">
                      <a:avLst/>
                    </a:prstGeom>
                    <a:noFill/>
                    <a:ln>
                      <a:noFill/>
                    </a:ln>
                  </pic:spPr>
                </pic:pic>
              </a:graphicData>
            </a:graphic>
          </wp:inline>
        </w:drawing>
      </w:r>
    </w:p>
    <w:p w:rsidR="00BE2D4A" w:rsidRPr="00ED38E9" w:rsidRDefault="00BE2D4A" w:rsidP="007A2E3D">
      <w:pPr>
        <w:pStyle w:val="Nadpis2"/>
      </w:pPr>
      <w:bookmarkStart w:id="279" w:name="_Toc441759959"/>
      <w:r w:rsidRPr="00ED38E9">
        <w:t>Návrh řešení</w:t>
      </w:r>
      <w:bookmarkEnd w:id="279"/>
    </w:p>
    <w:p w:rsidR="00BE2D4A" w:rsidRPr="00ED38E9" w:rsidRDefault="00BE2D4A" w:rsidP="007A2E3D">
      <w:pPr>
        <w:pStyle w:val="Nadpis3"/>
      </w:pPr>
      <w:r w:rsidRPr="00ED38E9">
        <w:t>Stanovení pořadí variant a výběr nejvhodnějšího řešení</w:t>
      </w:r>
    </w:p>
    <w:p w:rsidR="00BE2D4A" w:rsidRPr="00ED38E9" w:rsidRDefault="00BE2D4A" w:rsidP="002D66F0">
      <w:pPr>
        <w:pStyle w:val="Odstavecseseznamem"/>
        <w:numPr>
          <w:ilvl w:val="0"/>
          <w:numId w:val="37"/>
        </w:numPr>
        <w:rPr>
          <w:rFonts w:cs="Arial"/>
          <w:b/>
        </w:rPr>
      </w:pPr>
      <w:r w:rsidRPr="00ED38E9">
        <w:rPr>
          <w:rFonts w:cs="Arial"/>
          <w:b/>
        </w:rPr>
        <w:t>Varianta 3</w:t>
      </w:r>
    </w:p>
    <w:p w:rsidR="00BE2D4A" w:rsidRPr="00ED38E9" w:rsidRDefault="00BE2D4A" w:rsidP="002D66F0">
      <w:pPr>
        <w:pStyle w:val="Odstavecseseznamem"/>
        <w:numPr>
          <w:ilvl w:val="0"/>
          <w:numId w:val="37"/>
        </w:numPr>
        <w:rPr>
          <w:rFonts w:cs="Arial"/>
        </w:rPr>
      </w:pPr>
      <w:r w:rsidRPr="00ED38E9">
        <w:rPr>
          <w:rFonts w:cs="Arial"/>
        </w:rPr>
        <w:t>Varianta 0</w:t>
      </w:r>
    </w:p>
    <w:p w:rsidR="00BE2D4A" w:rsidRPr="00ED38E9" w:rsidRDefault="00BE2D4A" w:rsidP="002D66F0">
      <w:pPr>
        <w:pStyle w:val="Odstavecseseznamem"/>
        <w:numPr>
          <w:ilvl w:val="0"/>
          <w:numId w:val="37"/>
        </w:numPr>
        <w:rPr>
          <w:rFonts w:cs="Arial"/>
        </w:rPr>
      </w:pPr>
      <w:r w:rsidRPr="00ED38E9">
        <w:rPr>
          <w:rFonts w:cs="Arial"/>
        </w:rPr>
        <w:t>Varianta 1</w:t>
      </w:r>
    </w:p>
    <w:p w:rsidR="00BE2D4A" w:rsidRPr="00ED38E9" w:rsidRDefault="00BE2D4A" w:rsidP="002D66F0">
      <w:pPr>
        <w:pStyle w:val="Odstavecseseznamem"/>
        <w:numPr>
          <w:ilvl w:val="0"/>
          <w:numId w:val="37"/>
        </w:numPr>
        <w:rPr>
          <w:rFonts w:cs="Arial"/>
        </w:rPr>
      </w:pPr>
      <w:r w:rsidRPr="00ED38E9">
        <w:rPr>
          <w:rFonts w:cs="Arial"/>
        </w:rPr>
        <w:t>Varianta 2</w:t>
      </w:r>
    </w:p>
    <w:p w:rsidR="00BE2D4A" w:rsidRPr="00ED38E9" w:rsidRDefault="00953B9F" w:rsidP="00BE2D4A">
      <w:pPr>
        <w:rPr>
          <w:rFonts w:cs="Arial"/>
        </w:rPr>
      </w:pPr>
      <w:r>
        <w:rPr>
          <w:rFonts w:cs="Arial"/>
        </w:rPr>
        <w:t>Po změně vyhlášky č. 352/2008 Sb., o podrobnostech nakládáním s autovraky MŽP disponuje veškerými daty z jiných zdrojů. Proto doporučujeme variantu 3.</w:t>
      </w:r>
    </w:p>
    <w:p w:rsidR="002C485C" w:rsidRPr="00ED38E9" w:rsidRDefault="002C485C" w:rsidP="007A2E3D">
      <w:pPr>
        <w:pStyle w:val="Nadpis1"/>
      </w:pPr>
      <w:bookmarkStart w:id="280" w:name="_Toc441759960"/>
      <w:bookmarkStart w:id="281" w:name="_Toc441760203"/>
      <w:r w:rsidRPr="00ED38E9">
        <w:t>Informační systém pro vedení informací o vozidlech s</w:t>
      </w:r>
      <w:r w:rsidR="00333557" w:rsidRPr="00ED38E9">
        <w:t> </w:t>
      </w:r>
      <w:r w:rsidRPr="00ED38E9">
        <w:t>ukončenou životností</w:t>
      </w:r>
      <w:bookmarkEnd w:id="280"/>
      <w:bookmarkEnd w:id="281"/>
    </w:p>
    <w:p w:rsidR="002C485C" w:rsidRPr="00ED38E9" w:rsidRDefault="002C485C" w:rsidP="007A2E3D">
      <w:pPr>
        <w:pStyle w:val="Nadpis2"/>
      </w:pPr>
      <w:bookmarkStart w:id="282" w:name="_Toc441759961"/>
      <w:r w:rsidRPr="00ED38E9">
        <w:t>Důvod předložení a cíle</w:t>
      </w:r>
      <w:bookmarkEnd w:id="282"/>
    </w:p>
    <w:p w:rsidR="002C485C" w:rsidRPr="00ED38E9" w:rsidRDefault="002C485C" w:rsidP="007A2E3D">
      <w:pPr>
        <w:pStyle w:val="Nadpis3"/>
      </w:pPr>
      <w:r w:rsidRPr="00ED38E9">
        <w:t>Definice problému</w:t>
      </w:r>
    </w:p>
    <w:p w:rsidR="002C485C" w:rsidRPr="00ED38E9" w:rsidRDefault="002C485C" w:rsidP="002C485C">
      <w:pPr>
        <w:rPr>
          <w:rFonts w:cs="Arial"/>
          <w:noProof w:val="0"/>
          <w:lang w:bidi="ar-SA"/>
        </w:rPr>
      </w:pPr>
      <w:r w:rsidRPr="00ED38E9">
        <w:rPr>
          <w:rFonts w:cs="Arial"/>
          <w:noProof w:val="0"/>
          <w:lang w:bidi="ar-SA"/>
        </w:rPr>
        <w:t>Současný systém umožňuje sledování přijímaných vozidel s</w:t>
      </w:r>
      <w:r w:rsidR="00333557" w:rsidRPr="00ED38E9">
        <w:rPr>
          <w:rFonts w:cs="Arial"/>
          <w:noProof w:val="0"/>
          <w:lang w:bidi="ar-SA"/>
        </w:rPr>
        <w:t> </w:t>
      </w:r>
      <w:r w:rsidRPr="00ED38E9">
        <w:rPr>
          <w:rFonts w:cs="Arial"/>
          <w:noProof w:val="0"/>
          <w:lang w:bidi="ar-SA"/>
        </w:rPr>
        <w:t>ukončenou životností do systému, ale již neumožňuje sledovat jejich další pohyb v</w:t>
      </w:r>
      <w:r w:rsidR="00333557" w:rsidRPr="00ED38E9">
        <w:rPr>
          <w:rFonts w:cs="Arial"/>
          <w:noProof w:val="0"/>
          <w:lang w:bidi="ar-SA"/>
        </w:rPr>
        <w:t> </w:t>
      </w:r>
      <w:r w:rsidRPr="00ED38E9">
        <w:rPr>
          <w:rFonts w:cs="Arial"/>
          <w:noProof w:val="0"/>
          <w:lang w:bidi="ar-SA"/>
        </w:rPr>
        <w:t xml:space="preserve">rámci zařízení. Dále není umožněno sledování toků odpadů vzniklých při zpracování </w:t>
      </w:r>
      <w:r w:rsidR="00B74697" w:rsidRPr="00ED38E9">
        <w:rPr>
          <w:rFonts w:cs="Arial"/>
          <w:noProof w:val="0"/>
          <w:lang w:bidi="ar-SA"/>
        </w:rPr>
        <w:t>vozidel s ukončenou životností</w:t>
      </w:r>
      <w:r w:rsidRPr="00ED38E9">
        <w:rPr>
          <w:rFonts w:cs="Arial"/>
          <w:noProof w:val="0"/>
          <w:lang w:bidi="ar-SA"/>
        </w:rPr>
        <w:t xml:space="preserve"> a tím sledování cílů recyklace, které nařizuje směrnice </w:t>
      </w:r>
      <w:r w:rsidR="00B24116">
        <w:rPr>
          <w:rFonts w:cs="Arial"/>
          <w:noProof w:val="0"/>
          <w:lang w:bidi="ar-SA"/>
        </w:rPr>
        <w:t>2000/53/ES</w:t>
      </w:r>
      <w:r w:rsidRPr="00ED38E9">
        <w:rPr>
          <w:rFonts w:cs="Arial"/>
          <w:noProof w:val="0"/>
          <w:lang w:bidi="ar-SA"/>
        </w:rPr>
        <w:t>. Z</w:t>
      </w:r>
      <w:r w:rsidR="00333557" w:rsidRPr="00ED38E9">
        <w:rPr>
          <w:rFonts w:cs="Arial"/>
          <w:noProof w:val="0"/>
          <w:lang w:bidi="ar-SA"/>
        </w:rPr>
        <w:t> </w:t>
      </w:r>
      <w:r w:rsidRPr="00ED38E9">
        <w:rPr>
          <w:rFonts w:cs="Arial"/>
          <w:noProof w:val="0"/>
          <w:lang w:bidi="ar-SA"/>
        </w:rPr>
        <w:t>důvodu</w:t>
      </w:r>
      <w:r w:rsidR="00953B9F">
        <w:rPr>
          <w:rFonts w:cs="Arial"/>
          <w:noProof w:val="0"/>
          <w:lang w:bidi="ar-SA"/>
        </w:rPr>
        <w:t xml:space="preserve"> </w:t>
      </w:r>
      <w:r w:rsidRPr="00ED38E9">
        <w:rPr>
          <w:rFonts w:cs="Arial"/>
          <w:noProof w:val="0"/>
          <w:lang w:bidi="ar-SA"/>
        </w:rPr>
        <w:t xml:space="preserve"> možných daňových úniků</w:t>
      </w:r>
      <w:r w:rsidR="00953B9F">
        <w:rPr>
          <w:rFonts w:cs="Arial"/>
          <w:noProof w:val="0"/>
          <w:lang w:bidi="ar-SA"/>
        </w:rPr>
        <w:t>,</w:t>
      </w:r>
      <w:r w:rsidRPr="00ED38E9">
        <w:rPr>
          <w:rFonts w:cs="Arial"/>
          <w:noProof w:val="0"/>
          <w:lang w:bidi="ar-SA"/>
        </w:rPr>
        <w:t xml:space="preserve"> obchodu s</w:t>
      </w:r>
      <w:r w:rsidR="00333557" w:rsidRPr="00ED38E9">
        <w:rPr>
          <w:rFonts w:cs="Arial"/>
          <w:noProof w:val="0"/>
          <w:lang w:bidi="ar-SA"/>
        </w:rPr>
        <w:t> </w:t>
      </w:r>
      <w:r w:rsidRPr="00ED38E9">
        <w:rPr>
          <w:rFonts w:cs="Arial"/>
          <w:noProof w:val="0"/>
          <w:lang w:bidi="ar-SA"/>
        </w:rPr>
        <w:t xml:space="preserve">odcizenými vozidly a </w:t>
      </w:r>
      <w:r w:rsidR="00953B9F">
        <w:rPr>
          <w:rFonts w:cs="Arial"/>
          <w:noProof w:val="0"/>
          <w:lang w:bidi="ar-SA"/>
        </w:rPr>
        <w:t xml:space="preserve">také s </w:t>
      </w:r>
      <w:r w:rsidRPr="00ED38E9">
        <w:rPr>
          <w:rFonts w:cs="Arial"/>
          <w:noProof w:val="0"/>
          <w:lang w:bidi="ar-SA"/>
        </w:rPr>
        <w:t>náhradní</w:t>
      </w:r>
      <w:r w:rsidR="00953B9F">
        <w:rPr>
          <w:rFonts w:cs="Arial"/>
          <w:noProof w:val="0"/>
          <w:lang w:bidi="ar-SA"/>
        </w:rPr>
        <w:t>mi</w:t>
      </w:r>
      <w:r w:rsidRPr="00ED38E9">
        <w:rPr>
          <w:rFonts w:cs="Arial"/>
          <w:noProof w:val="0"/>
          <w:lang w:bidi="ar-SA"/>
        </w:rPr>
        <w:t xml:space="preserve"> díly</w:t>
      </w:r>
      <w:r w:rsidR="00B24116">
        <w:rPr>
          <w:rFonts w:cs="Arial"/>
          <w:noProof w:val="0"/>
          <w:lang w:bidi="ar-SA"/>
        </w:rPr>
        <w:t xml:space="preserve"> </w:t>
      </w:r>
      <w:r w:rsidR="00B24116" w:rsidRPr="00B24116">
        <w:rPr>
          <w:rFonts w:cs="Arial"/>
          <w:noProof w:val="0"/>
          <w:lang w:bidi="ar-SA"/>
        </w:rPr>
        <w:t>z těchto vozidel</w:t>
      </w:r>
      <w:r w:rsidRPr="00ED38E9">
        <w:rPr>
          <w:rFonts w:cs="Arial"/>
          <w:noProof w:val="0"/>
          <w:lang w:bidi="ar-SA"/>
        </w:rPr>
        <w:t xml:space="preserve"> je nutné zavést </w:t>
      </w:r>
      <w:r w:rsidR="00953B9F">
        <w:rPr>
          <w:rFonts w:cs="Arial"/>
          <w:noProof w:val="0"/>
          <w:lang w:bidi="ar-SA"/>
        </w:rPr>
        <w:t xml:space="preserve">informační </w:t>
      </w:r>
      <w:r w:rsidRPr="00ED38E9">
        <w:rPr>
          <w:rFonts w:cs="Arial"/>
          <w:noProof w:val="0"/>
          <w:lang w:bidi="ar-SA"/>
        </w:rPr>
        <w:t>systém sledování dílů k</w:t>
      </w:r>
      <w:r w:rsidR="00333557" w:rsidRPr="00ED38E9">
        <w:rPr>
          <w:rFonts w:cs="Arial"/>
          <w:noProof w:val="0"/>
          <w:lang w:bidi="ar-SA"/>
        </w:rPr>
        <w:t> </w:t>
      </w:r>
      <w:r w:rsidRPr="00ED38E9">
        <w:rPr>
          <w:rFonts w:cs="Arial"/>
          <w:noProof w:val="0"/>
          <w:lang w:bidi="ar-SA"/>
        </w:rPr>
        <w:t xml:space="preserve">opětovnému použití. Toto by měl  </w:t>
      </w:r>
      <w:r w:rsidR="00953B9F">
        <w:rPr>
          <w:rFonts w:cs="Arial"/>
          <w:noProof w:val="0"/>
          <w:lang w:bidi="ar-SA"/>
        </w:rPr>
        <w:t xml:space="preserve">mimo jiné </w:t>
      </w:r>
      <w:r w:rsidRPr="00ED38E9">
        <w:rPr>
          <w:rFonts w:cs="Arial"/>
          <w:noProof w:val="0"/>
          <w:lang w:bidi="ar-SA"/>
        </w:rPr>
        <w:t>zajistit informační systém na sledování toku vybraných vozidel.</w:t>
      </w:r>
    </w:p>
    <w:p w:rsidR="002C485C" w:rsidRPr="00ED38E9" w:rsidRDefault="002C485C" w:rsidP="007A2E3D">
      <w:pPr>
        <w:pStyle w:val="Nadpis3"/>
      </w:pPr>
      <w:r w:rsidRPr="00ED38E9">
        <w:lastRenderedPageBreak/>
        <w:t>Popis existujícího právního stavu v</w:t>
      </w:r>
      <w:r w:rsidR="00333557" w:rsidRPr="00ED38E9">
        <w:t> </w:t>
      </w:r>
      <w:r w:rsidRPr="00ED38E9">
        <w:t>dané oblasti</w:t>
      </w:r>
    </w:p>
    <w:p w:rsidR="002C485C" w:rsidRPr="00ED38E9" w:rsidRDefault="002C485C" w:rsidP="002C485C">
      <w:pPr>
        <w:rPr>
          <w:rFonts w:cs="Arial"/>
          <w:noProof w:val="0"/>
          <w:lang w:bidi="ar-SA"/>
        </w:rPr>
      </w:pPr>
      <w:r w:rsidRPr="00ED38E9">
        <w:rPr>
          <w:rFonts w:cs="Arial"/>
          <w:noProof w:val="0"/>
          <w:lang w:bidi="ar-SA"/>
        </w:rPr>
        <w:t>Dle § 37b</w:t>
      </w:r>
      <w:r w:rsidR="00B24116">
        <w:rPr>
          <w:rFonts w:cs="Arial"/>
          <w:noProof w:val="0"/>
          <w:lang w:bidi="ar-SA"/>
        </w:rPr>
        <w:t xml:space="preserve"> zákona o odpadech</w:t>
      </w:r>
      <w:r w:rsidRPr="00ED38E9">
        <w:rPr>
          <w:rFonts w:cs="Arial"/>
          <w:noProof w:val="0"/>
          <w:lang w:bidi="ar-SA"/>
        </w:rPr>
        <w:t xml:space="preserve"> je provozovatel zařízení ke sběru autovraků povinen zapojit se do informačního systému sledování toků vybraných auto</w:t>
      </w:r>
      <w:r w:rsidR="00F94CE8">
        <w:rPr>
          <w:rFonts w:cs="Arial"/>
          <w:noProof w:val="0"/>
          <w:lang w:bidi="ar-SA"/>
        </w:rPr>
        <w:t>vraků, stanoveného vyhláškou č. </w:t>
      </w:r>
      <w:r w:rsidRPr="00ED38E9">
        <w:rPr>
          <w:rFonts w:cs="Arial"/>
          <w:noProof w:val="0"/>
          <w:lang w:bidi="ar-SA"/>
        </w:rPr>
        <w:t>352/2008 Sb., o podrobnostech nakládání s</w:t>
      </w:r>
      <w:r w:rsidR="00333557" w:rsidRPr="00ED38E9">
        <w:rPr>
          <w:rFonts w:cs="Arial"/>
          <w:noProof w:val="0"/>
          <w:lang w:bidi="ar-SA"/>
        </w:rPr>
        <w:t> </w:t>
      </w:r>
      <w:r w:rsidRPr="00ED38E9">
        <w:rPr>
          <w:rFonts w:cs="Arial"/>
          <w:noProof w:val="0"/>
          <w:lang w:bidi="ar-SA"/>
        </w:rPr>
        <w:t>odpady z</w:t>
      </w:r>
      <w:r w:rsidR="00333557" w:rsidRPr="00ED38E9">
        <w:rPr>
          <w:rFonts w:cs="Arial"/>
          <w:noProof w:val="0"/>
          <w:lang w:bidi="ar-SA"/>
        </w:rPr>
        <w:t> </w:t>
      </w:r>
      <w:r w:rsidRPr="00ED38E9">
        <w:rPr>
          <w:rFonts w:cs="Arial"/>
          <w:noProof w:val="0"/>
          <w:lang w:bidi="ar-SA"/>
        </w:rPr>
        <w:t>au</w:t>
      </w:r>
      <w:r w:rsidR="00F94CE8">
        <w:rPr>
          <w:rFonts w:cs="Arial"/>
          <w:noProof w:val="0"/>
          <w:lang w:bidi="ar-SA"/>
        </w:rPr>
        <w:t>tovraků, vybraných autovraků, o </w:t>
      </w:r>
      <w:r w:rsidRPr="00ED38E9">
        <w:rPr>
          <w:rFonts w:cs="Arial"/>
          <w:noProof w:val="0"/>
          <w:lang w:bidi="ar-SA"/>
        </w:rPr>
        <w:t>způsobu vedení jejich evidence a evidence odpadů vznikajících v</w:t>
      </w:r>
      <w:r w:rsidR="00333557" w:rsidRPr="00ED38E9">
        <w:rPr>
          <w:rFonts w:cs="Arial"/>
          <w:noProof w:val="0"/>
          <w:lang w:bidi="ar-SA"/>
        </w:rPr>
        <w:t> </w:t>
      </w:r>
      <w:r w:rsidR="00F94CE8">
        <w:rPr>
          <w:rFonts w:cs="Arial"/>
          <w:noProof w:val="0"/>
          <w:lang w:bidi="ar-SA"/>
        </w:rPr>
        <w:t>zařízení ke sběru a </w:t>
      </w:r>
      <w:r w:rsidRPr="00ED38E9">
        <w:rPr>
          <w:rFonts w:cs="Arial"/>
          <w:noProof w:val="0"/>
          <w:lang w:bidi="ar-SA"/>
        </w:rPr>
        <w:t>zpracování autovraků a o informačním systému sledování toků vybraných autovraků.</w:t>
      </w:r>
    </w:p>
    <w:p w:rsidR="002C485C" w:rsidRPr="00ED38E9" w:rsidRDefault="002C485C" w:rsidP="007A2E3D">
      <w:pPr>
        <w:pStyle w:val="Nadpis3"/>
      </w:pPr>
      <w:r w:rsidRPr="00ED38E9">
        <w:t>Identifikace dotčených subjektů</w:t>
      </w:r>
    </w:p>
    <w:p w:rsidR="00A32106" w:rsidRPr="00ED38E9" w:rsidRDefault="00A32106" w:rsidP="00A32106">
      <w:pPr>
        <w:rPr>
          <w:rFonts w:cs="Arial"/>
          <w:noProof w:val="0"/>
          <w:lang w:bidi="ar-SA"/>
        </w:rPr>
      </w:pPr>
      <w:r w:rsidRPr="00ED38E9">
        <w:rPr>
          <w:rFonts w:cs="Arial"/>
          <w:noProof w:val="0"/>
          <w:lang w:bidi="ar-SA"/>
        </w:rPr>
        <w:t>Přímo dotčené:</w:t>
      </w:r>
    </w:p>
    <w:p w:rsidR="002C485C" w:rsidRPr="00ED38E9" w:rsidRDefault="002C485C" w:rsidP="002D66F0">
      <w:pPr>
        <w:numPr>
          <w:ilvl w:val="0"/>
          <w:numId w:val="54"/>
        </w:numPr>
        <w:rPr>
          <w:rFonts w:cs="Arial"/>
          <w:noProof w:val="0"/>
          <w:lang w:bidi="ar-SA"/>
        </w:rPr>
      </w:pPr>
      <w:r w:rsidRPr="00ED38E9">
        <w:rPr>
          <w:rFonts w:cs="Arial"/>
          <w:noProof w:val="0"/>
          <w:lang w:bidi="ar-SA"/>
        </w:rPr>
        <w:t>Ministerstvo životního prostředí (ministerstvo),</w:t>
      </w:r>
    </w:p>
    <w:p w:rsidR="002C485C" w:rsidRPr="00ED38E9" w:rsidRDefault="002C485C" w:rsidP="002D66F0">
      <w:pPr>
        <w:numPr>
          <w:ilvl w:val="0"/>
          <w:numId w:val="54"/>
        </w:numPr>
        <w:rPr>
          <w:rFonts w:cs="Arial"/>
          <w:noProof w:val="0"/>
          <w:lang w:bidi="ar-SA"/>
        </w:rPr>
      </w:pPr>
      <w:r w:rsidRPr="00ED38E9">
        <w:rPr>
          <w:rFonts w:cs="Arial"/>
          <w:noProof w:val="0"/>
          <w:lang w:bidi="ar-SA"/>
        </w:rPr>
        <w:t>povinné osoby,</w:t>
      </w:r>
    </w:p>
    <w:p w:rsidR="00A32106" w:rsidRPr="00ED38E9" w:rsidRDefault="00A32106" w:rsidP="002D66F0">
      <w:pPr>
        <w:numPr>
          <w:ilvl w:val="0"/>
          <w:numId w:val="54"/>
        </w:numPr>
        <w:rPr>
          <w:rFonts w:cs="Arial"/>
          <w:noProof w:val="0"/>
          <w:lang w:bidi="ar-SA"/>
        </w:rPr>
      </w:pPr>
      <w:r w:rsidRPr="00ED38E9">
        <w:rPr>
          <w:rFonts w:cs="Arial"/>
          <w:noProof w:val="0"/>
          <w:lang w:bidi="ar-SA"/>
        </w:rPr>
        <w:t>krajské úřady (KÚ),</w:t>
      </w:r>
    </w:p>
    <w:p w:rsidR="00A32106" w:rsidRPr="00ED38E9" w:rsidRDefault="00A32106" w:rsidP="00A32106">
      <w:pPr>
        <w:rPr>
          <w:rFonts w:cs="Arial"/>
          <w:noProof w:val="0"/>
          <w:lang w:bidi="ar-SA"/>
        </w:rPr>
      </w:pPr>
      <w:r w:rsidRPr="00ED38E9">
        <w:rPr>
          <w:rFonts w:cs="Arial"/>
          <w:noProof w:val="0"/>
          <w:lang w:bidi="ar-SA"/>
        </w:rPr>
        <w:t>Nepřímo dotčené:</w:t>
      </w:r>
    </w:p>
    <w:p w:rsidR="002C485C" w:rsidRPr="00ED38E9" w:rsidRDefault="002C485C" w:rsidP="002D66F0">
      <w:pPr>
        <w:numPr>
          <w:ilvl w:val="0"/>
          <w:numId w:val="59"/>
        </w:numPr>
        <w:rPr>
          <w:rFonts w:cs="Arial"/>
          <w:noProof w:val="0"/>
          <w:lang w:bidi="ar-SA"/>
        </w:rPr>
      </w:pPr>
      <w:r w:rsidRPr="00ED38E9">
        <w:rPr>
          <w:rFonts w:cs="Arial"/>
          <w:noProof w:val="0"/>
          <w:lang w:bidi="ar-SA"/>
        </w:rPr>
        <w:t>kontaktní místa veřejné správy Czech POINT,</w:t>
      </w:r>
    </w:p>
    <w:p w:rsidR="002C485C" w:rsidRPr="00ED38E9" w:rsidRDefault="002C485C" w:rsidP="002D66F0">
      <w:pPr>
        <w:numPr>
          <w:ilvl w:val="0"/>
          <w:numId w:val="59"/>
        </w:numPr>
        <w:rPr>
          <w:rFonts w:cs="Arial"/>
          <w:noProof w:val="0"/>
          <w:lang w:bidi="ar-SA"/>
        </w:rPr>
      </w:pPr>
      <w:r w:rsidRPr="00ED38E9">
        <w:rPr>
          <w:rFonts w:cs="Arial"/>
          <w:noProof w:val="0"/>
          <w:lang w:bidi="ar-SA"/>
        </w:rPr>
        <w:t>Státní fond životního prostředí (SFŽP ČR),</w:t>
      </w:r>
    </w:p>
    <w:p w:rsidR="002C485C" w:rsidRPr="00ED38E9" w:rsidRDefault="002C485C" w:rsidP="002D66F0">
      <w:pPr>
        <w:numPr>
          <w:ilvl w:val="0"/>
          <w:numId w:val="59"/>
        </w:numPr>
        <w:rPr>
          <w:rFonts w:cs="Arial"/>
          <w:noProof w:val="0"/>
          <w:lang w:bidi="ar-SA"/>
        </w:rPr>
      </w:pPr>
      <w:r w:rsidRPr="00ED38E9">
        <w:rPr>
          <w:rFonts w:cs="Arial"/>
          <w:noProof w:val="0"/>
          <w:lang w:bidi="ar-SA"/>
        </w:rPr>
        <w:t>Česká inspekce životního prostředí (ČIŽP),</w:t>
      </w:r>
    </w:p>
    <w:p w:rsidR="002C485C" w:rsidRPr="00ED38E9" w:rsidRDefault="002C485C" w:rsidP="002D66F0">
      <w:pPr>
        <w:numPr>
          <w:ilvl w:val="0"/>
          <w:numId w:val="59"/>
        </w:numPr>
        <w:rPr>
          <w:rFonts w:cs="Arial"/>
          <w:noProof w:val="0"/>
          <w:lang w:bidi="ar-SA"/>
        </w:rPr>
      </w:pPr>
      <w:r w:rsidRPr="00ED38E9">
        <w:rPr>
          <w:rFonts w:cs="Arial"/>
          <w:noProof w:val="0"/>
          <w:lang w:bidi="ar-SA"/>
        </w:rPr>
        <w:t>obecní úřad obcí s</w:t>
      </w:r>
      <w:r w:rsidR="00333557" w:rsidRPr="00ED38E9">
        <w:rPr>
          <w:rFonts w:cs="Arial"/>
          <w:noProof w:val="0"/>
          <w:lang w:bidi="ar-SA"/>
        </w:rPr>
        <w:t> </w:t>
      </w:r>
      <w:r w:rsidRPr="00ED38E9">
        <w:rPr>
          <w:rFonts w:cs="Arial"/>
          <w:noProof w:val="0"/>
          <w:lang w:bidi="ar-SA"/>
        </w:rPr>
        <w:t>rozšířenou působností (OÚ ORP),</w:t>
      </w:r>
    </w:p>
    <w:p w:rsidR="002C485C" w:rsidRPr="00ED38E9" w:rsidRDefault="002C485C" w:rsidP="002D66F0">
      <w:pPr>
        <w:numPr>
          <w:ilvl w:val="0"/>
          <w:numId w:val="59"/>
        </w:numPr>
        <w:rPr>
          <w:rFonts w:cs="Arial"/>
          <w:noProof w:val="0"/>
          <w:lang w:bidi="ar-SA"/>
        </w:rPr>
      </w:pPr>
      <w:r w:rsidRPr="00ED38E9">
        <w:rPr>
          <w:rFonts w:cs="Arial"/>
          <w:noProof w:val="0"/>
          <w:lang w:bidi="ar-SA"/>
        </w:rPr>
        <w:t>Policie ČR.</w:t>
      </w:r>
    </w:p>
    <w:p w:rsidR="002C485C" w:rsidRPr="00ED38E9" w:rsidRDefault="002C485C" w:rsidP="007A2E3D">
      <w:pPr>
        <w:pStyle w:val="Nadpis3"/>
      </w:pPr>
      <w:r w:rsidRPr="00ED38E9">
        <w:t>Popis cílového stavu</w:t>
      </w:r>
    </w:p>
    <w:p w:rsidR="002C485C" w:rsidRPr="00ED38E9" w:rsidRDefault="002C485C" w:rsidP="002C485C">
      <w:pPr>
        <w:rPr>
          <w:rFonts w:cs="Arial"/>
          <w:noProof w:val="0"/>
          <w:lang w:bidi="ar-SA"/>
        </w:rPr>
      </w:pPr>
      <w:r w:rsidRPr="00ED38E9">
        <w:rPr>
          <w:rFonts w:cs="Arial"/>
          <w:noProof w:val="0"/>
          <w:lang w:bidi="ar-SA"/>
        </w:rPr>
        <w:t>Hlavním cílem je lepší sledování a vyhodnocování nakládání s</w:t>
      </w:r>
      <w:r w:rsidR="00333557" w:rsidRPr="00ED38E9">
        <w:rPr>
          <w:rFonts w:cs="Arial"/>
          <w:noProof w:val="0"/>
          <w:lang w:bidi="ar-SA"/>
        </w:rPr>
        <w:t> </w:t>
      </w:r>
      <w:r w:rsidRPr="00ED38E9">
        <w:rPr>
          <w:rFonts w:cs="Arial"/>
          <w:noProof w:val="0"/>
          <w:lang w:bidi="ar-SA"/>
        </w:rPr>
        <w:t>vozidly s</w:t>
      </w:r>
      <w:r w:rsidR="00333557" w:rsidRPr="00ED38E9">
        <w:rPr>
          <w:rFonts w:cs="Arial"/>
          <w:noProof w:val="0"/>
          <w:lang w:bidi="ar-SA"/>
        </w:rPr>
        <w:t> </w:t>
      </w:r>
      <w:r w:rsidRPr="00ED38E9">
        <w:rPr>
          <w:rFonts w:cs="Arial"/>
          <w:noProof w:val="0"/>
          <w:lang w:bidi="ar-SA"/>
        </w:rPr>
        <w:t xml:space="preserve">ukončenou životností </w:t>
      </w:r>
      <w:r w:rsidR="00953B9F">
        <w:rPr>
          <w:rFonts w:cs="Arial"/>
          <w:noProof w:val="0"/>
          <w:lang w:bidi="ar-SA"/>
        </w:rPr>
        <w:t xml:space="preserve">a jejich díly </w:t>
      </w:r>
      <w:r w:rsidRPr="00ED38E9">
        <w:rPr>
          <w:rFonts w:cs="Arial"/>
          <w:noProof w:val="0"/>
          <w:lang w:bidi="ar-SA"/>
        </w:rPr>
        <w:t xml:space="preserve">a </w:t>
      </w:r>
      <w:r w:rsidR="00953B9F">
        <w:rPr>
          <w:rFonts w:cs="Arial"/>
          <w:noProof w:val="0"/>
          <w:lang w:bidi="ar-SA"/>
        </w:rPr>
        <w:t>také</w:t>
      </w:r>
      <w:r w:rsidRPr="00ED38E9">
        <w:rPr>
          <w:rFonts w:cs="Arial"/>
          <w:noProof w:val="0"/>
          <w:lang w:bidi="ar-SA"/>
        </w:rPr>
        <w:t xml:space="preserve"> zjednodušení </w:t>
      </w:r>
      <w:r w:rsidR="00044CB0">
        <w:rPr>
          <w:rFonts w:cs="Arial"/>
          <w:noProof w:val="0"/>
          <w:lang w:bidi="ar-SA"/>
        </w:rPr>
        <w:t>zasílání</w:t>
      </w:r>
      <w:r w:rsidR="00044CB0" w:rsidRPr="00ED38E9">
        <w:rPr>
          <w:rFonts w:cs="Arial"/>
          <w:noProof w:val="0"/>
          <w:lang w:bidi="ar-SA"/>
        </w:rPr>
        <w:t xml:space="preserve"> </w:t>
      </w:r>
      <w:r w:rsidR="00233456" w:rsidRPr="00ED38E9">
        <w:rPr>
          <w:rFonts w:cs="Arial"/>
          <w:noProof w:val="0"/>
          <w:lang w:bidi="ar-SA"/>
        </w:rPr>
        <w:t>povinných hlášení.</w:t>
      </w:r>
    </w:p>
    <w:p w:rsidR="002C485C" w:rsidRPr="00ED38E9" w:rsidRDefault="002C485C" w:rsidP="007A2E3D">
      <w:pPr>
        <w:pStyle w:val="Nadpis3"/>
      </w:pPr>
      <w:r w:rsidRPr="00ED38E9">
        <w:t>Zhodnocení rizika</w:t>
      </w:r>
    </w:p>
    <w:p w:rsidR="002C485C" w:rsidRPr="00ED38E9" w:rsidRDefault="002C485C" w:rsidP="002C485C">
      <w:pPr>
        <w:rPr>
          <w:rFonts w:cs="Arial"/>
          <w:noProof w:val="0"/>
          <w:lang w:bidi="ar-SA"/>
        </w:rPr>
      </w:pPr>
      <w:r w:rsidRPr="00ED38E9">
        <w:rPr>
          <w:rFonts w:cs="Arial"/>
          <w:noProof w:val="0"/>
          <w:lang w:bidi="ar-SA"/>
        </w:rPr>
        <w:t>V</w:t>
      </w:r>
      <w:r w:rsidR="00333557" w:rsidRPr="00ED38E9">
        <w:rPr>
          <w:rFonts w:cs="Arial"/>
          <w:noProof w:val="0"/>
          <w:lang w:bidi="ar-SA"/>
        </w:rPr>
        <w:t> </w:t>
      </w:r>
      <w:r w:rsidRPr="00ED38E9">
        <w:rPr>
          <w:rFonts w:cs="Arial"/>
          <w:noProof w:val="0"/>
          <w:lang w:bidi="ar-SA"/>
        </w:rPr>
        <w:t>případě ponechání současného systému není možné sledovat tok vybraných vozidel k</w:t>
      </w:r>
      <w:r w:rsidR="00333557" w:rsidRPr="00ED38E9">
        <w:rPr>
          <w:rFonts w:cs="Arial"/>
          <w:noProof w:val="0"/>
          <w:lang w:bidi="ar-SA"/>
        </w:rPr>
        <w:t> </w:t>
      </w:r>
      <w:r w:rsidRPr="00ED38E9">
        <w:rPr>
          <w:rFonts w:cs="Arial"/>
          <w:noProof w:val="0"/>
          <w:lang w:bidi="ar-SA"/>
        </w:rPr>
        <w:t>dalším zpracovatelům a není možné sledovat tok odpadů vzniklých při zpracování vozidel s</w:t>
      </w:r>
      <w:r w:rsidR="00333557" w:rsidRPr="00ED38E9">
        <w:rPr>
          <w:rFonts w:cs="Arial"/>
          <w:noProof w:val="0"/>
          <w:lang w:bidi="ar-SA"/>
        </w:rPr>
        <w:t> </w:t>
      </w:r>
      <w:r w:rsidRPr="00ED38E9">
        <w:rPr>
          <w:rFonts w:cs="Arial"/>
          <w:noProof w:val="0"/>
          <w:lang w:bidi="ar-SA"/>
        </w:rPr>
        <w:t>ukončenou životností. V</w:t>
      </w:r>
      <w:r w:rsidR="00333557" w:rsidRPr="00ED38E9">
        <w:rPr>
          <w:rFonts w:cs="Arial"/>
          <w:noProof w:val="0"/>
          <w:lang w:bidi="ar-SA"/>
        </w:rPr>
        <w:t> </w:t>
      </w:r>
      <w:r w:rsidRPr="00ED38E9">
        <w:rPr>
          <w:rFonts w:cs="Arial"/>
          <w:noProof w:val="0"/>
          <w:lang w:bidi="ar-SA"/>
        </w:rPr>
        <w:t>takovém případě je riziko špatné evidence odpadů a</w:t>
      </w:r>
      <w:r w:rsidR="00113DD7" w:rsidRPr="00ED38E9">
        <w:rPr>
          <w:rFonts w:cs="Arial"/>
          <w:noProof w:val="0"/>
          <w:lang w:bidi="ar-SA"/>
        </w:rPr>
        <w:t> </w:t>
      </w:r>
      <w:r w:rsidRPr="00ED38E9">
        <w:rPr>
          <w:rFonts w:cs="Arial"/>
          <w:noProof w:val="0"/>
          <w:lang w:bidi="ar-SA"/>
        </w:rPr>
        <w:t>vyhodnocování cílů recyklace, které se hlásí EK. V</w:t>
      </w:r>
      <w:r w:rsidR="00333557" w:rsidRPr="00ED38E9">
        <w:rPr>
          <w:rFonts w:cs="Arial"/>
          <w:noProof w:val="0"/>
          <w:lang w:bidi="ar-SA"/>
        </w:rPr>
        <w:t> </w:t>
      </w:r>
      <w:r w:rsidRPr="00ED38E9">
        <w:rPr>
          <w:rFonts w:cs="Arial"/>
          <w:noProof w:val="0"/>
          <w:lang w:bidi="ar-SA"/>
        </w:rPr>
        <w:t xml:space="preserve">návaznosti na neplnění cílů lze předpokládat sankce ze strany EK </w:t>
      </w:r>
      <w:r w:rsidR="00004A96">
        <w:rPr>
          <w:rFonts w:cs="Arial"/>
          <w:noProof w:val="0"/>
          <w:lang w:bidi="ar-SA"/>
        </w:rPr>
        <w:t>vůči</w:t>
      </w:r>
      <w:r w:rsidR="00004A96" w:rsidRPr="00ED38E9">
        <w:rPr>
          <w:rFonts w:cs="Arial"/>
          <w:noProof w:val="0"/>
          <w:lang w:bidi="ar-SA"/>
        </w:rPr>
        <w:t xml:space="preserve"> </w:t>
      </w:r>
      <w:r w:rsidRPr="00ED38E9">
        <w:rPr>
          <w:rFonts w:cs="Arial"/>
          <w:noProof w:val="0"/>
          <w:lang w:bidi="ar-SA"/>
        </w:rPr>
        <w:t>ČR.</w:t>
      </w:r>
    </w:p>
    <w:p w:rsidR="002C485C" w:rsidRPr="00ED38E9" w:rsidRDefault="002C485C" w:rsidP="007A2E3D">
      <w:pPr>
        <w:pStyle w:val="Nadpis2"/>
      </w:pPr>
      <w:bookmarkStart w:id="283" w:name="_Toc441759962"/>
      <w:r w:rsidRPr="00ED38E9">
        <w:t>Návrh variant řešení</w:t>
      </w:r>
      <w:bookmarkEnd w:id="283"/>
    </w:p>
    <w:p w:rsidR="002C485C" w:rsidRPr="00ED38E9" w:rsidRDefault="002C485C" w:rsidP="007A2E3D">
      <w:pPr>
        <w:pStyle w:val="Nadpis3"/>
      </w:pPr>
      <w:r w:rsidRPr="00ED38E9">
        <w:t>Varianta 0</w:t>
      </w:r>
    </w:p>
    <w:p w:rsidR="002C485C" w:rsidRPr="00ED38E9" w:rsidRDefault="002C485C" w:rsidP="002C485C">
      <w:pPr>
        <w:rPr>
          <w:rFonts w:cs="Arial"/>
          <w:noProof w:val="0"/>
          <w:lang w:bidi="ar-SA"/>
        </w:rPr>
      </w:pPr>
      <w:r w:rsidRPr="00ED38E9">
        <w:rPr>
          <w:rFonts w:cs="Arial"/>
          <w:noProof w:val="0"/>
          <w:lang w:bidi="ar-SA"/>
        </w:rPr>
        <w:t xml:space="preserve">Současný stav, kdy se do </w:t>
      </w:r>
      <w:r w:rsidR="00004A96" w:rsidRPr="00ED38E9">
        <w:rPr>
          <w:rFonts w:cs="Arial"/>
          <w:noProof w:val="0"/>
          <w:color w:val="000000"/>
          <w:lang w:eastAsia="cs-CZ" w:bidi="ar-SA"/>
        </w:rPr>
        <w:t>Informační</w:t>
      </w:r>
      <w:r w:rsidR="00004A96">
        <w:rPr>
          <w:rFonts w:cs="Arial"/>
          <w:noProof w:val="0"/>
          <w:color w:val="000000"/>
          <w:lang w:eastAsia="cs-CZ" w:bidi="ar-SA"/>
        </w:rPr>
        <w:t>ho</w:t>
      </w:r>
      <w:r w:rsidR="00004A96" w:rsidRPr="00ED38E9">
        <w:rPr>
          <w:rFonts w:cs="Arial"/>
          <w:noProof w:val="0"/>
          <w:color w:val="000000"/>
          <w:lang w:eastAsia="cs-CZ" w:bidi="ar-SA"/>
        </w:rPr>
        <w:t xml:space="preserve"> systém</w:t>
      </w:r>
      <w:r w:rsidR="00004A96">
        <w:rPr>
          <w:rFonts w:cs="Arial"/>
          <w:noProof w:val="0"/>
          <w:color w:val="000000"/>
          <w:lang w:eastAsia="cs-CZ" w:bidi="ar-SA"/>
        </w:rPr>
        <w:t>u</w:t>
      </w:r>
      <w:r w:rsidR="00004A96" w:rsidRPr="00ED38E9">
        <w:rPr>
          <w:rFonts w:cs="Arial"/>
          <w:noProof w:val="0"/>
          <w:color w:val="000000"/>
          <w:lang w:eastAsia="cs-CZ" w:bidi="ar-SA"/>
        </w:rPr>
        <w:t xml:space="preserve"> odpadového hospodářství</w:t>
      </w:r>
      <w:r w:rsidR="00004A96">
        <w:rPr>
          <w:rFonts w:cs="Arial"/>
          <w:noProof w:val="0"/>
          <w:color w:val="000000"/>
          <w:lang w:eastAsia="cs-CZ" w:bidi="ar-SA"/>
        </w:rPr>
        <w:t xml:space="preserve"> – modul autovraky</w:t>
      </w:r>
      <w:r w:rsidRPr="00ED38E9">
        <w:rPr>
          <w:rFonts w:cs="Arial"/>
          <w:noProof w:val="0"/>
          <w:lang w:bidi="ar-SA"/>
        </w:rPr>
        <w:t xml:space="preserve"> </w:t>
      </w:r>
      <w:r w:rsidR="00004A96">
        <w:rPr>
          <w:rFonts w:cs="Arial"/>
          <w:noProof w:val="0"/>
          <w:lang w:bidi="ar-SA"/>
        </w:rPr>
        <w:t>(</w:t>
      </w:r>
      <w:r w:rsidRPr="00ED38E9">
        <w:rPr>
          <w:rFonts w:cs="Arial"/>
          <w:noProof w:val="0"/>
          <w:lang w:bidi="ar-SA"/>
        </w:rPr>
        <w:t>MA ISOH</w:t>
      </w:r>
      <w:r w:rsidR="00004A96">
        <w:rPr>
          <w:rFonts w:cs="Arial"/>
          <w:noProof w:val="0"/>
          <w:lang w:bidi="ar-SA"/>
        </w:rPr>
        <w:t>)</w:t>
      </w:r>
      <w:r w:rsidRPr="00ED38E9">
        <w:rPr>
          <w:rFonts w:cs="Arial"/>
          <w:noProof w:val="0"/>
          <w:lang w:bidi="ar-SA"/>
        </w:rPr>
        <w:t xml:space="preserve"> ukládají tato data:</w:t>
      </w:r>
    </w:p>
    <w:p w:rsidR="002C485C" w:rsidRPr="00ED38E9" w:rsidRDefault="002C485C" w:rsidP="002D66F0">
      <w:pPr>
        <w:numPr>
          <w:ilvl w:val="0"/>
          <w:numId w:val="57"/>
        </w:numPr>
        <w:rPr>
          <w:rFonts w:cs="Arial"/>
          <w:noProof w:val="0"/>
          <w:lang w:bidi="ar-SA"/>
        </w:rPr>
      </w:pPr>
      <w:r w:rsidRPr="00ED38E9">
        <w:rPr>
          <w:rFonts w:cs="Arial"/>
          <w:noProof w:val="0"/>
          <w:lang w:bidi="ar-SA"/>
        </w:rPr>
        <w:t>identifikační údaje o provozovateli zařízení ke sběru vybraných autovraků,</w:t>
      </w:r>
    </w:p>
    <w:p w:rsidR="002C485C" w:rsidRPr="00ED38E9" w:rsidRDefault="002C485C" w:rsidP="002D66F0">
      <w:pPr>
        <w:numPr>
          <w:ilvl w:val="0"/>
          <w:numId w:val="57"/>
        </w:numPr>
        <w:rPr>
          <w:rFonts w:cs="Arial"/>
          <w:noProof w:val="0"/>
          <w:lang w:bidi="ar-SA"/>
        </w:rPr>
      </w:pPr>
      <w:r w:rsidRPr="00ED38E9">
        <w:rPr>
          <w:rFonts w:cs="Arial"/>
          <w:noProof w:val="0"/>
          <w:lang w:bidi="ar-SA"/>
        </w:rPr>
        <w:t>identifikační údaje o osobě předávající vybraný autovrak,</w:t>
      </w:r>
    </w:p>
    <w:p w:rsidR="002C485C" w:rsidRPr="00ED38E9" w:rsidRDefault="002C485C" w:rsidP="002D66F0">
      <w:pPr>
        <w:numPr>
          <w:ilvl w:val="0"/>
          <w:numId w:val="57"/>
        </w:numPr>
        <w:rPr>
          <w:rFonts w:cs="Arial"/>
          <w:noProof w:val="0"/>
          <w:lang w:bidi="ar-SA"/>
        </w:rPr>
      </w:pPr>
      <w:r w:rsidRPr="00ED38E9">
        <w:rPr>
          <w:rFonts w:cs="Arial"/>
          <w:noProof w:val="0"/>
          <w:lang w:bidi="ar-SA"/>
        </w:rPr>
        <w:t>údaje o souhlasu k</w:t>
      </w:r>
      <w:r w:rsidR="00333557" w:rsidRPr="00ED38E9">
        <w:rPr>
          <w:rFonts w:cs="Arial"/>
          <w:noProof w:val="0"/>
          <w:lang w:bidi="ar-SA"/>
        </w:rPr>
        <w:t> </w:t>
      </w:r>
      <w:r w:rsidRPr="00ED38E9">
        <w:rPr>
          <w:rFonts w:cs="Arial"/>
          <w:noProof w:val="0"/>
          <w:lang w:bidi="ar-SA"/>
        </w:rPr>
        <w:t>provozování zařízení ke sběru autovraků,</w:t>
      </w:r>
    </w:p>
    <w:p w:rsidR="002C485C" w:rsidRPr="00ED38E9" w:rsidRDefault="002C485C" w:rsidP="002D66F0">
      <w:pPr>
        <w:numPr>
          <w:ilvl w:val="0"/>
          <w:numId w:val="57"/>
        </w:numPr>
        <w:rPr>
          <w:rFonts w:cs="Arial"/>
          <w:noProof w:val="0"/>
          <w:lang w:bidi="ar-SA"/>
        </w:rPr>
      </w:pPr>
      <w:r w:rsidRPr="00ED38E9">
        <w:rPr>
          <w:rFonts w:cs="Arial"/>
          <w:noProof w:val="0"/>
          <w:lang w:bidi="ar-SA"/>
        </w:rPr>
        <w:t>údaje o převzatém vybraném autovraku a o chybějících částech převzatého autovraku v</w:t>
      </w:r>
      <w:r w:rsidR="00333557" w:rsidRPr="00ED38E9">
        <w:rPr>
          <w:rFonts w:cs="Arial"/>
          <w:noProof w:val="0"/>
          <w:lang w:bidi="ar-SA"/>
        </w:rPr>
        <w:t> </w:t>
      </w:r>
      <w:r w:rsidRPr="00ED38E9">
        <w:rPr>
          <w:rFonts w:cs="Arial"/>
          <w:noProof w:val="0"/>
          <w:lang w:bidi="ar-SA"/>
        </w:rPr>
        <w:t>rozsahu požadovaném v</w:t>
      </w:r>
      <w:r w:rsidR="00333557" w:rsidRPr="00ED38E9">
        <w:rPr>
          <w:rFonts w:cs="Arial"/>
          <w:noProof w:val="0"/>
          <w:lang w:bidi="ar-SA"/>
        </w:rPr>
        <w:t> </w:t>
      </w:r>
      <w:r w:rsidRPr="00ED38E9">
        <w:rPr>
          <w:rFonts w:cs="Arial"/>
          <w:noProof w:val="0"/>
          <w:lang w:bidi="ar-SA"/>
        </w:rPr>
        <w:t>potvrzení o převzetí autovraku,</w:t>
      </w:r>
    </w:p>
    <w:p w:rsidR="002C485C" w:rsidRPr="00ED38E9" w:rsidRDefault="002C485C" w:rsidP="002D66F0">
      <w:pPr>
        <w:numPr>
          <w:ilvl w:val="0"/>
          <w:numId w:val="57"/>
        </w:numPr>
        <w:rPr>
          <w:rFonts w:cs="Arial"/>
          <w:noProof w:val="0"/>
          <w:lang w:bidi="ar-SA"/>
        </w:rPr>
      </w:pPr>
      <w:r w:rsidRPr="00ED38E9">
        <w:rPr>
          <w:rFonts w:cs="Arial"/>
          <w:noProof w:val="0"/>
          <w:lang w:bidi="ar-SA"/>
        </w:rPr>
        <w:t>fotodokumentace (fotografie celého autovraku, stav vybavení kabiny, VIN),</w:t>
      </w:r>
    </w:p>
    <w:p w:rsidR="002C485C" w:rsidRPr="00ED38E9" w:rsidRDefault="002C485C" w:rsidP="002D66F0">
      <w:pPr>
        <w:numPr>
          <w:ilvl w:val="0"/>
          <w:numId w:val="58"/>
        </w:numPr>
        <w:rPr>
          <w:rFonts w:cs="Arial"/>
          <w:noProof w:val="0"/>
          <w:lang w:bidi="ar-SA"/>
        </w:rPr>
      </w:pPr>
      <w:r w:rsidRPr="00ED38E9">
        <w:rPr>
          <w:rFonts w:cs="Arial"/>
          <w:noProof w:val="0"/>
          <w:lang w:bidi="ar-SA"/>
        </w:rPr>
        <w:t>seznam osob oprávněných ke sběru a zpracování autovraků.</w:t>
      </w:r>
    </w:p>
    <w:p w:rsidR="002C485C" w:rsidRPr="00ED38E9" w:rsidRDefault="002C485C" w:rsidP="007A2E3D">
      <w:pPr>
        <w:pStyle w:val="Nadpis3"/>
      </w:pPr>
      <w:r w:rsidRPr="00ED38E9">
        <w:t>Varianta 1</w:t>
      </w:r>
    </w:p>
    <w:p w:rsidR="002C485C" w:rsidRPr="00ED38E9" w:rsidRDefault="002C485C" w:rsidP="002C485C">
      <w:pPr>
        <w:rPr>
          <w:rFonts w:cs="Arial"/>
          <w:noProof w:val="0"/>
          <w:lang w:bidi="ar-SA"/>
        </w:rPr>
      </w:pPr>
      <w:r w:rsidRPr="00ED38E9">
        <w:rPr>
          <w:rFonts w:cs="Arial"/>
          <w:noProof w:val="0"/>
          <w:lang w:bidi="ar-SA"/>
        </w:rPr>
        <w:t>Rozšíření Informačního systému (nástavba k</w:t>
      </w:r>
      <w:r w:rsidR="00333557" w:rsidRPr="00ED38E9">
        <w:rPr>
          <w:rFonts w:cs="Arial"/>
          <w:noProof w:val="0"/>
          <w:lang w:bidi="ar-SA"/>
        </w:rPr>
        <w:t> </w:t>
      </w:r>
      <w:r w:rsidRPr="00ED38E9">
        <w:rPr>
          <w:rFonts w:cs="Arial"/>
          <w:noProof w:val="0"/>
          <w:lang w:bidi="ar-SA"/>
        </w:rPr>
        <w:t xml:space="preserve">současnému MA ISOH nebo kompletně nový systém) jehož základním principem bude online vedení provozních deníků, podpora skladové </w:t>
      </w:r>
      <w:r w:rsidRPr="00ED38E9">
        <w:rPr>
          <w:rFonts w:cs="Arial"/>
          <w:noProof w:val="0"/>
          <w:lang w:bidi="ar-SA"/>
        </w:rPr>
        <w:lastRenderedPageBreak/>
        <w:t>evidence a množství odpadů a provedených zpracovatelských op</w:t>
      </w:r>
      <w:r w:rsidR="00113DD7" w:rsidRPr="00ED38E9">
        <w:rPr>
          <w:rFonts w:cs="Arial"/>
          <w:noProof w:val="0"/>
          <w:lang w:bidi="ar-SA"/>
        </w:rPr>
        <w:t>erací jednotlivými zpracovateli.</w:t>
      </w:r>
    </w:p>
    <w:p w:rsidR="002C485C" w:rsidRPr="00ED38E9" w:rsidRDefault="002C485C" w:rsidP="007A2E3D">
      <w:pPr>
        <w:pStyle w:val="Nadpis2"/>
      </w:pPr>
      <w:bookmarkStart w:id="284" w:name="_Toc441759963"/>
      <w:r w:rsidRPr="00ED38E9">
        <w:t>Vyhodnocení nákladů a přínosů</w:t>
      </w:r>
      <w:bookmarkEnd w:id="284"/>
    </w:p>
    <w:p w:rsidR="002C485C" w:rsidRPr="00ED38E9" w:rsidRDefault="002C485C" w:rsidP="007A2E3D">
      <w:pPr>
        <w:pStyle w:val="Nadpis3"/>
      </w:pPr>
      <w:r w:rsidRPr="00ED38E9">
        <w:t>Identifikace nákladů a přínosů</w:t>
      </w:r>
    </w:p>
    <w:p w:rsidR="002C485C" w:rsidRPr="00ED38E9" w:rsidRDefault="002C485C" w:rsidP="002D66F0">
      <w:pPr>
        <w:keepNext/>
        <w:numPr>
          <w:ilvl w:val="0"/>
          <w:numId w:val="55"/>
        </w:numPr>
        <w:spacing w:before="240" w:after="120"/>
        <w:ind w:left="714" w:hanging="357"/>
        <w:rPr>
          <w:rFonts w:cs="Arial"/>
          <w:noProof w:val="0"/>
          <w:lang w:bidi="ar-SA"/>
        </w:rPr>
      </w:pPr>
      <w:r w:rsidRPr="00ED38E9">
        <w:rPr>
          <w:rFonts w:cs="Arial"/>
          <w:noProof w:val="0"/>
          <w:lang w:bidi="ar-SA"/>
        </w:rPr>
        <w:t>Varianta 0</w:t>
      </w:r>
    </w:p>
    <w:p w:rsidR="002C485C" w:rsidRPr="00ED38E9" w:rsidRDefault="002C485C" w:rsidP="002C485C">
      <w:pPr>
        <w:keepNext/>
        <w:spacing w:before="120"/>
        <w:rPr>
          <w:rFonts w:cs="Arial"/>
          <w:b/>
          <w:noProof w:val="0"/>
          <w:lang w:bidi="ar-SA"/>
        </w:rPr>
      </w:pPr>
      <w:r w:rsidRPr="00ED38E9">
        <w:rPr>
          <w:rFonts w:cs="Arial"/>
          <w:b/>
          <w:noProof w:val="0"/>
          <w:lang w:bidi="ar-SA"/>
        </w:rPr>
        <w:t>Dopady na státní rozpočet a ostatní veřejné rozpočty</w:t>
      </w:r>
    </w:p>
    <w:p w:rsidR="002C485C" w:rsidRPr="00ED38E9" w:rsidRDefault="00113DD7" w:rsidP="00113DD7">
      <w:pPr>
        <w:rPr>
          <w:rFonts w:cs="Arial"/>
          <w:noProof w:val="0"/>
          <w:lang w:bidi="ar-SA"/>
        </w:rPr>
      </w:pPr>
      <w:r w:rsidRPr="00ED38E9">
        <w:rPr>
          <w:rFonts w:cs="Arial"/>
          <w:noProof w:val="0"/>
          <w:lang w:bidi="ar-SA"/>
        </w:rPr>
        <w:t>Na vytvoření systému MA ISOH v</w:t>
      </w:r>
      <w:r w:rsidR="00333557" w:rsidRPr="00ED38E9">
        <w:rPr>
          <w:rFonts w:cs="Arial"/>
          <w:noProof w:val="0"/>
          <w:lang w:bidi="ar-SA"/>
        </w:rPr>
        <w:t> </w:t>
      </w:r>
      <w:r w:rsidRPr="00ED38E9">
        <w:rPr>
          <w:rFonts w:cs="Arial"/>
          <w:noProof w:val="0"/>
          <w:lang w:bidi="ar-SA"/>
        </w:rPr>
        <w:t>roce 2008, následný vývoj v</w:t>
      </w:r>
      <w:r w:rsidR="00333557" w:rsidRPr="00ED38E9">
        <w:rPr>
          <w:rFonts w:cs="Arial"/>
          <w:noProof w:val="0"/>
          <w:lang w:bidi="ar-SA"/>
        </w:rPr>
        <w:t> </w:t>
      </w:r>
      <w:r w:rsidRPr="00ED38E9">
        <w:rPr>
          <w:rFonts w:cs="Arial"/>
          <w:noProof w:val="0"/>
          <w:lang w:bidi="ar-SA"/>
        </w:rPr>
        <w:t>letech 2009–2014, na údržbu systému a veškerou jeho systémovou a uživatelskou podporu (hot-line, školení, datová správa) včetně aktualizací freeware Autovraky bylo doposud vynaloženo 6 mil. Kč</w:t>
      </w:r>
      <w:r w:rsidR="009A7B5C" w:rsidRPr="00ED38E9">
        <w:rPr>
          <w:rFonts w:cs="Arial"/>
          <w:noProof w:val="0"/>
          <w:lang w:bidi="ar-SA"/>
        </w:rPr>
        <w:t xml:space="preserve"> </w:t>
      </w:r>
      <w:r w:rsidRPr="00ED38E9">
        <w:rPr>
          <w:rFonts w:cs="Arial"/>
          <w:noProof w:val="0"/>
          <w:lang w:bidi="ar-SA"/>
        </w:rPr>
        <w:t>z</w:t>
      </w:r>
      <w:r w:rsidR="00333557" w:rsidRPr="00ED38E9">
        <w:rPr>
          <w:rFonts w:cs="Arial"/>
          <w:noProof w:val="0"/>
          <w:lang w:bidi="ar-SA"/>
        </w:rPr>
        <w:t> </w:t>
      </w:r>
      <w:r w:rsidRPr="00ED38E9">
        <w:rPr>
          <w:rFonts w:cs="Arial"/>
          <w:noProof w:val="0"/>
          <w:lang w:bidi="ar-SA"/>
        </w:rPr>
        <w:t>finančních prostředků ministerstva (zdroj: Tománek Otakar, INISOFT s.r.o.).</w:t>
      </w:r>
    </w:p>
    <w:p w:rsidR="00013232" w:rsidRPr="00ED38E9" w:rsidRDefault="00013232" w:rsidP="00113DD7">
      <w:pPr>
        <w:rPr>
          <w:rFonts w:cs="Arial"/>
          <w:noProof w:val="0"/>
          <w:lang w:bidi="ar-SA"/>
        </w:rPr>
      </w:pPr>
      <w:r w:rsidRPr="00ED38E9">
        <w:rPr>
          <w:rFonts w:cs="Arial"/>
          <w:noProof w:val="0"/>
          <w:lang w:bidi="ar-SA"/>
        </w:rPr>
        <w:t>Nevýhodou současného systému je, že smlouvy s</w:t>
      </w:r>
      <w:r w:rsidR="00333557" w:rsidRPr="00ED38E9">
        <w:rPr>
          <w:rFonts w:cs="Arial"/>
          <w:noProof w:val="0"/>
          <w:lang w:bidi="ar-SA"/>
        </w:rPr>
        <w:t> </w:t>
      </w:r>
      <w:r w:rsidRPr="00ED38E9">
        <w:rPr>
          <w:rFonts w:cs="Arial"/>
          <w:noProof w:val="0"/>
          <w:lang w:bidi="ar-SA"/>
        </w:rPr>
        <w:t>dodavatelem jsou nastaveny tak, že autorská práva a zdrojové kódy nemá ve vlastnictví ministerstvo.</w:t>
      </w:r>
    </w:p>
    <w:p w:rsidR="002C485C" w:rsidRPr="00ED38E9" w:rsidRDefault="002C485C" w:rsidP="002C485C">
      <w:pPr>
        <w:keepNext/>
        <w:spacing w:before="120"/>
        <w:rPr>
          <w:rFonts w:cs="Arial"/>
          <w:b/>
          <w:noProof w:val="0"/>
          <w:lang w:bidi="ar-SA"/>
        </w:rPr>
      </w:pPr>
      <w:r w:rsidRPr="00ED38E9">
        <w:rPr>
          <w:rFonts w:cs="Arial"/>
          <w:b/>
          <w:noProof w:val="0"/>
          <w:lang w:bidi="ar-SA"/>
        </w:rPr>
        <w:t>Dopady na podnikatelské subjekty</w:t>
      </w:r>
    </w:p>
    <w:p w:rsidR="009A7B5C" w:rsidRPr="00ED38E9" w:rsidRDefault="009A7B5C" w:rsidP="00D5043D">
      <w:pPr>
        <w:rPr>
          <w:rFonts w:cs="Arial"/>
          <w:noProof w:val="0"/>
          <w:lang w:bidi="ar-SA"/>
        </w:rPr>
      </w:pPr>
      <w:r w:rsidRPr="00ED38E9">
        <w:rPr>
          <w:rFonts w:cs="Arial"/>
          <w:noProof w:val="0"/>
          <w:lang w:bidi="ar-SA"/>
        </w:rPr>
        <w:t>Aktuální administrativní zátěž podnikatelských subjektů je odhadována maximálně na cca 15 min. u jednoho autovraku (vyplnění elektronického formuláře, pořízení požadovaných fotografií a jejich vložení do systému). Ročně je do systému vloženo cca 125 tis. vozidel s</w:t>
      </w:r>
      <w:r w:rsidR="00333557" w:rsidRPr="00ED38E9">
        <w:rPr>
          <w:rFonts w:cs="Arial"/>
          <w:noProof w:val="0"/>
          <w:lang w:bidi="ar-SA"/>
        </w:rPr>
        <w:t> </w:t>
      </w:r>
      <w:r w:rsidRPr="00ED38E9">
        <w:rPr>
          <w:rFonts w:cs="Arial"/>
          <w:noProof w:val="0"/>
          <w:lang w:bidi="ar-SA"/>
        </w:rPr>
        <w:t>ukončenou životností prostřednictvím cca 50</w:t>
      </w:r>
      <w:r w:rsidR="00525449" w:rsidRPr="00ED38E9">
        <w:rPr>
          <w:rFonts w:cs="Arial"/>
          <w:noProof w:val="0"/>
          <w:lang w:bidi="ar-SA"/>
        </w:rPr>
        <w:t>0</w:t>
      </w:r>
      <w:r w:rsidRPr="00ED38E9">
        <w:rPr>
          <w:rFonts w:cs="Arial"/>
          <w:noProof w:val="0"/>
          <w:lang w:bidi="ar-SA"/>
        </w:rPr>
        <w:t xml:space="preserve"> subjektů.</w:t>
      </w:r>
    </w:p>
    <w:p w:rsidR="00525449" w:rsidRPr="00ED38E9" w:rsidRDefault="00525449" w:rsidP="00525449">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79</w:t>
      </w:r>
      <w:r w:rsidR="00381FB7" w:rsidRPr="00ED38E9">
        <w:rPr>
          <w:rFonts w:cs="Arial"/>
        </w:rPr>
        <w:fldChar w:fldCharType="end"/>
      </w:r>
      <w:r w:rsidRPr="00ED38E9">
        <w:rPr>
          <w:rFonts w:cs="Arial"/>
        </w:rPr>
        <w:t>: Odhad průměrných nákladů na 1 subjekt (zdroj: MA ISOH)</w:t>
      </w:r>
    </w:p>
    <w:p w:rsidR="009A7B5C" w:rsidRPr="00ED38E9" w:rsidRDefault="00525449" w:rsidP="00D5043D">
      <w:pPr>
        <w:rPr>
          <w:rFonts w:cs="Arial"/>
          <w:noProof w:val="0"/>
          <w:lang w:bidi="ar-SA"/>
        </w:rPr>
      </w:pPr>
      <w:r w:rsidRPr="00ED38E9">
        <w:rPr>
          <w:rFonts w:cs="Arial"/>
          <w:lang w:eastAsia="cs-CZ" w:bidi="ar-SA"/>
        </w:rPr>
        <w:drawing>
          <wp:inline distT="0" distB="0" distL="0" distR="0" wp14:anchorId="5290EA3E" wp14:editId="1C772325">
            <wp:extent cx="4754173" cy="1620000"/>
            <wp:effectExtent l="0" t="0" r="889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54173" cy="1620000"/>
                    </a:xfrm>
                    <a:prstGeom prst="rect">
                      <a:avLst/>
                    </a:prstGeom>
                    <a:noFill/>
                    <a:ln>
                      <a:noFill/>
                    </a:ln>
                  </pic:spPr>
                </pic:pic>
              </a:graphicData>
            </a:graphic>
          </wp:inline>
        </w:drawing>
      </w:r>
    </w:p>
    <w:p w:rsidR="002C485C" w:rsidRPr="00ED38E9" w:rsidRDefault="002C485C" w:rsidP="002C485C">
      <w:pPr>
        <w:keepNext/>
        <w:spacing w:before="120"/>
        <w:rPr>
          <w:rFonts w:cs="Arial"/>
          <w:b/>
          <w:noProof w:val="0"/>
          <w:lang w:bidi="ar-SA"/>
        </w:rPr>
      </w:pPr>
      <w:r w:rsidRPr="00ED38E9">
        <w:rPr>
          <w:rFonts w:cs="Arial"/>
          <w:b/>
          <w:noProof w:val="0"/>
          <w:lang w:bidi="ar-SA"/>
        </w:rPr>
        <w:t>Dopady na životní prostředí</w:t>
      </w:r>
    </w:p>
    <w:p w:rsidR="00525449" w:rsidRPr="00ED38E9" w:rsidRDefault="006C6102" w:rsidP="00525449">
      <w:pPr>
        <w:rPr>
          <w:rFonts w:cs="Arial"/>
          <w:noProof w:val="0"/>
          <w:lang w:bidi="ar-SA"/>
        </w:rPr>
      </w:pPr>
      <w:r w:rsidRPr="00ED38E9">
        <w:rPr>
          <w:rFonts w:cs="Arial"/>
          <w:noProof w:val="0"/>
          <w:lang w:bidi="ar-SA"/>
        </w:rPr>
        <w:t xml:space="preserve">Současný stav představuje </w:t>
      </w:r>
      <w:r w:rsidR="00525449" w:rsidRPr="00ED38E9">
        <w:rPr>
          <w:rFonts w:cs="Arial"/>
          <w:noProof w:val="0"/>
          <w:lang w:bidi="ar-SA"/>
        </w:rPr>
        <w:t>ne</w:t>
      </w:r>
      <w:r w:rsidRPr="00ED38E9">
        <w:rPr>
          <w:rFonts w:cs="Arial"/>
          <w:noProof w:val="0"/>
          <w:lang w:bidi="ar-SA"/>
        </w:rPr>
        <w:t>možnost</w:t>
      </w:r>
      <w:r w:rsidR="00525449" w:rsidRPr="00ED38E9">
        <w:rPr>
          <w:rFonts w:cs="Arial"/>
          <w:noProof w:val="0"/>
          <w:lang w:bidi="ar-SA"/>
        </w:rPr>
        <w:t xml:space="preserve"> sledovat tok vybraných vozidel k</w:t>
      </w:r>
      <w:r w:rsidR="00333557" w:rsidRPr="00ED38E9">
        <w:rPr>
          <w:rFonts w:cs="Arial"/>
          <w:noProof w:val="0"/>
          <w:lang w:bidi="ar-SA"/>
        </w:rPr>
        <w:t> </w:t>
      </w:r>
      <w:r w:rsidR="00525449" w:rsidRPr="00ED38E9">
        <w:rPr>
          <w:rFonts w:cs="Arial"/>
          <w:noProof w:val="0"/>
          <w:lang w:bidi="ar-SA"/>
        </w:rPr>
        <w:t>dalším zpracovatelům a tok odpadů vzniklých při zpracování vozidel s</w:t>
      </w:r>
      <w:r w:rsidR="00333557" w:rsidRPr="00ED38E9">
        <w:rPr>
          <w:rFonts w:cs="Arial"/>
          <w:noProof w:val="0"/>
          <w:lang w:bidi="ar-SA"/>
        </w:rPr>
        <w:t> </w:t>
      </w:r>
      <w:r w:rsidR="00525449" w:rsidRPr="00ED38E9">
        <w:rPr>
          <w:rFonts w:cs="Arial"/>
          <w:noProof w:val="0"/>
          <w:lang w:bidi="ar-SA"/>
        </w:rPr>
        <w:t xml:space="preserve">ukončenou životností. </w:t>
      </w:r>
      <w:r w:rsidRPr="00ED38E9">
        <w:rPr>
          <w:rFonts w:cs="Arial"/>
          <w:noProof w:val="0"/>
          <w:lang w:bidi="ar-SA"/>
        </w:rPr>
        <w:t>To může představovat i riziko ohrožení životního prostředí.</w:t>
      </w:r>
    </w:p>
    <w:p w:rsidR="002C485C" w:rsidRPr="00ED38E9" w:rsidRDefault="002C485C" w:rsidP="002D66F0">
      <w:pPr>
        <w:keepNext/>
        <w:numPr>
          <w:ilvl w:val="0"/>
          <w:numId w:val="55"/>
        </w:numPr>
        <w:spacing w:before="240" w:after="120"/>
        <w:ind w:left="714" w:hanging="357"/>
        <w:rPr>
          <w:rFonts w:cs="Arial"/>
          <w:noProof w:val="0"/>
          <w:lang w:bidi="ar-SA"/>
        </w:rPr>
      </w:pPr>
      <w:r w:rsidRPr="00ED38E9">
        <w:rPr>
          <w:rFonts w:cs="Arial"/>
          <w:noProof w:val="0"/>
          <w:lang w:bidi="ar-SA"/>
        </w:rPr>
        <w:t>Varianta 1</w:t>
      </w:r>
    </w:p>
    <w:p w:rsidR="002C485C" w:rsidRPr="00ED38E9" w:rsidRDefault="002C485C" w:rsidP="002C485C">
      <w:pPr>
        <w:keepNext/>
        <w:spacing w:before="120"/>
        <w:rPr>
          <w:rFonts w:cs="Arial"/>
          <w:b/>
          <w:noProof w:val="0"/>
          <w:lang w:bidi="ar-SA"/>
        </w:rPr>
      </w:pPr>
      <w:r w:rsidRPr="00ED38E9">
        <w:rPr>
          <w:rFonts w:cs="Arial"/>
          <w:b/>
          <w:noProof w:val="0"/>
          <w:lang w:bidi="ar-SA"/>
        </w:rPr>
        <w:t>Dopady na státní rozpočet a ostatní veřejné rozpočty</w:t>
      </w:r>
    </w:p>
    <w:p w:rsidR="00852D07" w:rsidRPr="00ED38E9" w:rsidRDefault="00852D07" w:rsidP="00852D07">
      <w:pPr>
        <w:rPr>
          <w:rFonts w:cs="Arial"/>
          <w:noProof w:val="0"/>
          <w:lang w:bidi="ar-SA"/>
        </w:rPr>
      </w:pPr>
      <w:r w:rsidRPr="00ED38E9">
        <w:rPr>
          <w:rFonts w:cs="Arial"/>
          <w:noProof w:val="0"/>
          <w:lang w:bidi="ar-SA"/>
        </w:rPr>
        <w:t>Náklady na rozšíření informačního systému jsou závislé na způsobu, jak rozšíření bude provedeno. Nabízí se tyto dvě možnosti:</w:t>
      </w:r>
    </w:p>
    <w:p w:rsidR="00852D07" w:rsidRPr="00ED38E9" w:rsidRDefault="00852D07" w:rsidP="00686AE0">
      <w:pPr>
        <w:spacing w:before="120"/>
        <w:rPr>
          <w:rFonts w:cs="Arial"/>
          <w:noProof w:val="0"/>
          <w:lang w:bidi="ar-SA"/>
        </w:rPr>
      </w:pPr>
      <w:r w:rsidRPr="00ED38E9">
        <w:rPr>
          <w:rFonts w:cs="Arial"/>
          <w:noProof w:val="0"/>
          <w:lang w:bidi="ar-SA"/>
        </w:rPr>
        <w:t>1. Rozšíření sou</w:t>
      </w:r>
      <w:r w:rsidR="00C4272C" w:rsidRPr="00ED38E9">
        <w:rPr>
          <w:rFonts w:cs="Arial"/>
          <w:noProof w:val="0"/>
          <w:lang w:bidi="ar-SA"/>
        </w:rPr>
        <w:t xml:space="preserve">časného informačního systému </w:t>
      </w:r>
      <w:r w:rsidRPr="00ED38E9">
        <w:rPr>
          <w:rFonts w:cs="Arial"/>
          <w:noProof w:val="0"/>
          <w:lang w:bidi="ar-SA"/>
        </w:rPr>
        <w:t>MA ISOH</w:t>
      </w:r>
      <w:r w:rsidR="009F1008" w:rsidRPr="00ED38E9">
        <w:rPr>
          <w:rFonts w:cs="Arial"/>
          <w:noProof w:val="0"/>
          <w:lang w:bidi="ar-SA"/>
        </w:rPr>
        <w:t xml:space="preserve"> společností INISOFT s.r.o.</w:t>
      </w:r>
    </w:p>
    <w:p w:rsidR="00CD44A0" w:rsidRPr="00ED38E9" w:rsidRDefault="00852D07" w:rsidP="002D66F0">
      <w:pPr>
        <w:numPr>
          <w:ilvl w:val="0"/>
          <w:numId w:val="58"/>
        </w:numPr>
        <w:rPr>
          <w:rFonts w:cs="Arial"/>
          <w:noProof w:val="0"/>
          <w:lang w:bidi="ar-SA"/>
        </w:rPr>
      </w:pPr>
      <w:r w:rsidRPr="00ED38E9">
        <w:rPr>
          <w:rFonts w:cs="Arial"/>
          <w:noProof w:val="0"/>
          <w:lang w:bidi="ar-SA"/>
        </w:rPr>
        <w:t xml:space="preserve">náklady jsou </w:t>
      </w:r>
      <w:r w:rsidR="00C4272C" w:rsidRPr="00ED38E9">
        <w:rPr>
          <w:rFonts w:cs="Arial"/>
          <w:noProof w:val="0"/>
          <w:lang w:bidi="ar-SA"/>
        </w:rPr>
        <w:t>odhadnut</w:t>
      </w:r>
      <w:r w:rsidRPr="00ED38E9">
        <w:rPr>
          <w:rFonts w:cs="Arial"/>
          <w:noProof w:val="0"/>
          <w:lang w:bidi="ar-SA"/>
        </w:rPr>
        <w:t>y</w:t>
      </w:r>
      <w:r w:rsidR="00C4272C" w:rsidRPr="00ED38E9">
        <w:rPr>
          <w:rFonts w:cs="Arial"/>
          <w:noProof w:val="0"/>
          <w:lang w:bidi="ar-SA"/>
        </w:rPr>
        <w:t xml:space="preserve"> částku cca 6–8,5 mil. Kč</w:t>
      </w:r>
      <w:r w:rsidR="007A42F0" w:rsidRPr="00ED38E9">
        <w:rPr>
          <w:rFonts w:cs="Arial"/>
          <w:noProof w:val="0"/>
          <w:lang w:bidi="ar-SA"/>
        </w:rPr>
        <w:t xml:space="preserve"> (včetně DPH)</w:t>
      </w:r>
      <w:r w:rsidRPr="00ED38E9">
        <w:rPr>
          <w:rFonts w:cs="Arial"/>
          <w:noProof w:val="0"/>
          <w:lang w:bidi="ar-SA"/>
        </w:rPr>
        <w:t>,</w:t>
      </w:r>
    </w:p>
    <w:p w:rsidR="002C485C" w:rsidRPr="00ED38E9" w:rsidRDefault="00852D07" w:rsidP="002D66F0">
      <w:pPr>
        <w:numPr>
          <w:ilvl w:val="0"/>
          <w:numId w:val="58"/>
        </w:numPr>
        <w:rPr>
          <w:rFonts w:cs="Arial"/>
          <w:noProof w:val="0"/>
          <w:lang w:bidi="ar-SA"/>
        </w:rPr>
      </w:pPr>
      <w:r w:rsidRPr="00ED38E9">
        <w:rPr>
          <w:rFonts w:cs="Arial"/>
          <w:noProof w:val="0"/>
          <w:lang w:bidi="ar-SA"/>
        </w:rPr>
        <w:t>autorská práva, zdrojová data a dokumentace budou nadále v</w:t>
      </w:r>
      <w:r w:rsidR="00333557" w:rsidRPr="00ED38E9">
        <w:rPr>
          <w:rFonts w:cs="Arial"/>
          <w:noProof w:val="0"/>
          <w:lang w:bidi="ar-SA"/>
        </w:rPr>
        <w:t> </w:t>
      </w:r>
      <w:r w:rsidRPr="00ED38E9">
        <w:rPr>
          <w:rFonts w:cs="Arial"/>
          <w:noProof w:val="0"/>
          <w:lang w:bidi="ar-SA"/>
        </w:rPr>
        <w:t>majetku dodavatele.</w:t>
      </w:r>
    </w:p>
    <w:p w:rsidR="00852D07" w:rsidRPr="00ED38E9" w:rsidRDefault="00852D07" w:rsidP="00686AE0">
      <w:pPr>
        <w:spacing w:before="120"/>
        <w:rPr>
          <w:rFonts w:cs="Arial"/>
          <w:noProof w:val="0"/>
          <w:lang w:bidi="ar-SA"/>
        </w:rPr>
      </w:pPr>
      <w:r w:rsidRPr="00ED38E9">
        <w:rPr>
          <w:rFonts w:cs="Arial"/>
          <w:noProof w:val="0"/>
          <w:lang w:bidi="ar-SA"/>
        </w:rPr>
        <w:t xml:space="preserve">2. Kompletně nový systém </w:t>
      </w:r>
      <w:r w:rsidR="002A35AF" w:rsidRPr="00ED38E9">
        <w:rPr>
          <w:rFonts w:cs="Arial"/>
          <w:noProof w:val="0"/>
          <w:lang w:bidi="ar-SA"/>
        </w:rPr>
        <w:t>– výběrové řízení</w:t>
      </w:r>
    </w:p>
    <w:p w:rsidR="00852D07" w:rsidRPr="00ED38E9" w:rsidRDefault="00852D07" w:rsidP="002D66F0">
      <w:pPr>
        <w:numPr>
          <w:ilvl w:val="0"/>
          <w:numId w:val="58"/>
        </w:numPr>
        <w:rPr>
          <w:rFonts w:cs="Arial"/>
          <w:noProof w:val="0"/>
          <w:lang w:bidi="ar-SA"/>
        </w:rPr>
      </w:pPr>
      <w:r w:rsidRPr="00ED38E9">
        <w:rPr>
          <w:rFonts w:cs="Arial"/>
          <w:noProof w:val="0"/>
          <w:lang w:bidi="ar-SA"/>
        </w:rPr>
        <w:lastRenderedPageBreak/>
        <w:t xml:space="preserve">předpokládáme, že cena </w:t>
      </w:r>
      <w:r w:rsidR="009F1008" w:rsidRPr="00ED38E9">
        <w:rPr>
          <w:rFonts w:cs="Arial"/>
          <w:noProof w:val="0"/>
          <w:lang w:bidi="ar-SA"/>
        </w:rPr>
        <w:t xml:space="preserve">by </w:t>
      </w:r>
      <w:r w:rsidR="003F3E23" w:rsidRPr="00ED38E9">
        <w:rPr>
          <w:rFonts w:cs="Arial"/>
          <w:noProof w:val="0"/>
          <w:lang w:bidi="ar-SA"/>
        </w:rPr>
        <w:t>neměl</w:t>
      </w:r>
      <w:r w:rsidR="003F3E23">
        <w:rPr>
          <w:rFonts w:cs="Arial"/>
          <w:noProof w:val="0"/>
          <w:lang w:bidi="ar-SA"/>
        </w:rPr>
        <w:t>a</w:t>
      </w:r>
      <w:r w:rsidR="003F3E23" w:rsidRPr="00ED38E9">
        <w:rPr>
          <w:rFonts w:cs="Arial"/>
          <w:noProof w:val="0"/>
          <w:lang w:bidi="ar-SA"/>
        </w:rPr>
        <w:t xml:space="preserve"> </w:t>
      </w:r>
      <w:r w:rsidR="009F1008" w:rsidRPr="00ED38E9">
        <w:rPr>
          <w:rFonts w:cs="Arial"/>
          <w:noProof w:val="0"/>
          <w:lang w:bidi="ar-SA"/>
        </w:rPr>
        <w:t>přesáhnout částku cca 14 mil. Kč</w:t>
      </w:r>
      <w:r w:rsidRPr="00ED38E9">
        <w:rPr>
          <w:rFonts w:cs="Arial"/>
          <w:noProof w:val="0"/>
          <w:lang w:bidi="ar-SA"/>
        </w:rPr>
        <w:t>,</w:t>
      </w:r>
    </w:p>
    <w:p w:rsidR="009F1008" w:rsidRPr="00ED38E9" w:rsidRDefault="00852D07" w:rsidP="002D66F0">
      <w:pPr>
        <w:numPr>
          <w:ilvl w:val="0"/>
          <w:numId w:val="58"/>
        </w:numPr>
        <w:rPr>
          <w:rFonts w:cs="Arial"/>
          <w:noProof w:val="0"/>
          <w:lang w:bidi="ar-SA"/>
        </w:rPr>
      </w:pPr>
      <w:r w:rsidRPr="00ED38E9">
        <w:rPr>
          <w:rFonts w:cs="Arial"/>
          <w:noProof w:val="0"/>
          <w:lang w:bidi="ar-SA"/>
        </w:rPr>
        <w:t>autorská práva, zdrojová data a dokumentace budou v</w:t>
      </w:r>
      <w:r w:rsidR="00333557" w:rsidRPr="00ED38E9">
        <w:rPr>
          <w:rFonts w:cs="Arial"/>
          <w:noProof w:val="0"/>
          <w:lang w:bidi="ar-SA"/>
        </w:rPr>
        <w:t> </w:t>
      </w:r>
      <w:r w:rsidRPr="00ED38E9">
        <w:rPr>
          <w:rFonts w:cs="Arial"/>
          <w:noProof w:val="0"/>
          <w:lang w:bidi="ar-SA"/>
        </w:rPr>
        <w:t xml:space="preserve">majetku ministerstva a při každé požadované větší změně bude možné </w:t>
      </w:r>
      <w:r w:rsidR="00366C50" w:rsidRPr="00ED38E9">
        <w:rPr>
          <w:rFonts w:cs="Arial"/>
          <w:noProof w:val="0"/>
          <w:lang w:bidi="ar-SA"/>
        </w:rPr>
        <w:t xml:space="preserve">dodavatele </w:t>
      </w:r>
      <w:r w:rsidR="002A35AF" w:rsidRPr="00ED38E9">
        <w:rPr>
          <w:rFonts w:cs="Arial"/>
          <w:noProof w:val="0"/>
          <w:lang w:bidi="ar-SA"/>
        </w:rPr>
        <w:t>vybrat na základě výběrového řízení</w:t>
      </w:r>
      <w:r w:rsidR="00FA0AC2" w:rsidRPr="00ED38E9">
        <w:rPr>
          <w:rFonts w:cs="Arial"/>
          <w:noProof w:val="0"/>
          <w:lang w:bidi="ar-SA"/>
        </w:rPr>
        <w:t xml:space="preserve"> a tím snížit náklady v</w:t>
      </w:r>
      <w:r w:rsidR="00333557" w:rsidRPr="00ED38E9">
        <w:rPr>
          <w:rFonts w:cs="Arial"/>
          <w:noProof w:val="0"/>
          <w:lang w:bidi="ar-SA"/>
        </w:rPr>
        <w:t> </w:t>
      </w:r>
      <w:r w:rsidR="00FA0AC2" w:rsidRPr="00ED38E9">
        <w:rPr>
          <w:rFonts w:cs="Arial"/>
          <w:noProof w:val="0"/>
          <w:lang w:bidi="ar-SA"/>
        </w:rPr>
        <w:t>budoucnu.</w:t>
      </w:r>
    </w:p>
    <w:p w:rsidR="002C485C" w:rsidRPr="00ED38E9" w:rsidRDefault="002C485C" w:rsidP="002C485C">
      <w:pPr>
        <w:keepNext/>
        <w:spacing w:before="120"/>
        <w:rPr>
          <w:rFonts w:cs="Arial"/>
          <w:b/>
          <w:noProof w:val="0"/>
          <w:lang w:bidi="ar-SA"/>
        </w:rPr>
      </w:pPr>
      <w:r w:rsidRPr="00ED38E9">
        <w:rPr>
          <w:rFonts w:cs="Arial"/>
          <w:b/>
          <w:noProof w:val="0"/>
          <w:lang w:bidi="ar-SA"/>
        </w:rPr>
        <w:t>Dopady na podnikatelské subjekty</w:t>
      </w:r>
    </w:p>
    <w:p w:rsidR="00D81A8E" w:rsidRPr="00ED38E9" w:rsidRDefault="00D81A8E" w:rsidP="00D81A8E">
      <w:pPr>
        <w:rPr>
          <w:rFonts w:cs="Arial"/>
          <w:noProof w:val="0"/>
          <w:lang w:bidi="ar-SA"/>
        </w:rPr>
      </w:pPr>
      <w:r w:rsidRPr="00ED38E9">
        <w:rPr>
          <w:rFonts w:cs="Arial"/>
          <w:noProof w:val="0"/>
          <w:lang w:bidi="ar-SA"/>
        </w:rPr>
        <w:t>V</w:t>
      </w:r>
      <w:r w:rsidR="00333557" w:rsidRPr="00ED38E9">
        <w:rPr>
          <w:rFonts w:cs="Arial"/>
          <w:noProof w:val="0"/>
          <w:lang w:bidi="ar-SA"/>
        </w:rPr>
        <w:t> </w:t>
      </w:r>
      <w:r w:rsidRPr="00ED38E9">
        <w:rPr>
          <w:rFonts w:cs="Arial"/>
          <w:noProof w:val="0"/>
          <w:lang w:bidi="ar-SA"/>
        </w:rPr>
        <w:t>souvislosti s</w:t>
      </w:r>
      <w:r w:rsidR="00333557" w:rsidRPr="00ED38E9">
        <w:rPr>
          <w:rFonts w:cs="Arial"/>
          <w:noProof w:val="0"/>
          <w:lang w:bidi="ar-SA"/>
        </w:rPr>
        <w:t> </w:t>
      </w:r>
      <w:r w:rsidRPr="00ED38E9">
        <w:rPr>
          <w:rFonts w:cs="Arial"/>
          <w:noProof w:val="0"/>
          <w:lang w:bidi="ar-SA"/>
        </w:rPr>
        <w:t>rozšířením formuláře odhadujeme navýšení administrativního zatížení o maximálně 15 minut na jeden autovrak.</w:t>
      </w:r>
      <w:r w:rsidR="00487142" w:rsidRPr="00ED38E9">
        <w:rPr>
          <w:rFonts w:cs="Arial"/>
          <w:noProof w:val="0"/>
          <w:lang w:bidi="ar-SA"/>
        </w:rPr>
        <w:t xml:space="preserve"> V</w:t>
      </w:r>
      <w:r w:rsidR="00333557" w:rsidRPr="00ED38E9">
        <w:rPr>
          <w:rFonts w:cs="Arial"/>
          <w:noProof w:val="0"/>
          <w:lang w:bidi="ar-SA"/>
        </w:rPr>
        <w:t> </w:t>
      </w:r>
      <w:r w:rsidR="00487142" w:rsidRPr="00ED38E9">
        <w:rPr>
          <w:rFonts w:cs="Arial"/>
          <w:noProof w:val="0"/>
          <w:lang w:bidi="ar-SA"/>
        </w:rPr>
        <w:t>případě cca 500 uživatelů a cca 125 tis. autovraků se jedná o navýšení nákladů o cca 16 tis. Kč na jednoho uživatele.</w:t>
      </w:r>
    </w:p>
    <w:p w:rsidR="00487142" w:rsidRPr="00ED38E9" w:rsidRDefault="00487142" w:rsidP="00487142">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80</w:t>
      </w:r>
      <w:r w:rsidR="00381FB7" w:rsidRPr="00ED38E9">
        <w:rPr>
          <w:rFonts w:cs="Arial"/>
        </w:rPr>
        <w:fldChar w:fldCharType="end"/>
      </w:r>
      <w:r w:rsidRPr="00ED38E9">
        <w:rPr>
          <w:rFonts w:cs="Arial"/>
        </w:rPr>
        <w:t>: Odhad průměrných nákladů na 1 subjekt (zdroj: MA ISOH)</w:t>
      </w:r>
    </w:p>
    <w:p w:rsidR="00487142" w:rsidRPr="00ED38E9" w:rsidRDefault="00487142" w:rsidP="00D81A8E">
      <w:pPr>
        <w:rPr>
          <w:rFonts w:cs="Arial"/>
          <w:noProof w:val="0"/>
          <w:lang w:bidi="ar-SA"/>
        </w:rPr>
      </w:pPr>
      <w:r w:rsidRPr="00ED38E9">
        <w:rPr>
          <w:rFonts w:cs="Arial"/>
          <w:lang w:eastAsia="cs-CZ" w:bidi="ar-SA"/>
        </w:rPr>
        <w:drawing>
          <wp:inline distT="0" distB="0" distL="0" distR="0" wp14:anchorId="218BF505" wp14:editId="11438B99">
            <wp:extent cx="4754173" cy="1620000"/>
            <wp:effectExtent l="0" t="0" r="889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754173" cy="1620000"/>
                    </a:xfrm>
                    <a:prstGeom prst="rect">
                      <a:avLst/>
                    </a:prstGeom>
                    <a:noFill/>
                    <a:ln>
                      <a:noFill/>
                    </a:ln>
                  </pic:spPr>
                </pic:pic>
              </a:graphicData>
            </a:graphic>
          </wp:inline>
        </w:drawing>
      </w:r>
    </w:p>
    <w:p w:rsidR="002C485C" w:rsidRPr="00ED38E9" w:rsidRDefault="002C485C" w:rsidP="002C485C">
      <w:pPr>
        <w:keepNext/>
        <w:spacing w:before="120"/>
        <w:rPr>
          <w:rFonts w:cs="Arial"/>
          <w:b/>
          <w:noProof w:val="0"/>
          <w:lang w:bidi="ar-SA"/>
        </w:rPr>
      </w:pPr>
      <w:r w:rsidRPr="00ED38E9">
        <w:rPr>
          <w:rFonts w:cs="Arial"/>
          <w:b/>
          <w:noProof w:val="0"/>
          <w:lang w:bidi="ar-SA"/>
        </w:rPr>
        <w:t>Dopady na územní samosprávné celky (obce, kraje)</w:t>
      </w:r>
    </w:p>
    <w:p w:rsidR="003B06AB" w:rsidRPr="00ED38E9" w:rsidRDefault="007A42F0" w:rsidP="003B06AB">
      <w:pPr>
        <w:rPr>
          <w:rFonts w:cs="Arial"/>
          <w:noProof w:val="0"/>
          <w:lang w:bidi="ar-SA"/>
        </w:rPr>
      </w:pPr>
      <w:r w:rsidRPr="00ED38E9">
        <w:rPr>
          <w:rFonts w:cs="Arial"/>
          <w:noProof w:val="0"/>
          <w:lang w:bidi="ar-SA"/>
        </w:rPr>
        <w:t>Navrhovaná změna informačního systému nepředstavuje žádné navýšení administrativy pro krajské úřady, předpokládá se, že jejich přístup a zápis dat do systému zůstane beze změny.</w:t>
      </w:r>
    </w:p>
    <w:p w:rsidR="002C485C" w:rsidRPr="00ED38E9" w:rsidRDefault="002C485C" w:rsidP="002C485C">
      <w:pPr>
        <w:keepNext/>
        <w:spacing w:before="120"/>
        <w:rPr>
          <w:rFonts w:cs="Arial"/>
          <w:b/>
          <w:noProof w:val="0"/>
          <w:lang w:bidi="ar-SA"/>
        </w:rPr>
      </w:pPr>
      <w:r w:rsidRPr="00ED38E9">
        <w:rPr>
          <w:rFonts w:cs="Arial"/>
          <w:b/>
          <w:noProof w:val="0"/>
          <w:lang w:bidi="ar-SA"/>
        </w:rPr>
        <w:t>Dopady na životní prostředí</w:t>
      </w:r>
    </w:p>
    <w:p w:rsidR="002C485C" w:rsidRPr="00ED38E9" w:rsidRDefault="00B43151" w:rsidP="002C485C">
      <w:pPr>
        <w:rPr>
          <w:rFonts w:cs="Arial"/>
          <w:noProof w:val="0"/>
          <w:lang w:bidi="ar-SA"/>
        </w:rPr>
      </w:pPr>
      <w:r w:rsidRPr="00ED38E9">
        <w:rPr>
          <w:rFonts w:cs="Arial"/>
          <w:noProof w:val="0"/>
          <w:lang w:bidi="ar-SA"/>
        </w:rPr>
        <w:t xml:space="preserve">Předpokládáme </w:t>
      </w:r>
      <w:r w:rsidR="002C485C" w:rsidRPr="00ED38E9">
        <w:rPr>
          <w:rFonts w:cs="Arial"/>
          <w:noProof w:val="0"/>
          <w:lang w:bidi="ar-SA"/>
        </w:rPr>
        <w:t>zlepšení ochrany životního prostředí v</w:t>
      </w:r>
      <w:r w:rsidR="00333557" w:rsidRPr="00ED38E9">
        <w:rPr>
          <w:rFonts w:cs="Arial"/>
          <w:noProof w:val="0"/>
          <w:lang w:bidi="ar-SA"/>
        </w:rPr>
        <w:t> </w:t>
      </w:r>
      <w:r w:rsidR="002C485C" w:rsidRPr="00ED38E9">
        <w:rPr>
          <w:rFonts w:cs="Arial"/>
          <w:noProof w:val="0"/>
          <w:lang w:bidi="ar-SA"/>
        </w:rPr>
        <w:t>souvislosti s</w:t>
      </w:r>
      <w:r w:rsidR="00333557" w:rsidRPr="00ED38E9">
        <w:rPr>
          <w:rFonts w:cs="Arial"/>
          <w:noProof w:val="0"/>
          <w:lang w:bidi="ar-SA"/>
        </w:rPr>
        <w:t> </w:t>
      </w:r>
      <w:r w:rsidR="002C485C" w:rsidRPr="00ED38E9">
        <w:rPr>
          <w:rFonts w:cs="Arial"/>
          <w:noProof w:val="0"/>
          <w:lang w:bidi="ar-SA"/>
        </w:rPr>
        <w:t>větší kontrolou toku autovraků a jejich částí.</w:t>
      </w:r>
    </w:p>
    <w:p w:rsidR="002C485C" w:rsidRPr="00ED38E9" w:rsidRDefault="002C485C" w:rsidP="007A2E3D">
      <w:pPr>
        <w:pStyle w:val="Nadpis3"/>
      </w:pPr>
      <w:r w:rsidRPr="00ED38E9">
        <w:lastRenderedPageBreak/>
        <w:t>Vyhodnocení nákladů a přínosů variant</w:t>
      </w:r>
    </w:p>
    <w:p w:rsidR="00853BCD" w:rsidRPr="00ED38E9" w:rsidRDefault="00853BCD" w:rsidP="00853BCD">
      <w:pPr>
        <w:pStyle w:val="Titulek"/>
        <w:rPr>
          <w:rFonts w:cs="Arial"/>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81</w:t>
      </w:r>
      <w:r w:rsidR="00381FB7" w:rsidRPr="00ED38E9">
        <w:rPr>
          <w:rFonts w:cs="Arial"/>
        </w:rPr>
        <w:fldChar w:fldCharType="end"/>
      </w:r>
      <w:r w:rsidRPr="00ED38E9">
        <w:rPr>
          <w:rFonts w:cs="Arial"/>
        </w:rPr>
        <w:t>: Porovnání nákladů a přínosů variant</w:t>
      </w:r>
    </w:p>
    <w:p w:rsidR="002C485C" w:rsidRPr="00ED38E9" w:rsidRDefault="00853BCD" w:rsidP="002C485C">
      <w:pPr>
        <w:rPr>
          <w:rFonts w:cs="Arial"/>
          <w:noProof w:val="0"/>
          <w:lang w:bidi="ar-SA"/>
        </w:rPr>
      </w:pPr>
      <w:r w:rsidRPr="00ED38E9">
        <w:rPr>
          <w:rFonts w:cs="Arial"/>
          <w:lang w:eastAsia="cs-CZ" w:bidi="ar-SA"/>
        </w:rPr>
        <w:drawing>
          <wp:inline distT="0" distB="0" distL="0" distR="0" wp14:anchorId="674F2AB2" wp14:editId="6325DEC1">
            <wp:extent cx="5759345" cy="823912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0720" cy="8241093"/>
                    </a:xfrm>
                    <a:prstGeom prst="rect">
                      <a:avLst/>
                    </a:prstGeom>
                    <a:noFill/>
                    <a:ln>
                      <a:noFill/>
                    </a:ln>
                  </pic:spPr>
                </pic:pic>
              </a:graphicData>
            </a:graphic>
          </wp:inline>
        </w:drawing>
      </w:r>
    </w:p>
    <w:p w:rsidR="002C485C" w:rsidRPr="00ED38E9" w:rsidRDefault="002C485C" w:rsidP="007A2E3D">
      <w:pPr>
        <w:pStyle w:val="Nadpis2"/>
      </w:pPr>
      <w:bookmarkStart w:id="285" w:name="_Toc441759964"/>
      <w:r w:rsidRPr="00ED38E9">
        <w:lastRenderedPageBreak/>
        <w:t>Návrh řešení</w:t>
      </w:r>
      <w:bookmarkEnd w:id="285"/>
    </w:p>
    <w:p w:rsidR="002C485C" w:rsidRPr="00ED38E9" w:rsidRDefault="002C485C" w:rsidP="007A2E3D">
      <w:pPr>
        <w:pStyle w:val="Nadpis3"/>
      </w:pPr>
      <w:r w:rsidRPr="00ED38E9">
        <w:t>Stanovení pořadí variant a výběr nejvhodnějšího řešení</w:t>
      </w:r>
    </w:p>
    <w:p w:rsidR="002C485C" w:rsidRPr="00ED38E9" w:rsidRDefault="002C485C" w:rsidP="002D66F0">
      <w:pPr>
        <w:numPr>
          <w:ilvl w:val="0"/>
          <w:numId w:val="56"/>
        </w:numPr>
        <w:rPr>
          <w:rFonts w:cs="Arial"/>
          <w:b/>
          <w:bCs/>
          <w:noProof w:val="0"/>
          <w:lang w:bidi="ar-SA"/>
        </w:rPr>
      </w:pPr>
      <w:r w:rsidRPr="00ED38E9">
        <w:rPr>
          <w:rFonts w:cs="Arial"/>
          <w:b/>
          <w:bCs/>
          <w:noProof w:val="0"/>
          <w:lang w:bidi="ar-SA"/>
        </w:rPr>
        <w:t>Varianta</w:t>
      </w:r>
      <w:r w:rsidR="005F6EF3" w:rsidRPr="00ED38E9">
        <w:rPr>
          <w:rFonts w:cs="Arial"/>
          <w:b/>
          <w:bCs/>
          <w:noProof w:val="0"/>
          <w:lang w:bidi="ar-SA"/>
        </w:rPr>
        <w:t xml:space="preserve"> 1</w:t>
      </w:r>
    </w:p>
    <w:p w:rsidR="005F6EF3" w:rsidRPr="00ED38E9" w:rsidRDefault="005F6EF3" w:rsidP="002D66F0">
      <w:pPr>
        <w:numPr>
          <w:ilvl w:val="0"/>
          <w:numId w:val="56"/>
        </w:numPr>
        <w:rPr>
          <w:rFonts w:cs="Arial"/>
          <w:noProof w:val="0"/>
          <w:lang w:bidi="ar-SA"/>
        </w:rPr>
      </w:pPr>
      <w:r w:rsidRPr="00ED38E9">
        <w:rPr>
          <w:rFonts w:cs="Arial"/>
          <w:noProof w:val="0"/>
          <w:lang w:bidi="ar-SA"/>
        </w:rPr>
        <w:t>Varianta 0</w:t>
      </w:r>
    </w:p>
    <w:p w:rsidR="00BF293F" w:rsidRPr="00ED38E9" w:rsidRDefault="00BF293F" w:rsidP="00BE2D4A">
      <w:pPr>
        <w:rPr>
          <w:rFonts w:cs="Arial"/>
        </w:rPr>
      </w:pPr>
      <w:r w:rsidRPr="00ED38E9">
        <w:rPr>
          <w:rFonts w:cs="Arial"/>
        </w:rPr>
        <w:t xml:space="preserve">Doporučujeme přijmout Variantu 1, protože tím docílíme získání dat použitelných ke kontrole toku odpadů sloužících: </w:t>
      </w:r>
    </w:p>
    <w:p w:rsidR="00BF293F" w:rsidRPr="00ED38E9" w:rsidRDefault="00BF293F" w:rsidP="002D66F0">
      <w:pPr>
        <w:pStyle w:val="Odstavecseseznamem"/>
        <w:numPr>
          <w:ilvl w:val="0"/>
          <w:numId w:val="60"/>
        </w:numPr>
        <w:rPr>
          <w:rFonts w:cs="Arial"/>
        </w:rPr>
      </w:pPr>
      <w:r w:rsidRPr="00ED38E9">
        <w:rPr>
          <w:rFonts w:cs="Arial"/>
        </w:rPr>
        <w:t>k</w:t>
      </w:r>
      <w:r w:rsidR="00333557" w:rsidRPr="00ED38E9">
        <w:rPr>
          <w:rFonts w:cs="Arial"/>
        </w:rPr>
        <w:t> </w:t>
      </w:r>
      <w:r w:rsidRPr="00ED38E9">
        <w:rPr>
          <w:rFonts w:cs="Arial"/>
        </w:rPr>
        <w:t>plnění cílů zpracování, jak po nás požaduje směrnice</w:t>
      </w:r>
      <w:r w:rsidR="00017B79" w:rsidRPr="00ED38E9">
        <w:rPr>
          <w:rFonts w:cs="Arial"/>
        </w:rPr>
        <w:t xml:space="preserve"> EK</w:t>
      </w:r>
      <w:r w:rsidRPr="00ED38E9">
        <w:rPr>
          <w:rFonts w:cs="Arial"/>
        </w:rPr>
        <w:t xml:space="preserve">, </w:t>
      </w:r>
    </w:p>
    <w:p w:rsidR="00BF293F" w:rsidRPr="00ED38E9" w:rsidRDefault="00BF293F" w:rsidP="002D66F0">
      <w:pPr>
        <w:pStyle w:val="Odstavecseseznamem"/>
        <w:numPr>
          <w:ilvl w:val="0"/>
          <w:numId w:val="60"/>
        </w:numPr>
        <w:rPr>
          <w:rFonts w:cs="Arial"/>
        </w:rPr>
      </w:pPr>
      <w:r w:rsidRPr="00ED38E9">
        <w:rPr>
          <w:rFonts w:cs="Arial"/>
        </w:rPr>
        <w:t>ke kontrole případných finančních úniků při obchodování s</w:t>
      </w:r>
      <w:r w:rsidR="00333557" w:rsidRPr="00ED38E9">
        <w:rPr>
          <w:rFonts w:cs="Arial"/>
        </w:rPr>
        <w:t> </w:t>
      </w:r>
      <w:r w:rsidRPr="00ED38E9">
        <w:rPr>
          <w:rFonts w:cs="Arial"/>
        </w:rPr>
        <w:t>náhradními díly,</w:t>
      </w:r>
    </w:p>
    <w:p w:rsidR="002C485C" w:rsidRDefault="00BF293F" w:rsidP="002D66F0">
      <w:pPr>
        <w:pStyle w:val="Odstavecseseznamem"/>
        <w:numPr>
          <w:ilvl w:val="0"/>
          <w:numId w:val="60"/>
        </w:numPr>
        <w:rPr>
          <w:rFonts w:cs="Arial"/>
        </w:rPr>
      </w:pPr>
      <w:r w:rsidRPr="00ED38E9">
        <w:rPr>
          <w:rFonts w:cs="Arial"/>
        </w:rPr>
        <w:t>ke snížení obchodu s</w:t>
      </w:r>
      <w:r w:rsidR="00333557" w:rsidRPr="00ED38E9">
        <w:rPr>
          <w:rFonts w:cs="Arial"/>
        </w:rPr>
        <w:t> </w:t>
      </w:r>
      <w:r w:rsidRPr="00ED38E9">
        <w:rPr>
          <w:rFonts w:cs="Arial"/>
        </w:rPr>
        <w:t>kradenými díly.</w:t>
      </w:r>
    </w:p>
    <w:p w:rsidR="00044CB0" w:rsidRDefault="00044CB0" w:rsidP="00044CB0">
      <w:pPr>
        <w:rPr>
          <w:rFonts w:cs="Arial"/>
        </w:rPr>
      </w:pPr>
    </w:p>
    <w:p w:rsidR="00044CB0" w:rsidRPr="00044CB0" w:rsidRDefault="00044CB0" w:rsidP="00044CB0">
      <w:pPr>
        <w:rPr>
          <w:rFonts w:cs="Arial"/>
        </w:rPr>
      </w:pPr>
      <w:r>
        <w:rPr>
          <w:rFonts w:cs="Arial"/>
        </w:rPr>
        <w:t>Na základě cenových nabídek vedení MŽP rozhodne</w:t>
      </w:r>
      <w:r w:rsidR="009269C8">
        <w:rPr>
          <w:rFonts w:cs="Arial"/>
        </w:rPr>
        <w:t>,</w:t>
      </w:r>
      <w:r>
        <w:rPr>
          <w:rFonts w:cs="Arial"/>
        </w:rPr>
        <w:t xml:space="preserve"> zda se bude vytvářet zcela nový systém či se bude stavět na současném již vytvořeném systému (MA ISOH). </w:t>
      </w:r>
    </w:p>
    <w:p w:rsidR="002C485C" w:rsidRPr="00ED38E9" w:rsidRDefault="002C485C" w:rsidP="007A2E3D">
      <w:pPr>
        <w:pStyle w:val="Nadpis1"/>
      </w:pPr>
      <w:bookmarkStart w:id="286" w:name="_Toc438037714"/>
      <w:bookmarkStart w:id="287" w:name="_Toc438037720"/>
      <w:bookmarkStart w:id="288" w:name="_Toc438037729"/>
      <w:bookmarkStart w:id="289" w:name="_Toc438037732"/>
      <w:bookmarkStart w:id="290" w:name="_Toc438037734"/>
      <w:bookmarkStart w:id="291" w:name="_Toc438037735"/>
      <w:bookmarkStart w:id="292" w:name="_Toc438037737"/>
      <w:bookmarkStart w:id="293" w:name="_Toc438037744"/>
      <w:bookmarkStart w:id="294" w:name="_Toc438037747"/>
      <w:bookmarkStart w:id="295" w:name="_Toc438037748"/>
      <w:bookmarkStart w:id="296" w:name="_Toc438037750"/>
      <w:bookmarkStart w:id="297" w:name="_Toc438037755"/>
      <w:bookmarkStart w:id="298" w:name="_Toc438037757"/>
      <w:bookmarkStart w:id="299" w:name="_Toc441759965"/>
      <w:bookmarkStart w:id="300" w:name="_Toc441760204"/>
      <w:bookmarkEnd w:id="286"/>
      <w:bookmarkEnd w:id="287"/>
      <w:bookmarkEnd w:id="288"/>
      <w:bookmarkEnd w:id="289"/>
      <w:bookmarkEnd w:id="290"/>
      <w:bookmarkEnd w:id="291"/>
      <w:bookmarkEnd w:id="292"/>
      <w:bookmarkEnd w:id="293"/>
      <w:bookmarkEnd w:id="294"/>
      <w:bookmarkEnd w:id="295"/>
      <w:bookmarkEnd w:id="296"/>
      <w:bookmarkEnd w:id="297"/>
      <w:bookmarkEnd w:id="298"/>
      <w:r w:rsidRPr="00ED38E9">
        <w:t>Rozšíření působnosti ČOI</w:t>
      </w:r>
      <w:bookmarkEnd w:id="299"/>
      <w:bookmarkEnd w:id="300"/>
    </w:p>
    <w:p w:rsidR="002C485C" w:rsidRPr="00ED38E9" w:rsidRDefault="002C485C" w:rsidP="007A2E3D">
      <w:pPr>
        <w:pStyle w:val="Nadpis2"/>
      </w:pPr>
      <w:bookmarkStart w:id="301" w:name="_Toc441759966"/>
      <w:r w:rsidRPr="00ED38E9">
        <w:t>Důvod předložení a cíle</w:t>
      </w:r>
      <w:bookmarkEnd w:id="301"/>
    </w:p>
    <w:p w:rsidR="002C485C" w:rsidRPr="00ED38E9" w:rsidRDefault="002C485C" w:rsidP="007A2E3D">
      <w:pPr>
        <w:pStyle w:val="Nadpis3"/>
      </w:pPr>
      <w:r w:rsidRPr="00ED38E9">
        <w:t>Definice problému</w:t>
      </w:r>
    </w:p>
    <w:p w:rsidR="002C485C" w:rsidRPr="00ED38E9" w:rsidRDefault="002C485C" w:rsidP="002C485C">
      <w:pPr>
        <w:rPr>
          <w:rFonts w:cs="Arial"/>
          <w:noProof w:val="0"/>
          <w:lang w:bidi="ar-SA"/>
        </w:rPr>
      </w:pPr>
      <w:r w:rsidRPr="00ED38E9">
        <w:rPr>
          <w:rFonts w:cs="Arial"/>
          <w:noProof w:val="0"/>
          <w:lang w:bidi="ar-SA"/>
        </w:rPr>
        <w:t>V</w:t>
      </w:r>
      <w:r w:rsidR="00333557" w:rsidRPr="00ED38E9">
        <w:rPr>
          <w:rFonts w:cs="Arial"/>
          <w:noProof w:val="0"/>
          <w:lang w:bidi="ar-SA"/>
        </w:rPr>
        <w:t> </w:t>
      </w:r>
      <w:r w:rsidRPr="00ED38E9">
        <w:rPr>
          <w:rFonts w:cs="Arial"/>
          <w:noProof w:val="0"/>
          <w:lang w:bidi="ar-SA"/>
        </w:rPr>
        <w:t xml:space="preserve">současné legislativě nejsou dostatečně rozděleny pravomoci mezi kontrolní orgány. </w:t>
      </w:r>
      <w:r w:rsidR="00C20D79">
        <w:rPr>
          <w:rFonts w:cs="Arial"/>
          <w:noProof w:val="0"/>
          <w:lang w:bidi="ar-SA"/>
        </w:rPr>
        <w:t xml:space="preserve">Kontrola některých </w:t>
      </w:r>
      <w:r w:rsidRPr="00ED38E9">
        <w:rPr>
          <w:rFonts w:cs="Arial"/>
          <w:noProof w:val="0"/>
          <w:lang w:bidi="ar-SA"/>
        </w:rPr>
        <w:t xml:space="preserve"> </w:t>
      </w:r>
      <w:r w:rsidR="00C20D79" w:rsidRPr="00ED38E9">
        <w:rPr>
          <w:rFonts w:cs="Arial"/>
          <w:noProof w:val="0"/>
          <w:lang w:bidi="ar-SA"/>
        </w:rPr>
        <w:t>oblast</w:t>
      </w:r>
      <w:r w:rsidR="00C20D79">
        <w:rPr>
          <w:rFonts w:cs="Arial"/>
          <w:noProof w:val="0"/>
          <w:lang w:bidi="ar-SA"/>
        </w:rPr>
        <w:t>í</w:t>
      </w:r>
      <w:r w:rsidR="00C20D79" w:rsidRPr="00ED38E9">
        <w:rPr>
          <w:rFonts w:cs="Arial"/>
          <w:noProof w:val="0"/>
          <w:lang w:bidi="ar-SA"/>
        </w:rPr>
        <w:t xml:space="preserve"> </w:t>
      </w:r>
      <w:r w:rsidRPr="00ED38E9">
        <w:rPr>
          <w:rFonts w:cs="Arial"/>
          <w:noProof w:val="0"/>
          <w:lang w:bidi="ar-SA"/>
        </w:rPr>
        <w:t>úplně chybí. Činnosti, které jsou nově uvedeny v</w:t>
      </w:r>
      <w:r w:rsidR="00333557" w:rsidRPr="00ED38E9">
        <w:rPr>
          <w:rFonts w:cs="Arial"/>
          <w:noProof w:val="0"/>
          <w:lang w:bidi="ar-SA"/>
        </w:rPr>
        <w:t> </w:t>
      </w:r>
      <w:r w:rsidRPr="00ED38E9">
        <w:rPr>
          <w:rFonts w:cs="Arial"/>
          <w:noProof w:val="0"/>
          <w:lang w:bidi="ar-SA"/>
        </w:rPr>
        <w:t>zákoně o </w:t>
      </w:r>
      <w:r w:rsidR="00CA6CDD">
        <w:rPr>
          <w:rFonts w:cs="Arial"/>
          <w:noProof w:val="0"/>
          <w:lang w:bidi="ar-SA"/>
        </w:rPr>
        <w:t xml:space="preserve">vybraných </w:t>
      </w:r>
      <w:r w:rsidRPr="00ED38E9">
        <w:rPr>
          <w:rFonts w:cs="Arial"/>
          <w:noProof w:val="0"/>
          <w:lang w:bidi="ar-SA"/>
        </w:rPr>
        <w:t>výrobcích s</w:t>
      </w:r>
      <w:r w:rsidR="00333557" w:rsidRPr="00ED38E9">
        <w:rPr>
          <w:rFonts w:cs="Arial"/>
          <w:noProof w:val="0"/>
          <w:lang w:bidi="ar-SA"/>
        </w:rPr>
        <w:t> </w:t>
      </w:r>
      <w:r w:rsidRPr="00ED38E9">
        <w:rPr>
          <w:rFonts w:cs="Arial"/>
          <w:noProof w:val="0"/>
          <w:lang w:bidi="ar-SA"/>
        </w:rPr>
        <w:t>ukončenou životností, nemohla provádět ČIŽP</w:t>
      </w:r>
      <w:r w:rsidR="00C20D79">
        <w:rPr>
          <w:rFonts w:cs="Arial"/>
          <w:noProof w:val="0"/>
          <w:lang w:bidi="ar-SA"/>
        </w:rPr>
        <w:t>,</w:t>
      </w:r>
      <w:r w:rsidRPr="00ED38E9">
        <w:rPr>
          <w:rFonts w:cs="Arial"/>
          <w:noProof w:val="0"/>
          <w:lang w:bidi="ar-SA"/>
        </w:rPr>
        <w:t xml:space="preserve"> a nebyla k</w:t>
      </w:r>
      <w:r w:rsidR="00333557" w:rsidRPr="00ED38E9">
        <w:rPr>
          <w:rFonts w:cs="Arial"/>
          <w:noProof w:val="0"/>
          <w:lang w:bidi="ar-SA"/>
        </w:rPr>
        <w:t> </w:t>
      </w:r>
      <w:r w:rsidRPr="00ED38E9">
        <w:rPr>
          <w:rFonts w:cs="Arial"/>
          <w:noProof w:val="0"/>
          <w:lang w:bidi="ar-SA"/>
        </w:rPr>
        <w:t>tomu oprávněna ani ČOI.</w:t>
      </w:r>
    </w:p>
    <w:p w:rsidR="002C485C" w:rsidRPr="00ED38E9" w:rsidRDefault="002C485C" w:rsidP="007A2E3D">
      <w:pPr>
        <w:pStyle w:val="Nadpis3"/>
      </w:pPr>
      <w:r w:rsidRPr="00ED38E9">
        <w:t>Popis existujícího právního stavu v</w:t>
      </w:r>
      <w:r w:rsidR="00333557" w:rsidRPr="00ED38E9">
        <w:t> </w:t>
      </w:r>
      <w:r w:rsidRPr="00ED38E9">
        <w:t>dané oblasti</w:t>
      </w:r>
    </w:p>
    <w:p w:rsidR="002C485C" w:rsidRPr="00ED38E9" w:rsidRDefault="002C485C" w:rsidP="002C485C">
      <w:pPr>
        <w:rPr>
          <w:rFonts w:cs="Arial"/>
          <w:noProof w:val="0"/>
          <w:lang w:bidi="ar-SA"/>
        </w:rPr>
      </w:pPr>
      <w:r w:rsidRPr="00ED38E9">
        <w:rPr>
          <w:rFonts w:cs="Arial"/>
          <w:noProof w:val="0"/>
          <w:lang w:bidi="ar-SA"/>
        </w:rPr>
        <w:t>Dle § 76a zákona o odpadech Česká obchodní inspekce kontroluje plnění povinností týkajících se uvádění baterií a akumulátorů na trh nebo do oběhu, jejich označování a</w:t>
      </w:r>
      <w:r w:rsidR="00586864" w:rsidRPr="00ED38E9">
        <w:rPr>
          <w:rFonts w:cs="Arial"/>
          <w:noProof w:val="0"/>
          <w:lang w:bidi="ar-SA"/>
        </w:rPr>
        <w:t> </w:t>
      </w:r>
      <w:r w:rsidRPr="00ED38E9">
        <w:rPr>
          <w:rFonts w:cs="Arial"/>
          <w:noProof w:val="0"/>
          <w:lang w:bidi="ar-SA"/>
        </w:rPr>
        <w:t>zajištění zpětného odběru výrobcem a posledním prodejcem</w:t>
      </w:r>
      <w:r w:rsidR="00C20D79">
        <w:rPr>
          <w:rFonts w:cs="Arial"/>
          <w:noProof w:val="0"/>
          <w:lang w:bidi="ar-SA"/>
        </w:rPr>
        <w:t>, kteří jsou</w:t>
      </w:r>
      <w:r w:rsidRPr="00ED38E9">
        <w:rPr>
          <w:rFonts w:cs="Arial"/>
          <w:noProof w:val="0"/>
          <w:lang w:bidi="ar-SA"/>
        </w:rPr>
        <w:t xml:space="preserve"> </w:t>
      </w:r>
      <w:r w:rsidR="00C20D79" w:rsidRPr="00ED38E9">
        <w:rPr>
          <w:rFonts w:cs="Arial"/>
          <w:noProof w:val="0"/>
          <w:lang w:bidi="ar-SA"/>
        </w:rPr>
        <w:t>povinn</w:t>
      </w:r>
      <w:r w:rsidR="00C20D79">
        <w:rPr>
          <w:rFonts w:cs="Arial"/>
          <w:noProof w:val="0"/>
          <w:lang w:bidi="ar-SA"/>
        </w:rPr>
        <w:t>i</w:t>
      </w:r>
      <w:r w:rsidR="00C20D79" w:rsidRPr="00ED38E9">
        <w:rPr>
          <w:rFonts w:cs="Arial"/>
          <w:noProof w:val="0"/>
          <w:lang w:bidi="ar-SA"/>
        </w:rPr>
        <w:t xml:space="preserve"> </w:t>
      </w:r>
      <w:r w:rsidRPr="00ED38E9">
        <w:rPr>
          <w:rFonts w:cs="Arial"/>
          <w:noProof w:val="0"/>
          <w:lang w:bidi="ar-SA"/>
        </w:rPr>
        <w:t>jí na žádost prokázat způsob zajištění zpětného odběru.</w:t>
      </w:r>
    </w:p>
    <w:p w:rsidR="002C485C" w:rsidRPr="00ED38E9" w:rsidRDefault="002C485C" w:rsidP="007A2E3D">
      <w:pPr>
        <w:pStyle w:val="Nadpis3"/>
      </w:pPr>
      <w:r w:rsidRPr="00ED38E9">
        <w:t>Identifikace dotčených subjektů</w:t>
      </w:r>
    </w:p>
    <w:p w:rsidR="002C485C" w:rsidRPr="00ED38E9" w:rsidRDefault="002C485C" w:rsidP="002D66F0">
      <w:pPr>
        <w:numPr>
          <w:ilvl w:val="0"/>
          <w:numId w:val="61"/>
        </w:numPr>
        <w:rPr>
          <w:rFonts w:cs="Arial"/>
          <w:noProof w:val="0"/>
          <w:lang w:bidi="ar-SA"/>
        </w:rPr>
      </w:pPr>
      <w:r w:rsidRPr="00ED38E9">
        <w:rPr>
          <w:rFonts w:cs="Arial"/>
          <w:noProof w:val="0"/>
          <w:lang w:bidi="ar-SA"/>
        </w:rPr>
        <w:t>Česká obchodní inspekce,</w:t>
      </w:r>
    </w:p>
    <w:p w:rsidR="002C485C" w:rsidRPr="00ED38E9" w:rsidRDefault="002C485C" w:rsidP="002D66F0">
      <w:pPr>
        <w:numPr>
          <w:ilvl w:val="0"/>
          <w:numId w:val="61"/>
        </w:numPr>
        <w:rPr>
          <w:rFonts w:cs="Arial"/>
          <w:noProof w:val="0"/>
          <w:lang w:bidi="ar-SA"/>
        </w:rPr>
      </w:pPr>
      <w:r w:rsidRPr="00ED38E9">
        <w:rPr>
          <w:rFonts w:cs="Arial"/>
          <w:noProof w:val="0"/>
          <w:lang w:bidi="ar-SA"/>
        </w:rPr>
        <w:t>spotřebitel,</w:t>
      </w:r>
    </w:p>
    <w:p w:rsidR="002C485C" w:rsidRPr="00ED38E9" w:rsidRDefault="002C485C" w:rsidP="002D66F0">
      <w:pPr>
        <w:numPr>
          <w:ilvl w:val="0"/>
          <w:numId w:val="61"/>
        </w:numPr>
        <w:rPr>
          <w:rFonts w:cs="Arial"/>
          <w:noProof w:val="0"/>
          <w:lang w:bidi="ar-SA"/>
        </w:rPr>
      </w:pPr>
      <w:r w:rsidRPr="00ED38E9">
        <w:rPr>
          <w:rFonts w:cs="Arial"/>
          <w:noProof w:val="0"/>
          <w:lang w:bidi="ar-SA"/>
        </w:rPr>
        <w:t>výrobce, poslední prodejce.</w:t>
      </w:r>
    </w:p>
    <w:p w:rsidR="002C485C" w:rsidRPr="00ED38E9" w:rsidRDefault="002C485C" w:rsidP="007A2E3D">
      <w:pPr>
        <w:pStyle w:val="Nadpis3"/>
      </w:pPr>
      <w:r w:rsidRPr="00ED38E9">
        <w:t>Popis cílového stavu</w:t>
      </w:r>
    </w:p>
    <w:p w:rsidR="002C485C" w:rsidRPr="00ED38E9" w:rsidRDefault="002C485C" w:rsidP="002C485C">
      <w:pPr>
        <w:rPr>
          <w:rFonts w:cs="Arial"/>
          <w:noProof w:val="0"/>
          <w:lang w:bidi="ar-SA"/>
        </w:rPr>
      </w:pPr>
      <w:r w:rsidRPr="00ED38E9">
        <w:rPr>
          <w:rFonts w:cs="Arial"/>
          <w:noProof w:val="0"/>
          <w:lang w:bidi="ar-SA"/>
        </w:rPr>
        <w:t>Cílem je rozšíření pravomocí orgánu, v</w:t>
      </w:r>
      <w:r w:rsidR="00333557" w:rsidRPr="00ED38E9">
        <w:rPr>
          <w:rFonts w:cs="Arial"/>
          <w:noProof w:val="0"/>
          <w:lang w:bidi="ar-SA"/>
        </w:rPr>
        <w:t> </w:t>
      </w:r>
      <w:r w:rsidRPr="00ED38E9">
        <w:rPr>
          <w:rFonts w:cs="Arial"/>
          <w:noProof w:val="0"/>
          <w:lang w:bidi="ar-SA"/>
        </w:rPr>
        <w:t>jehož gesci jsou kontroly</w:t>
      </w:r>
      <w:r w:rsidR="005703DF">
        <w:rPr>
          <w:rFonts w:cs="Arial"/>
          <w:noProof w:val="0"/>
          <w:lang w:bidi="ar-SA"/>
        </w:rPr>
        <w:t xml:space="preserve"> cílené na ochranu</w:t>
      </w:r>
      <w:r w:rsidRPr="00ED38E9">
        <w:rPr>
          <w:rFonts w:cs="Arial"/>
          <w:noProof w:val="0"/>
          <w:lang w:bidi="ar-SA"/>
        </w:rPr>
        <w:t xml:space="preserve"> spotřebitele.</w:t>
      </w:r>
    </w:p>
    <w:p w:rsidR="002C485C" w:rsidRPr="00ED38E9" w:rsidRDefault="002C485C" w:rsidP="007A2E3D">
      <w:pPr>
        <w:pStyle w:val="Nadpis3"/>
      </w:pPr>
      <w:r w:rsidRPr="00ED38E9">
        <w:t>Zhodnocení rizika</w:t>
      </w:r>
    </w:p>
    <w:p w:rsidR="002C485C" w:rsidRPr="00ED38E9" w:rsidRDefault="002C485C" w:rsidP="002C485C">
      <w:pPr>
        <w:rPr>
          <w:rFonts w:cs="Arial"/>
          <w:noProof w:val="0"/>
          <w:lang w:bidi="ar-SA"/>
        </w:rPr>
      </w:pPr>
      <w:r w:rsidRPr="00ED38E9">
        <w:rPr>
          <w:rFonts w:cs="Arial"/>
          <w:noProof w:val="0"/>
          <w:lang w:bidi="ar-SA"/>
        </w:rPr>
        <w:t xml:space="preserve">Bez konkrétního rozdělení a rozšíření pravomocí je možné, že nebudou dostatečně </w:t>
      </w:r>
      <w:r w:rsidR="00C20D79" w:rsidRPr="00ED38E9">
        <w:rPr>
          <w:rFonts w:cs="Arial"/>
          <w:noProof w:val="0"/>
          <w:lang w:bidi="ar-SA"/>
        </w:rPr>
        <w:t>chráněn</w:t>
      </w:r>
      <w:r w:rsidR="00C20D79">
        <w:rPr>
          <w:rFonts w:cs="Arial"/>
          <w:noProof w:val="0"/>
          <w:lang w:bidi="ar-SA"/>
        </w:rPr>
        <w:t>a</w:t>
      </w:r>
      <w:r w:rsidR="00C20D79" w:rsidRPr="00ED38E9">
        <w:rPr>
          <w:rFonts w:cs="Arial"/>
          <w:noProof w:val="0"/>
          <w:lang w:bidi="ar-SA"/>
        </w:rPr>
        <w:t xml:space="preserve"> </w:t>
      </w:r>
      <w:r w:rsidRPr="00ED38E9">
        <w:rPr>
          <w:rFonts w:cs="Arial"/>
          <w:noProof w:val="0"/>
          <w:lang w:bidi="ar-SA"/>
        </w:rPr>
        <w:t>práva spotřebitelů a některé oblasti zůstanou bez možnosti kontroly ČIŽP nebo ČOI.</w:t>
      </w:r>
    </w:p>
    <w:p w:rsidR="002C485C" w:rsidRPr="00ED38E9" w:rsidRDefault="002C485C" w:rsidP="007A2E3D">
      <w:pPr>
        <w:pStyle w:val="Nadpis2"/>
      </w:pPr>
      <w:bookmarkStart w:id="302" w:name="_Toc441759967"/>
      <w:r w:rsidRPr="00ED38E9">
        <w:lastRenderedPageBreak/>
        <w:t>Návrh variant řešení</w:t>
      </w:r>
      <w:bookmarkEnd w:id="302"/>
    </w:p>
    <w:p w:rsidR="002C485C" w:rsidRPr="00ED38E9" w:rsidRDefault="002C485C" w:rsidP="007A2E3D">
      <w:pPr>
        <w:pStyle w:val="Nadpis3"/>
      </w:pPr>
      <w:r w:rsidRPr="00ED38E9">
        <w:t>Varianta 0</w:t>
      </w:r>
    </w:p>
    <w:p w:rsidR="002C485C" w:rsidRPr="00ED38E9" w:rsidRDefault="002C485C" w:rsidP="002C485C">
      <w:pPr>
        <w:rPr>
          <w:rFonts w:cs="Arial"/>
          <w:noProof w:val="0"/>
          <w:lang w:bidi="ar-SA"/>
        </w:rPr>
      </w:pPr>
      <w:r w:rsidRPr="00ED38E9">
        <w:rPr>
          <w:rFonts w:cs="Arial"/>
          <w:noProof w:val="0"/>
          <w:lang w:bidi="ar-SA"/>
        </w:rPr>
        <w:t>Ponechání současného stavu, kdy ČOI kontroluje jen plnění povinností týkající</w:t>
      </w:r>
      <w:r w:rsidR="00C20D79">
        <w:rPr>
          <w:rFonts w:cs="Arial"/>
          <w:noProof w:val="0"/>
          <w:lang w:bidi="ar-SA"/>
        </w:rPr>
        <w:t>ch</w:t>
      </w:r>
      <w:r w:rsidRPr="00ED38E9">
        <w:rPr>
          <w:rFonts w:cs="Arial"/>
          <w:noProof w:val="0"/>
          <w:lang w:bidi="ar-SA"/>
        </w:rPr>
        <w:t xml:space="preserve"> se uvádění baterií a akumulátorů na trh nebo do oběhu (označování, zajištění zpětného odběru).</w:t>
      </w:r>
    </w:p>
    <w:p w:rsidR="002C485C" w:rsidRPr="00ED38E9" w:rsidRDefault="002C485C" w:rsidP="007A2E3D">
      <w:pPr>
        <w:pStyle w:val="Nadpis3"/>
      </w:pPr>
      <w:r w:rsidRPr="00ED38E9">
        <w:t>Varianta 1</w:t>
      </w:r>
    </w:p>
    <w:p w:rsidR="002C485C" w:rsidRPr="00ED38E9" w:rsidRDefault="002C485C" w:rsidP="002C485C">
      <w:pPr>
        <w:keepNext/>
        <w:rPr>
          <w:rFonts w:cs="Arial"/>
          <w:noProof w:val="0"/>
          <w:lang w:bidi="ar-SA"/>
        </w:rPr>
      </w:pPr>
      <w:r w:rsidRPr="00ED38E9">
        <w:rPr>
          <w:rFonts w:cs="Arial"/>
          <w:noProof w:val="0"/>
          <w:lang w:bidi="ar-SA"/>
        </w:rPr>
        <w:t>Rozšíření činností a pravomocí ČOI:</w:t>
      </w:r>
    </w:p>
    <w:p w:rsidR="002C485C" w:rsidRPr="00ED38E9" w:rsidRDefault="002C485C" w:rsidP="002D66F0">
      <w:pPr>
        <w:numPr>
          <w:ilvl w:val="0"/>
          <w:numId w:val="51"/>
        </w:numPr>
        <w:rPr>
          <w:rFonts w:cs="Arial"/>
          <w:noProof w:val="0"/>
          <w:lang w:bidi="ar-SA"/>
        </w:rPr>
      </w:pPr>
      <w:r w:rsidRPr="00ED38E9">
        <w:rPr>
          <w:rFonts w:cs="Arial"/>
          <w:noProof w:val="0"/>
          <w:lang w:bidi="ar-SA"/>
        </w:rPr>
        <w:t xml:space="preserve">kontroluje označování </w:t>
      </w:r>
      <w:r w:rsidR="00D10B20">
        <w:rPr>
          <w:rFonts w:cs="Arial"/>
          <w:noProof w:val="0"/>
          <w:lang w:bidi="ar-SA"/>
        </w:rPr>
        <w:t xml:space="preserve">elektrozařízení a </w:t>
      </w:r>
      <w:r w:rsidR="00D10B20" w:rsidRPr="00F871D9">
        <w:t>baterií a akumulátorů</w:t>
      </w:r>
      <w:r w:rsidR="008602EB">
        <w:t xml:space="preserve"> </w:t>
      </w:r>
      <w:r w:rsidRPr="00ED38E9">
        <w:rPr>
          <w:rFonts w:cs="Arial"/>
          <w:noProof w:val="0"/>
          <w:lang w:bidi="ar-SA"/>
        </w:rPr>
        <w:t>a dodržování stanoveného obsahu nebezpečných látek u baterií a akumulátorů,</w:t>
      </w:r>
    </w:p>
    <w:p w:rsidR="002C485C" w:rsidRPr="00ED38E9" w:rsidRDefault="002C485C" w:rsidP="002D66F0">
      <w:pPr>
        <w:numPr>
          <w:ilvl w:val="0"/>
          <w:numId w:val="51"/>
        </w:numPr>
        <w:rPr>
          <w:rFonts w:cs="Arial"/>
          <w:noProof w:val="0"/>
          <w:lang w:bidi="ar-SA"/>
        </w:rPr>
      </w:pPr>
      <w:r w:rsidRPr="00ED38E9">
        <w:rPr>
          <w:rFonts w:cs="Arial"/>
          <w:noProof w:val="0"/>
          <w:lang w:bidi="ar-SA"/>
        </w:rPr>
        <w:t xml:space="preserve">kontroluje plnění povinností posledních prodejců zajistit zpětný odběr </w:t>
      </w:r>
      <w:r w:rsidR="008602EB">
        <w:rPr>
          <w:rFonts w:cs="Arial"/>
          <w:noProof w:val="0"/>
          <w:lang w:bidi="ar-SA"/>
        </w:rPr>
        <w:t xml:space="preserve">odpadních elektrozařízení a odpadních </w:t>
      </w:r>
      <w:r w:rsidR="008602EB" w:rsidRPr="00F871D9">
        <w:t>baterií a akumulátorů</w:t>
      </w:r>
      <w:r w:rsidRPr="00ED38E9">
        <w:rPr>
          <w:rFonts w:cs="Arial"/>
          <w:noProof w:val="0"/>
          <w:lang w:bidi="ar-SA"/>
        </w:rPr>
        <w:t xml:space="preserve"> a i</w:t>
      </w:r>
      <w:r w:rsidR="00F94CE8">
        <w:rPr>
          <w:rFonts w:cs="Arial"/>
          <w:noProof w:val="0"/>
          <w:lang w:bidi="ar-SA"/>
        </w:rPr>
        <w:t>nformovat konečného uživatele o </w:t>
      </w:r>
      <w:r w:rsidRPr="00ED38E9">
        <w:rPr>
          <w:rFonts w:cs="Arial"/>
          <w:noProof w:val="0"/>
          <w:lang w:bidi="ar-SA"/>
        </w:rPr>
        <w:t>způsobu zajištění zpětného odběru</w:t>
      </w:r>
      <w:r w:rsidR="008602EB">
        <w:rPr>
          <w:rFonts w:cs="Arial"/>
          <w:noProof w:val="0"/>
          <w:lang w:bidi="ar-SA"/>
        </w:rPr>
        <w:t xml:space="preserve"> těchto výrobků s ukončenou životností</w:t>
      </w:r>
      <w:r w:rsidRPr="00ED38E9">
        <w:rPr>
          <w:rFonts w:cs="Arial"/>
          <w:noProof w:val="0"/>
          <w:lang w:bidi="ar-SA"/>
        </w:rPr>
        <w:t>,</w:t>
      </w:r>
    </w:p>
    <w:p w:rsidR="002C485C" w:rsidRPr="00ED38E9" w:rsidRDefault="002C485C" w:rsidP="002D66F0">
      <w:pPr>
        <w:numPr>
          <w:ilvl w:val="0"/>
          <w:numId w:val="51"/>
        </w:numPr>
        <w:rPr>
          <w:rFonts w:cs="Arial"/>
          <w:noProof w:val="0"/>
          <w:lang w:bidi="ar-SA"/>
        </w:rPr>
      </w:pPr>
      <w:r w:rsidRPr="00ED38E9">
        <w:rPr>
          <w:rFonts w:cs="Arial"/>
          <w:noProof w:val="0"/>
          <w:lang w:bidi="ar-SA"/>
        </w:rPr>
        <w:t>ukládá právnickým osobám a fyzickým osobám oprávněným k</w:t>
      </w:r>
      <w:r w:rsidR="00333557" w:rsidRPr="00ED38E9">
        <w:rPr>
          <w:rFonts w:cs="Arial"/>
          <w:noProof w:val="0"/>
          <w:lang w:bidi="ar-SA"/>
        </w:rPr>
        <w:t> </w:t>
      </w:r>
      <w:r w:rsidRPr="00ED38E9">
        <w:rPr>
          <w:rFonts w:cs="Arial"/>
          <w:noProof w:val="0"/>
          <w:lang w:bidi="ar-SA"/>
        </w:rPr>
        <w:t>podnikání pokuty za porušení povinností, jejichž plnění je oprávněna kontrolovat, současně může stanovit opatření a lhůty pro zjednání nápravy samostatným rozhodnutím, nositelé těchto povinností jsou povinni jí na žádost prokázat zajištění plnění kontrolovaných povinností,</w:t>
      </w:r>
    </w:p>
    <w:p w:rsidR="002C485C" w:rsidRPr="00ED38E9" w:rsidRDefault="002C485C" w:rsidP="002D66F0">
      <w:pPr>
        <w:numPr>
          <w:ilvl w:val="0"/>
          <w:numId w:val="51"/>
        </w:numPr>
        <w:rPr>
          <w:rFonts w:cs="Arial"/>
          <w:noProof w:val="0"/>
          <w:lang w:bidi="ar-SA"/>
        </w:rPr>
      </w:pPr>
      <w:r w:rsidRPr="00ED38E9">
        <w:rPr>
          <w:rFonts w:cs="Arial"/>
          <w:noProof w:val="0"/>
          <w:lang w:bidi="ar-SA"/>
        </w:rPr>
        <w:t>ukládá zákaz uvádět na trh, až do zjednání nápravy výrobcem, baterie a akumulátory, které nesplňují požadavky stanovené zákonem</w:t>
      </w:r>
      <w:r w:rsidR="008602EB">
        <w:rPr>
          <w:rFonts w:cs="Arial"/>
          <w:noProof w:val="0"/>
          <w:lang w:bidi="ar-SA"/>
        </w:rPr>
        <w:t>;</w:t>
      </w:r>
      <w:r w:rsidRPr="00ED38E9">
        <w:rPr>
          <w:rFonts w:cs="Arial"/>
          <w:noProof w:val="0"/>
          <w:lang w:bidi="ar-SA"/>
        </w:rPr>
        <w:t xml:space="preserve"> hrozí-li poškození lidského zdraví nebo životního prostředí nebo již k</w:t>
      </w:r>
      <w:r w:rsidR="00333557" w:rsidRPr="00ED38E9">
        <w:rPr>
          <w:rFonts w:cs="Arial"/>
          <w:noProof w:val="0"/>
          <w:lang w:bidi="ar-SA"/>
        </w:rPr>
        <w:t> </w:t>
      </w:r>
      <w:r w:rsidRPr="00ED38E9">
        <w:rPr>
          <w:rFonts w:cs="Arial"/>
          <w:noProof w:val="0"/>
          <w:lang w:bidi="ar-SA"/>
        </w:rPr>
        <w:t>němu došlo, může současně nařídit jejich stažení z</w:t>
      </w:r>
      <w:r w:rsidR="008602EB">
        <w:rPr>
          <w:rFonts w:cs="Arial"/>
          <w:noProof w:val="0"/>
          <w:lang w:bidi="ar-SA"/>
        </w:rPr>
        <w:t> </w:t>
      </w:r>
      <w:r w:rsidRPr="00ED38E9">
        <w:rPr>
          <w:rFonts w:cs="Arial"/>
          <w:noProof w:val="0"/>
          <w:lang w:bidi="ar-SA"/>
        </w:rPr>
        <w:t>trhu</w:t>
      </w:r>
      <w:r w:rsidR="008602EB">
        <w:rPr>
          <w:rFonts w:cs="Arial"/>
          <w:noProof w:val="0"/>
          <w:lang w:bidi="ar-SA"/>
        </w:rPr>
        <w:t>.</w:t>
      </w:r>
    </w:p>
    <w:p w:rsidR="002C485C" w:rsidRPr="00ED38E9" w:rsidRDefault="002C485C" w:rsidP="007A2E3D">
      <w:pPr>
        <w:pStyle w:val="Nadpis2"/>
      </w:pPr>
      <w:bookmarkStart w:id="303" w:name="_Toc441759968"/>
      <w:r w:rsidRPr="00ED38E9">
        <w:t>Vyhodnocení nákladů a přínosů</w:t>
      </w:r>
      <w:bookmarkEnd w:id="303"/>
    </w:p>
    <w:p w:rsidR="002C485C" w:rsidRPr="00ED38E9" w:rsidRDefault="002C485C" w:rsidP="007A2E3D">
      <w:pPr>
        <w:pStyle w:val="Nadpis3"/>
      </w:pPr>
      <w:r w:rsidRPr="00ED38E9">
        <w:t>Identifikace nákladů a přínosů</w:t>
      </w:r>
    </w:p>
    <w:p w:rsidR="002C485C" w:rsidRPr="00ED38E9" w:rsidRDefault="002C485C" w:rsidP="002D66F0">
      <w:pPr>
        <w:keepNext/>
        <w:numPr>
          <w:ilvl w:val="0"/>
          <w:numId w:val="103"/>
        </w:numPr>
        <w:spacing w:before="240" w:after="120"/>
        <w:rPr>
          <w:rFonts w:cs="Arial"/>
          <w:noProof w:val="0"/>
          <w:lang w:bidi="ar-SA"/>
        </w:rPr>
      </w:pPr>
      <w:r w:rsidRPr="00ED38E9">
        <w:rPr>
          <w:rFonts w:cs="Arial"/>
          <w:noProof w:val="0"/>
          <w:lang w:bidi="ar-SA"/>
        </w:rPr>
        <w:t>Varianta 0</w:t>
      </w:r>
    </w:p>
    <w:p w:rsidR="002C485C" w:rsidRPr="00ED38E9" w:rsidRDefault="002C485C" w:rsidP="0011180B">
      <w:pPr>
        <w:keepNext/>
        <w:spacing w:before="120"/>
        <w:rPr>
          <w:rFonts w:cs="Arial"/>
          <w:b/>
          <w:noProof w:val="0"/>
          <w:lang w:bidi="ar-SA"/>
        </w:rPr>
      </w:pPr>
      <w:r w:rsidRPr="00ED38E9">
        <w:rPr>
          <w:rFonts w:cs="Arial"/>
          <w:b/>
          <w:noProof w:val="0"/>
          <w:lang w:bidi="ar-SA"/>
        </w:rPr>
        <w:t>Dopady na státní rozp</w:t>
      </w:r>
      <w:r w:rsidR="0011180B" w:rsidRPr="00ED38E9">
        <w:rPr>
          <w:rFonts w:cs="Arial"/>
          <w:b/>
          <w:noProof w:val="0"/>
          <w:lang w:bidi="ar-SA"/>
        </w:rPr>
        <w:t>očet a ostatní veřejné rozpočty</w:t>
      </w:r>
    </w:p>
    <w:p w:rsidR="0011180B" w:rsidRPr="00ED38E9" w:rsidRDefault="0011180B" w:rsidP="001877BD">
      <w:pPr>
        <w:rPr>
          <w:rFonts w:cs="Arial"/>
          <w:noProof w:val="0"/>
          <w:lang w:bidi="ar-SA"/>
        </w:rPr>
      </w:pPr>
      <w:r w:rsidRPr="00ED38E9">
        <w:rPr>
          <w:rFonts w:cs="Arial"/>
          <w:noProof w:val="0"/>
          <w:lang w:bidi="ar-SA"/>
        </w:rPr>
        <w:t>Podle informací uvedených v</w:t>
      </w:r>
      <w:r w:rsidR="00333557" w:rsidRPr="00ED38E9">
        <w:rPr>
          <w:rFonts w:cs="Arial"/>
          <w:noProof w:val="0"/>
          <w:lang w:bidi="ar-SA"/>
        </w:rPr>
        <w:t> </w:t>
      </w:r>
      <w:r w:rsidRPr="00ED38E9">
        <w:rPr>
          <w:rFonts w:cs="Arial"/>
          <w:noProof w:val="0"/>
          <w:lang w:bidi="ar-SA"/>
        </w:rPr>
        <w:t>informačním systému ČOI bylo v</w:t>
      </w:r>
      <w:r w:rsidR="00333557" w:rsidRPr="00ED38E9">
        <w:rPr>
          <w:rFonts w:cs="Arial"/>
          <w:noProof w:val="0"/>
          <w:lang w:bidi="ar-SA"/>
        </w:rPr>
        <w:t> </w:t>
      </w:r>
      <w:r w:rsidRPr="00ED38E9">
        <w:rPr>
          <w:rFonts w:cs="Arial"/>
          <w:noProof w:val="0"/>
          <w:lang w:bidi="ar-SA"/>
        </w:rPr>
        <w:t>období 2012</w:t>
      </w:r>
      <w:r w:rsidR="007C3F24" w:rsidRPr="00ED38E9">
        <w:rPr>
          <w:rFonts w:cs="Arial"/>
          <w:noProof w:val="0"/>
          <w:lang w:bidi="ar-SA"/>
        </w:rPr>
        <w:t xml:space="preserve"> </w:t>
      </w:r>
      <w:r w:rsidRPr="00ED38E9">
        <w:rPr>
          <w:rFonts w:cs="Arial"/>
          <w:noProof w:val="0"/>
          <w:lang w:bidi="ar-SA"/>
        </w:rPr>
        <w:t>– listopad 201</w:t>
      </w:r>
      <w:r w:rsidR="007C3F24" w:rsidRPr="00ED38E9">
        <w:rPr>
          <w:rFonts w:cs="Arial"/>
          <w:noProof w:val="0"/>
          <w:lang w:bidi="ar-SA"/>
        </w:rPr>
        <w:t>4</w:t>
      </w:r>
      <w:r w:rsidRPr="00ED38E9">
        <w:rPr>
          <w:rFonts w:cs="Arial"/>
          <w:noProof w:val="0"/>
          <w:lang w:bidi="ar-SA"/>
        </w:rPr>
        <w:t xml:space="preserve"> provedeno v</w:t>
      </w:r>
      <w:r w:rsidR="00333557" w:rsidRPr="00ED38E9">
        <w:rPr>
          <w:rFonts w:cs="Arial"/>
          <w:noProof w:val="0"/>
          <w:lang w:bidi="ar-SA"/>
        </w:rPr>
        <w:t> </w:t>
      </w:r>
      <w:r w:rsidRPr="00ED38E9">
        <w:rPr>
          <w:rFonts w:cs="Arial"/>
          <w:noProof w:val="0"/>
          <w:lang w:bidi="ar-SA"/>
        </w:rPr>
        <w:t xml:space="preserve">průměru cca 400 kontrol za rok zaměřených na povinnosti </w:t>
      </w:r>
      <w:r w:rsidR="007C3F24" w:rsidRPr="00ED38E9">
        <w:rPr>
          <w:rFonts w:cs="Arial"/>
          <w:noProof w:val="0"/>
          <w:lang w:bidi="ar-SA"/>
        </w:rPr>
        <w:t>dle § 76a zákona o odpadech. Časovou náročnost kontroly je poměrně obtížné definovat a tak tato data nemáme k</w:t>
      </w:r>
      <w:r w:rsidR="00333557" w:rsidRPr="00ED38E9">
        <w:rPr>
          <w:rFonts w:cs="Arial"/>
          <w:noProof w:val="0"/>
          <w:lang w:bidi="ar-SA"/>
        </w:rPr>
        <w:t> </w:t>
      </w:r>
      <w:r w:rsidR="007C3F24" w:rsidRPr="00ED38E9">
        <w:rPr>
          <w:rFonts w:cs="Arial"/>
          <w:noProof w:val="0"/>
          <w:lang w:bidi="ar-SA"/>
        </w:rPr>
        <w:t>dispozici.</w:t>
      </w:r>
    </w:p>
    <w:p w:rsidR="002C485C" w:rsidRPr="00ED38E9" w:rsidRDefault="002C485C" w:rsidP="002C485C">
      <w:pPr>
        <w:keepNext/>
        <w:spacing w:before="120"/>
        <w:rPr>
          <w:rFonts w:cs="Arial"/>
          <w:b/>
          <w:noProof w:val="0"/>
          <w:lang w:bidi="ar-SA"/>
        </w:rPr>
      </w:pPr>
      <w:r w:rsidRPr="00ED38E9">
        <w:rPr>
          <w:rFonts w:cs="Arial"/>
          <w:b/>
          <w:noProof w:val="0"/>
          <w:lang w:bidi="ar-SA"/>
        </w:rPr>
        <w:t>Dopady na životní prostředí</w:t>
      </w:r>
    </w:p>
    <w:p w:rsidR="00D9139C" w:rsidRPr="00ED38E9" w:rsidRDefault="00D9139C" w:rsidP="001877BD">
      <w:pPr>
        <w:rPr>
          <w:rFonts w:cs="Arial"/>
          <w:noProof w:val="0"/>
          <w:lang w:bidi="ar-SA"/>
        </w:rPr>
      </w:pPr>
      <w:r w:rsidRPr="00ED38E9">
        <w:rPr>
          <w:rFonts w:cs="Arial"/>
          <w:noProof w:val="0"/>
          <w:lang w:bidi="ar-SA"/>
        </w:rPr>
        <w:t>Současný stav nepředstavuje žádné přímé dopady na životní prostředí. Nedostatečná kontrola plnění povinností v</w:t>
      </w:r>
      <w:r w:rsidR="00333557" w:rsidRPr="00ED38E9">
        <w:rPr>
          <w:rFonts w:cs="Arial"/>
          <w:noProof w:val="0"/>
          <w:lang w:bidi="ar-SA"/>
        </w:rPr>
        <w:t> </w:t>
      </w:r>
      <w:r w:rsidRPr="00ED38E9">
        <w:rPr>
          <w:rFonts w:cs="Arial"/>
          <w:noProof w:val="0"/>
          <w:lang w:bidi="ar-SA"/>
        </w:rPr>
        <w:t xml:space="preserve">oblasti zpětného odběru ale určitým způsobem může mít </w:t>
      </w:r>
      <w:r w:rsidR="009D021C">
        <w:rPr>
          <w:rFonts w:cs="Arial"/>
          <w:noProof w:val="0"/>
          <w:lang w:bidi="ar-SA"/>
        </w:rPr>
        <w:t>spíše</w:t>
      </w:r>
      <w:r w:rsidRPr="00ED38E9">
        <w:rPr>
          <w:rFonts w:cs="Arial"/>
          <w:noProof w:val="0"/>
          <w:lang w:bidi="ar-SA"/>
        </w:rPr>
        <w:t xml:space="preserve"> </w:t>
      </w:r>
      <w:r w:rsidR="009D021C">
        <w:rPr>
          <w:rFonts w:cs="Arial"/>
          <w:noProof w:val="0"/>
          <w:lang w:bidi="ar-SA"/>
        </w:rPr>
        <w:t xml:space="preserve">negativní </w:t>
      </w:r>
      <w:r w:rsidRPr="00ED38E9">
        <w:rPr>
          <w:rFonts w:cs="Arial"/>
          <w:noProof w:val="0"/>
          <w:lang w:bidi="ar-SA"/>
        </w:rPr>
        <w:t>dopad na životní prostředí.</w:t>
      </w:r>
    </w:p>
    <w:p w:rsidR="002C485C" w:rsidRPr="00ED38E9" w:rsidRDefault="002C485C" w:rsidP="002D66F0">
      <w:pPr>
        <w:keepNext/>
        <w:numPr>
          <w:ilvl w:val="0"/>
          <w:numId w:val="103"/>
        </w:numPr>
        <w:spacing w:before="240" w:after="120"/>
        <w:ind w:left="714" w:hanging="357"/>
        <w:rPr>
          <w:rFonts w:cs="Arial"/>
          <w:noProof w:val="0"/>
          <w:lang w:bidi="ar-SA"/>
        </w:rPr>
      </w:pPr>
      <w:r w:rsidRPr="00ED38E9">
        <w:rPr>
          <w:rFonts w:cs="Arial"/>
          <w:noProof w:val="0"/>
          <w:lang w:bidi="ar-SA"/>
        </w:rPr>
        <w:t>Varianta 1</w:t>
      </w:r>
    </w:p>
    <w:p w:rsidR="00962C68" w:rsidRPr="00ED38E9" w:rsidRDefault="002C485C" w:rsidP="002C485C">
      <w:pPr>
        <w:keepNext/>
        <w:spacing w:before="120"/>
        <w:rPr>
          <w:rFonts w:cs="Arial"/>
          <w:b/>
          <w:noProof w:val="0"/>
          <w:lang w:bidi="ar-SA"/>
        </w:rPr>
      </w:pPr>
      <w:r w:rsidRPr="00ED38E9">
        <w:rPr>
          <w:rFonts w:cs="Arial"/>
          <w:b/>
          <w:noProof w:val="0"/>
          <w:lang w:bidi="ar-SA"/>
        </w:rPr>
        <w:t>Dopady na státní rozp</w:t>
      </w:r>
      <w:r w:rsidR="00962C68" w:rsidRPr="00ED38E9">
        <w:rPr>
          <w:rFonts w:cs="Arial"/>
          <w:b/>
          <w:noProof w:val="0"/>
          <w:lang w:bidi="ar-SA"/>
        </w:rPr>
        <w:t>očet a ostatní veřejné rozpočty</w:t>
      </w:r>
    </w:p>
    <w:p w:rsidR="00962C68" w:rsidRPr="00ED38E9" w:rsidRDefault="00962C68" w:rsidP="00962C68">
      <w:pPr>
        <w:rPr>
          <w:rFonts w:cs="Arial"/>
          <w:noProof w:val="0"/>
          <w:lang w:bidi="ar-SA"/>
        </w:rPr>
      </w:pPr>
      <w:r w:rsidRPr="00ED38E9">
        <w:rPr>
          <w:rFonts w:cs="Arial"/>
          <w:noProof w:val="0"/>
          <w:lang w:bidi="ar-SA"/>
        </w:rPr>
        <w:t>V</w:t>
      </w:r>
      <w:r w:rsidR="00333557" w:rsidRPr="00ED38E9">
        <w:rPr>
          <w:rFonts w:cs="Arial"/>
          <w:noProof w:val="0"/>
          <w:lang w:bidi="ar-SA"/>
        </w:rPr>
        <w:t> </w:t>
      </w:r>
      <w:r w:rsidRPr="00ED38E9">
        <w:rPr>
          <w:rFonts w:cs="Arial"/>
          <w:noProof w:val="0"/>
          <w:lang w:bidi="ar-SA"/>
        </w:rPr>
        <w:t>případě, že dojde k</w:t>
      </w:r>
      <w:r w:rsidR="00333557" w:rsidRPr="00ED38E9">
        <w:rPr>
          <w:rFonts w:cs="Arial"/>
          <w:noProof w:val="0"/>
          <w:lang w:bidi="ar-SA"/>
        </w:rPr>
        <w:t> </w:t>
      </w:r>
      <w:r w:rsidRPr="00ED38E9">
        <w:rPr>
          <w:rFonts w:cs="Arial"/>
          <w:noProof w:val="0"/>
          <w:lang w:bidi="ar-SA"/>
        </w:rPr>
        <w:t xml:space="preserve">rozšíření kompetencí ČOI, tak </w:t>
      </w:r>
      <w:r w:rsidR="00356641" w:rsidRPr="00ED38E9">
        <w:rPr>
          <w:rFonts w:cs="Arial"/>
          <w:noProof w:val="0"/>
          <w:lang w:bidi="ar-SA"/>
        </w:rPr>
        <w:t>v</w:t>
      </w:r>
      <w:r w:rsidR="00333557" w:rsidRPr="00ED38E9">
        <w:rPr>
          <w:rFonts w:cs="Arial"/>
          <w:noProof w:val="0"/>
          <w:lang w:bidi="ar-SA"/>
        </w:rPr>
        <w:t> </w:t>
      </w:r>
      <w:r w:rsidRPr="00ED38E9">
        <w:rPr>
          <w:rFonts w:cs="Arial"/>
          <w:noProof w:val="0"/>
          <w:lang w:bidi="ar-SA"/>
        </w:rPr>
        <w:t>řadě případů se může jednat o</w:t>
      </w:r>
      <w:r w:rsidR="00F920A9" w:rsidRPr="00ED38E9">
        <w:rPr>
          <w:rFonts w:cs="Arial"/>
          <w:noProof w:val="0"/>
          <w:lang w:bidi="ar-SA"/>
        </w:rPr>
        <w:t> </w:t>
      </w:r>
      <w:r w:rsidRPr="00ED38E9">
        <w:rPr>
          <w:rFonts w:cs="Arial"/>
          <w:noProof w:val="0"/>
          <w:lang w:bidi="ar-SA"/>
        </w:rPr>
        <w:t>prodloužení času kontroly v</w:t>
      </w:r>
      <w:r w:rsidR="00333557" w:rsidRPr="00ED38E9">
        <w:rPr>
          <w:rFonts w:cs="Arial"/>
          <w:noProof w:val="0"/>
          <w:lang w:bidi="ar-SA"/>
        </w:rPr>
        <w:t> </w:t>
      </w:r>
      <w:r w:rsidRPr="00ED38E9">
        <w:rPr>
          <w:rFonts w:cs="Arial"/>
          <w:noProof w:val="0"/>
          <w:lang w:bidi="ar-SA"/>
        </w:rPr>
        <w:t>provozovnách spojen</w:t>
      </w:r>
      <w:r w:rsidR="00C20D79">
        <w:rPr>
          <w:rFonts w:cs="Arial"/>
          <w:noProof w:val="0"/>
          <w:lang w:bidi="ar-SA"/>
        </w:rPr>
        <w:t>ého</w:t>
      </w:r>
      <w:r w:rsidRPr="00ED38E9">
        <w:rPr>
          <w:rFonts w:cs="Arial"/>
          <w:noProof w:val="0"/>
          <w:lang w:bidi="ar-SA"/>
        </w:rPr>
        <w:t xml:space="preserve"> s</w:t>
      </w:r>
      <w:r w:rsidR="00333557" w:rsidRPr="00ED38E9">
        <w:rPr>
          <w:rFonts w:cs="Arial"/>
          <w:noProof w:val="0"/>
          <w:lang w:bidi="ar-SA"/>
        </w:rPr>
        <w:t> </w:t>
      </w:r>
      <w:r w:rsidRPr="00ED38E9">
        <w:rPr>
          <w:rFonts w:cs="Arial"/>
          <w:noProof w:val="0"/>
          <w:lang w:bidi="ar-SA"/>
        </w:rPr>
        <w:t>ověřením,</w:t>
      </w:r>
      <w:r w:rsidR="002945EB" w:rsidRPr="00ED38E9">
        <w:rPr>
          <w:rFonts w:cs="Arial"/>
          <w:noProof w:val="0"/>
          <w:lang w:bidi="ar-SA"/>
        </w:rPr>
        <w:t xml:space="preserve"> zda jsou vybrané výrobky označeny v</w:t>
      </w:r>
      <w:r w:rsidR="00333557" w:rsidRPr="00ED38E9">
        <w:rPr>
          <w:rFonts w:cs="Arial"/>
          <w:noProof w:val="0"/>
          <w:lang w:bidi="ar-SA"/>
        </w:rPr>
        <w:t> </w:t>
      </w:r>
      <w:r w:rsidR="002945EB" w:rsidRPr="00ED38E9">
        <w:rPr>
          <w:rFonts w:cs="Arial"/>
          <w:noProof w:val="0"/>
          <w:lang w:bidi="ar-SA"/>
        </w:rPr>
        <w:t>souladu s</w:t>
      </w:r>
      <w:r w:rsidR="00333557" w:rsidRPr="00ED38E9">
        <w:rPr>
          <w:rFonts w:cs="Arial"/>
          <w:noProof w:val="0"/>
          <w:lang w:bidi="ar-SA"/>
        </w:rPr>
        <w:t> </w:t>
      </w:r>
      <w:r w:rsidR="002945EB" w:rsidRPr="00ED38E9">
        <w:rPr>
          <w:rFonts w:cs="Arial"/>
          <w:noProof w:val="0"/>
          <w:lang w:bidi="ar-SA"/>
        </w:rPr>
        <w:t>požadavky nové právní úpravy a zda jsou plněny povinnosti spočívající v</w:t>
      </w:r>
      <w:r w:rsidR="00333557" w:rsidRPr="00ED38E9">
        <w:rPr>
          <w:rFonts w:cs="Arial"/>
          <w:noProof w:val="0"/>
          <w:lang w:bidi="ar-SA"/>
        </w:rPr>
        <w:t> </w:t>
      </w:r>
      <w:r w:rsidR="002945EB" w:rsidRPr="00ED38E9">
        <w:rPr>
          <w:rFonts w:cs="Arial"/>
          <w:noProof w:val="0"/>
          <w:lang w:bidi="ar-SA"/>
        </w:rPr>
        <w:t>zajištění zpětného odběru výrobků</w:t>
      </w:r>
      <w:r w:rsidR="00491C98">
        <w:rPr>
          <w:rFonts w:cs="Arial"/>
          <w:noProof w:val="0"/>
          <w:lang w:bidi="ar-SA"/>
        </w:rPr>
        <w:t xml:space="preserve"> s ukončenou životností</w:t>
      </w:r>
      <w:r w:rsidR="002945EB" w:rsidRPr="00ED38E9">
        <w:rPr>
          <w:rFonts w:cs="Arial"/>
          <w:noProof w:val="0"/>
          <w:lang w:bidi="ar-SA"/>
        </w:rPr>
        <w:t>. Na toto šetření pak může navazovat další šetření u distributorů a výrobců vybraných výrobků. S</w:t>
      </w:r>
      <w:r w:rsidR="00333557" w:rsidRPr="00ED38E9">
        <w:rPr>
          <w:rFonts w:cs="Arial"/>
          <w:noProof w:val="0"/>
          <w:lang w:bidi="ar-SA"/>
        </w:rPr>
        <w:t> </w:t>
      </w:r>
      <w:r w:rsidR="002945EB" w:rsidRPr="00ED38E9">
        <w:rPr>
          <w:rFonts w:cs="Arial"/>
          <w:noProof w:val="0"/>
          <w:lang w:bidi="ar-SA"/>
        </w:rPr>
        <w:t xml:space="preserve">tím souvisí </w:t>
      </w:r>
      <w:r w:rsidR="002945EB" w:rsidRPr="00ED38E9">
        <w:rPr>
          <w:rFonts w:cs="Arial"/>
          <w:noProof w:val="0"/>
          <w:lang w:bidi="ar-SA"/>
        </w:rPr>
        <w:lastRenderedPageBreak/>
        <w:t>i</w:t>
      </w:r>
      <w:r w:rsidR="00842291" w:rsidRPr="00ED38E9">
        <w:rPr>
          <w:rFonts w:cs="Arial"/>
          <w:noProof w:val="0"/>
          <w:lang w:bidi="ar-SA"/>
        </w:rPr>
        <w:t> </w:t>
      </w:r>
      <w:r w:rsidR="002945EB" w:rsidRPr="00ED38E9">
        <w:rPr>
          <w:rFonts w:cs="Arial"/>
          <w:noProof w:val="0"/>
          <w:lang w:bidi="ar-SA"/>
        </w:rPr>
        <w:t>administrativa od počátku kontroly až po případné uložení opatření nebo pokuty.</w:t>
      </w:r>
      <w:r w:rsidRPr="00ED38E9">
        <w:rPr>
          <w:rFonts w:cs="Arial"/>
          <w:noProof w:val="0"/>
          <w:lang w:bidi="ar-SA"/>
        </w:rPr>
        <w:t xml:space="preserve"> </w:t>
      </w:r>
      <w:r w:rsidR="00356641" w:rsidRPr="00ED38E9">
        <w:rPr>
          <w:rFonts w:cs="Arial"/>
          <w:noProof w:val="0"/>
          <w:lang w:bidi="ar-SA"/>
        </w:rPr>
        <w:t>Česká obchodní inspekce dle statistických údajů za rok 2012–2014 odhaduje, že na zajištění výkonu dozoru podle věcného záměru zákona si vyžádá navýšení finančních prostředků o</w:t>
      </w:r>
      <w:r w:rsidR="00F920A9" w:rsidRPr="00ED38E9">
        <w:rPr>
          <w:rFonts w:cs="Arial"/>
          <w:noProof w:val="0"/>
          <w:lang w:bidi="ar-SA"/>
        </w:rPr>
        <w:t> </w:t>
      </w:r>
      <w:r w:rsidR="00356641" w:rsidRPr="00ED38E9">
        <w:rPr>
          <w:rFonts w:cs="Arial"/>
          <w:noProof w:val="0"/>
          <w:lang w:bidi="ar-SA"/>
        </w:rPr>
        <w:t>cca 2 060 000 Kč (2 pracovní úvazky v</w:t>
      </w:r>
      <w:r w:rsidR="00333557" w:rsidRPr="00ED38E9">
        <w:rPr>
          <w:rFonts w:cs="Arial"/>
          <w:noProof w:val="0"/>
          <w:lang w:bidi="ar-SA"/>
        </w:rPr>
        <w:t> </w:t>
      </w:r>
      <w:r w:rsidR="00F920A9" w:rsidRPr="00ED38E9">
        <w:rPr>
          <w:rFonts w:cs="Arial"/>
          <w:noProof w:val="0"/>
          <w:lang w:bidi="ar-SA"/>
        </w:rPr>
        <w:t>průměrné platové třídě 10</w:t>
      </w:r>
      <w:r w:rsidR="00356641" w:rsidRPr="00ED38E9">
        <w:rPr>
          <w:rFonts w:cs="Arial"/>
          <w:noProof w:val="0"/>
          <w:lang w:bidi="ar-SA"/>
        </w:rPr>
        <w:t>)</w:t>
      </w:r>
      <w:r w:rsidR="0004362D" w:rsidRPr="00ED38E9">
        <w:rPr>
          <w:rFonts w:cs="Arial"/>
          <w:noProof w:val="0"/>
          <w:lang w:bidi="ar-SA"/>
        </w:rPr>
        <w:t>.</w:t>
      </w:r>
    </w:p>
    <w:p w:rsidR="002C485C" w:rsidRPr="00ED38E9" w:rsidRDefault="002C485C" w:rsidP="002C485C">
      <w:pPr>
        <w:keepNext/>
        <w:spacing w:before="120"/>
        <w:rPr>
          <w:rFonts w:cs="Arial"/>
          <w:b/>
          <w:noProof w:val="0"/>
          <w:lang w:bidi="ar-SA"/>
        </w:rPr>
      </w:pPr>
      <w:r w:rsidRPr="00ED38E9">
        <w:rPr>
          <w:rFonts w:cs="Arial"/>
          <w:b/>
          <w:noProof w:val="0"/>
          <w:lang w:bidi="ar-SA"/>
        </w:rPr>
        <w:t>Dopady na podnikatelské subjekty</w:t>
      </w:r>
    </w:p>
    <w:p w:rsidR="002945EB" w:rsidRPr="00ED38E9" w:rsidRDefault="002945EB" w:rsidP="00D10D79">
      <w:pPr>
        <w:rPr>
          <w:rFonts w:cs="Arial"/>
          <w:noProof w:val="0"/>
          <w:lang w:bidi="ar-SA"/>
        </w:rPr>
      </w:pPr>
      <w:r w:rsidRPr="00ED38E9">
        <w:rPr>
          <w:rFonts w:cs="Arial"/>
          <w:noProof w:val="0"/>
          <w:lang w:bidi="ar-SA"/>
        </w:rPr>
        <w:t>Rozšířením kompetencí ČOI neočekáváme žádné výrazné navýšení nákladů podnikatelských subjektů.</w:t>
      </w:r>
    </w:p>
    <w:p w:rsidR="002C485C" w:rsidRPr="00ED38E9" w:rsidRDefault="002C485C" w:rsidP="002C485C">
      <w:pPr>
        <w:keepNext/>
        <w:spacing w:before="120"/>
        <w:rPr>
          <w:rFonts w:cs="Arial"/>
          <w:b/>
          <w:noProof w:val="0"/>
          <w:lang w:bidi="ar-SA"/>
        </w:rPr>
      </w:pPr>
      <w:r w:rsidRPr="00ED38E9">
        <w:rPr>
          <w:rFonts w:cs="Arial"/>
          <w:b/>
          <w:noProof w:val="0"/>
          <w:lang w:bidi="ar-SA"/>
        </w:rPr>
        <w:t>Dopady na územní samosprávné celky (obce, kraje)</w:t>
      </w:r>
    </w:p>
    <w:p w:rsidR="002C485C" w:rsidRPr="00ED38E9" w:rsidRDefault="00065E44" w:rsidP="00DD370D">
      <w:pPr>
        <w:rPr>
          <w:rFonts w:cs="Arial"/>
          <w:noProof w:val="0"/>
          <w:lang w:bidi="ar-SA"/>
        </w:rPr>
      </w:pPr>
      <w:r w:rsidRPr="00ED38E9">
        <w:rPr>
          <w:rFonts w:cs="Arial"/>
          <w:noProof w:val="0"/>
          <w:lang w:bidi="ar-SA"/>
        </w:rPr>
        <w:t>Každé zlepšení informovanosti spotřebitele vedoucí ke správnému nakládání s</w:t>
      </w:r>
      <w:r w:rsidR="00333557" w:rsidRPr="00ED38E9">
        <w:rPr>
          <w:rFonts w:cs="Arial"/>
          <w:noProof w:val="0"/>
          <w:lang w:bidi="ar-SA"/>
        </w:rPr>
        <w:t> </w:t>
      </w:r>
      <w:r w:rsidRPr="00ED38E9">
        <w:rPr>
          <w:rFonts w:cs="Arial"/>
          <w:noProof w:val="0"/>
          <w:lang w:bidi="ar-SA"/>
        </w:rPr>
        <w:t>odpady má pozitivní dopad na obce, které vynakládají ročně nemalé finanční</w:t>
      </w:r>
      <w:r w:rsidR="00962C68" w:rsidRPr="00ED38E9">
        <w:rPr>
          <w:rFonts w:cs="Arial"/>
          <w:noProof w:val="0"/>
          <w:lang w:bidi="ar-SA"/>
        </w:rPr>
        <w:t xml:space="preserve"> prostředky na </w:t>
      </w:r>
      <w:r w:rsidR="00977513">
        <w:rPr>
          <w:rFonts w:cs="Arial"/>
          <w:noProof w:val="0"/>
          <w:lang w:bidi="ar-SA"/>
        </w:rPr>
        <w:t>odstraňování</w:t>
      </w:r>
      <w:r w:rsidR="00977513" w:rsidRPr="00ED38E9">
        <w:rPr>
          <w:rFonts w:cs="Arial"/>
          <w:noProof w:val="0"/>
          <w:lang w:bidi="ar-SA"/>
        </w:rPr>
        <w:t xml:space="preserve"> </w:t>
      </w:r>
      <w:r w:rsidR="00962C68" w:rsidRPr="00ED38E9">
        <w:rPr>
          <w:rFonts w:cs="Arial"/>
          <w:noProof w:val="0"/>
          <w:lang w:bidi="ar-SA"/>
        </w:rPr>
        <w:t>odpadu, zejména černých skládek.</w:t>
      </w:r>
    </w:p>
    <w:p w:rsidR="002C485C" w:rsidRPr="00ED38E9" w:rsidRDefault="002C485C" w:rsidP="002C485C">
      <w:pPr>
        <w:keepNext/>
        <w:spacing w:before="120"/>
        <w:rPr>
          <w:rFonts w:cs="Arial"/>
          <w:b/>
          <w:noProof w:val="0"/>
          <w:lang w:bidi="ar-SA"/>
        </w:rPr>
      </w:pPr>
      <w:r w:rsidRPr="00ED38E9">
        <w:rPr>
          <w:rFonts w:cs="Arial"/>
          <w:b/>
          <w:noProof w:val="0"/>
          <w:lang w:bidi="ar-SA"/>
        </w:rPr>
        <w:t>Sociální dopady</w:t>
      </w:r>
    </w:p>
    <w:p w:rsidR="00473CF8" w:rsidRPr="00ED38E9" w:rsidRDefault="00473CF8" w:rsidP="00D10D79">
      <w:pPr>
        <w:rPr>
          <w:rFonts w:cs="Arial"/>
          <w:noProof w:val="0"/>
          <w:lang w:bidi="ar-SA"/>
        </w:rPr>
      </w:pPr>
      <w:r w:rsidRPr="00ED38E9">
        <w:rPr>
          <w:rFonts w:cs="Arial"/>
          <w:noProof w:val="0"/>
          <w:lang w:bidi="ar-SA"/>
        </w:rPr>
        <w:t>Rozšíření</w:t>
      </w:r>
      <w:r w:rsidR="00065E44" w:rsidRPr="00ED38E9">
        <w:rPr>
          <w:rFonts w:cs="Arial"/>
          <w:noProof w:val="0"/>
          <w:lang w:bidi="ar-SA"/>
        </w:rPr>
        <w:t>m</w:t>
      </w:r>
      <w:r w:rsidRPr="00ED38E9">
        <w:rPr>
          <w:rFonts w:cs="Arial"/>
          <w:noProof w:val="0"/>
          <w:lang w:bidi="ar-SA"/>
        </w:rPr>
        <w:t xml:space="preserve"> kompetencí ČOI očekáváme lepší informovanost a ochranu spotřebitele.</w:t>
      </w:r>
    </w:p>
    <w:p w:rsidR="002C485C" w:rsidRPr="00ED38E9" w:rsidRDefault="00473CF8" w:rsidP="00473CF8">
      <w:pPr>
        <w:keepNext/>
        <w:spacing w:before="120"/>
        <w:rPr>
          <w:rFonts w:cs="Arial"/>
          <w:b/>
          <w:noProof w:val="0"/>
          <w:lang w:bidi="ar-SA"/>
        </w:rPr>
      </w:pPr>
      <w:r w:rsidRPr="00ED38E9">
        <w:rPr>
          <w:rFonts w:cs="Arial"/>
          <w:b/>
          <w:noProof w:val="0"/>
          <w:lang w:bidi="ar-SA"/>
        </w:rPr>
        <w:t>Dopady na životní prostředí</w:t>
      </w:r>
    </w:p>
    <w:p w:rsidR="00473CF8" w:rsidRPr="00ED38E9" w:rsidRDefault="00473CF8" w:rsidP="005E0005">
      <w:pPr>
        <w:spacing w:before="120"/>
        <w:rPr>
          <w:rFonts w:cs="Arial"/>
          <w:noProof w:val="0"/>
          <w:lang w:bidi="ar-SA"/>
        </w:rPr>
      </w:pPr>
      <w:r w:rsidRPr="00ED38E9">
        <w:rPr>
          <w:rFonts w:cs="Arial"/>
          <w:noProof w:val="0"/>
          <w:lang w:bidi="ar-SA"/>
        </w:rPr>
        <w:t>Rozšířením kompetencí ČOI předpokládáme, že výrobci se budou chovat odpovědněji a</w:t>
      </w:r>
      <w:r w:rsidR="00F920A9" w:rsidRPr="00ED38E9">
        <w:rPr>
          <w:rFonts w:cs="Arial"/>
          <w:noProof w:val="0"/>
          <w:lang w:bidi="ar-SA"/>
        </w:rPr>
        <w:t> </w:t>
      </w:r>
      <w:r w:rsidRPr="00ED38E9">
        <w:rPr>
          <w:rFonts w:cs="Arial"/>
          <w:noProof w:val="0"/>
          <w:lang w:bidi="ar-SA"/>
        </w:rPr>
        <w:t>bude zlepšena informovanost konečného uživatele, který pak bude nakládat s</w:t>
      </w:r>
      <w:r w:rsidR="00333557" w:rsidRPr="00ED38E9">
        <w:rPr>
          <w:rFonts w:cs="Arial"/>
          <w:noProof w:val="0"/>
          <w:lang w:bidi="ar-SA"/>
        </w:rPr>
        <w:t> </w:t>
      </w:r>
      <w:r w:rsidRPr="00ED38E9">
        <w:rPr>
          <w:rFonts w:cs="Arial"/>
          <w:noProof w:val="0"/>
          <w:lang w:bidi="ar-SA"/>
        </w:rPr>
        <w:t>výrobkem po ukončení jeho životnosti tak, aby dopady na životní prostředí byly co nejmenší.</w:t>
      </w:r>
    </w:p>
    <w:p w:rsidR="002C485C" w:rsidRPr="00ED38E9" w:rsidRDefault="002C485C" w:rsidP="007A2E3D">
      <w:pPr>
        <w:pStyle w:val="Nadpis3"/>
      </w:pPr>
      <w:r w:rsidRPr="00ED38E9">
        <w:lastRenderedPageBreak/>
        <w:t>Vyhodnocení nákladů a přínosů variant</w:t>
      </w:r>
    </w:p>
    <w:p w:rsidR="001A46E8" w:rsidRPr="00ED38E9" w:rsidRDefault="002D31D5" w:rsidP="00EC0266">
      <w:pPr>
        <w:pStyle w:val="Titulek"/>
        <w:jc w:val="left"/>
        <w:rPr>
          <w:rFonts w:cs="Arial"/>
          <w:b w:val="0"/>
          <w:bCs/>
          <w:i/>
          <w:iCs/>
          <w:noProof w:val="0"/>
          <w:lang w:bidi="ar-SA"/>
        </w:rPr>
      </w:pPr>
      <w:r w:rsidRPr="00ED38E9">
        <w:rPr>
          <w:rFonts w:cs="Arial"/>
        </w:rPr>
        <w:t xml:space="preserve">Tabulka </w:t>
      </w:r>
      <w:r w:rsidR="00381FB7" w:rsidRPr="00ED38E9">
        <w:rPr>
          <w:rFonts w:cs="Arial"/>
        </w:rPr>
        <w:fldChar w:fldCharType="begin"/>
      </w:r>
      <w:r w:rsidRPr="00ED38E9">
        <w:rPr>
          <w:rFonts w:cs="Arial"/>
        </w:rPr>
        <w:instrText xml:space="preserve"> SEQ Tabulka \* ARABIC </w:instrText>
      </w:r>
      <w:r w:rsidR="00381FB7" w:rsidRPr="00ED38E9">
        <w:rPr>
          <w:rFonts w:cs="Arial"/>
        </w:rPr>
        <w:fldChar w:fldCharType="separate"/>
      </w:r>
      <w:r w:rsidR="00FD5E92">
        <w:rPr>
          <w:rFonts w:cs="Arial"/>
        </w:rPr>
        <w:t>82</w:t>
      </w:r>
      <w:r w:rsidR="00381FB7" w:rsidRPr="00ED38E9">
        <w:rPr>
          <w:rFonts w:cs="Arial"/>
        </w:rPr>
        <w:fldChar w:fldCharType="end"/>
      </w:r>
      <w:r w:rsidRPr="00ED38E9">
        <w:rPr>
          <w:rFonts w:cs="Arial"/>
        </w:rPr>
        <w:t>: Porovnání nákladů a přínosů variant</w:t>
      </w:r>
      <w:r w:rsidR="00A5636C" w:rsidRPr="00ED38E9">
        <w:rPr>
          <w:rFonts w:cs="Arial"/>
          <w:lang w:eastAsia="cs-CZ" w:bidi="ar-SA"/>
        </w:rPr>
        <w:drawing>
          <wp:inline distT="0" distB="0" distL="0" distR="0" wp14:anchorId="3EDF8820" wp14:editId="207610B0">
            <wp:extent cx="5760720" cy="4920753"/>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760720" cy="4920753"/>
                    </a:xfrm>
                    <a:prstGeom prst="rect">
                      <a:avLst/>
                    </a:prstGeom>
                    <a:noFill/>
                    <a:ln>
                      <a:noFill/>
                    </a:ln>
                  </pic:spPr>
                </pic:pic>
              </a:graphicData>
            </a:graphic>
          </wp:inline>
        </w:drawing>
      </w:r>
    </w:p>
    <w:p w:rsidR="002C485C" w:rsidRPr="00ED38E9" w:rsidRDefault="002C485C" w:rsidP="007A2E3D">
      <w:pPr>
        <w:pStyle w:val="Nadpis2"/>
      </w:pPr>
      <w:bookmarkStart w:id="304" w:name="_Toc441759969"/>
      <w:r w:rsidRPr="00ED38E9">
        <w:t>Návrh řešení</w:t>
      </w:r>
      <w:bookmarkEnd w:id="304"/>
    </w:p>
    <w:p w:rsidR="002C485C" w:rsidRPr="00ED38E9" w:rsidRDefault="002C485C" w:rsidP="007A2E3D">
      <w:pPr>
        <w:pStyle w:val="Nadpis3"/>
      </w:pPr>
      <w:r w:rsidRPr="00ED38E9">
        <w:t>Stanovení pořadí variant a výběr nejvhodnějšího řešení</w:t>
      </w:r>
    </w:p>
    <w:p w:rsidR="002C485C" w:rsidRPr="00ED38E9" w:rsidRDefault="002C485C" w:rsidP="002D66F0">
      <w:pPr>
        <w:numPr>
          <w:ilvl w:val="0"/>
          <w:numId w:val="52"/>
        </w:numPr>
        <w:rPr>
          <w:rFonts w:cs="Arial"/>
          <w:b/>
          <w:bCs/>
          <w:noProof w:val="0"/>
          <w:lang w:bidi="ar-SA"/>
        </w:rPr>
      </w:pPr>
      <w:r w:rsidRPr="00ED38E9">
        <w:rPr>
          <w:rFonts w:cs="Arial"/>
          <w:b/>
          <w:bCs/>
          <w:noProof w:val="0"/>
          <w:lang w:bidi="ar-SA"/>
        </w:rPr>
        <w:t xml:space="preserve">Varianta </w:t>
      </w:r>
      <w:r w:rsidR="00671D1B" w:rsidRPr="00ED38E9">
        <w:rPr>
          <w:rFonts w:cs="Arial"/>
          <w:b/>
          <w:bCs/>
          <w:noProof w:val="0"/>
          <w:lang w:bidi="ar-SA"/>
        </w:rPr>
        <w:t>1</w:t>
      </w:r>
    </w:p>
    <w:p w:rsidR="002C485C" w:rsidRPr="00ED38E9" w:rsidRDefault="002C485C" w:rsidP="002D66F0">
      <w:pPr>
        <w:numPr>
          <w:ilvl w:val="0"/>
          <w:numId w:val="52"/>
        </w:numPr>
        <w:rPr>
          <w:rFonts w:cs="Arial"/>
          <w:noProof w:val="0"/>
          <w:lang w:bidi="ar-SA"/>
        </w:rPr>
      </w:pPr>
      <w:r w:rsidRPr="00ED38E9">
        <w:rPr>
          <w:rFonts w:cs="Arial"/>
          <w:noProof w:val="0"/>
          <w:lang w:bidi="ar-SA"/>
        </w:rPr>
        <w:t xml:space="preserve">Varianta </w:t>
      </w:r>
      <w:r w:rsidR="00671D1B" w:rsidRPr="00ED38E9">
        <w:rPr>
          <w:rFonts w:cs="Arial"/>
          <w:noProof w:val="0"/>
          <w:lang w:bidi="ar-SA"/>
        </w:rPr>
        <w:t>0</w:t>
      </w:r>
    </w:p>
    <w:p w:rsidR="0084001B" w:rsidRPr="00ED38E9" w:rsidRDefault="0084001B" w:rsidP="0084001B">
      <w:pPr>
        <w:spacing w:before="120"/>
        <w:rPr>
          <w:rFonts w:cs="Arial"/>
          <w:noProof w:val="0"/>
          <w:lang w:bidi="ar-SA"/>
        </w:rPr>
      </w:pPr>
      <w:r w:rsidRPr="00ED38E9">
        <w:rPr>
          <w:rFonts w:cs="Arial"/>
          <w:noProof w:val="0"/>
          <w:lang w:bidi="ar-SA"/>
        </w:rPr>
        <w:t>Současný stav ukazuje, že je třeba rozšířit působnost České obchodní inspekce, protože její činnost může vést k</w:t>
      </w:r>
      <w:r w:rsidR="00333557" w:rsidRPr="00ED38E9">
        <w:rPr>
          <w:rFonts w:cs="Arial"/>
          <w:noProof w:val="0"/>
          <w:lang w:bidi="ar-SA"/>
        </w:rPr>
        <w:t> </w:t>
      </w:r>
      <w:r w:rsidRPr="00ED38E9">
        <w:rPr>
          <w:rFonts w:cs="Arial"/>
          <w:noProof w:val="0"/>
          <w:lang w:bidi="ar-SA"/>
        </w:rPr>
        <w:t>lepšímu nakládání s</w:t>
      </w:r>
      <w:r w:rsidR="00333557" w:rsidRPr="00ED38E9">
        <w:rPr>
          <w:rFonts w:cs="Arial"/>
          <w:noProof w:val="0"/>
          <w:lang w:bidi="ar-SA"/>
        </w:rPr>
        <w:t> </w:t>
      </w:r>
      <w:r w:rsidRPr="00ED38E9">
        <w:rPr>
          <w:rFonts w:cs="Arial"/>
          <w:noProof w:val="0"/>
          <w:lang w:bidi="ar-SA"/>
        </w:rPr>
        <w:t xml:space="preserve">odpadem, který určitým způsobem může ohrožovat životní prostředí. </w:t>
      </w:r>
    </w:p>
    <w:p w:rsidR="003D0F3F" w:rsidRPr="00ED38E9" w:rsidRDefault="00C944CF" w:rsidP="007A2E3D">
      <w:pPr>
        <w:pStyle w:val="Nadpis1"/>
      </w:pPr>
      <w:bookmarkStart w:id="305" w:name="_Toc441759970"/>
      <w:bookmarkStart w:id="306" w:name="_Toc441760205"/>
      <w:r w:rsidRPr="00ED38E9">
        <w:t>Souhrn navrhovaných variant</w:t>
      </w:r>
      <w:bookmarkEnd w:id="305"/>
      <w:bookmarkEnd w:id="306"/>
    </w:p>
    <w:p w:rsidR="00C944CF" w:rsidRPr="00ED38E9" w:rsidRDefault="00C944CF" w:rsidP="00C944CF">
      <w:pPr>
        <w:rPr>
          <w:rFonts w:cs="Arial"/>
        </w:rPr>
      </w:pPr>
      <w:r w:rsidRPr="00ED38E9">
        <w:rPr>
          <w:rFonts w:cs="Arial"/>
        </w:rPr>
        <w:t xml:space="preserve">Činnosti dle </w:t>
      </w:r>
      <w:r w:rsidR="00532305" w:rsidRPr="00ED38E9">
        <w:rPr>
          <w:rFonts w:cs="Arial"/>
        </w:rPr>
        <w:t xml:space="preserve">navrhovaného </w:t>
      </w:r>
      <w:r w:rsidRPr="00ED38E9">
        <w:rPr>
          <w:rFonts w:cs="Arial"/>
        </w:rPr>
        <w:t>zákona budou realizovány v</w:t>
      </w:r>
      <w:r w:rsidR="00333557" w:rsidRPr="00ED38E9">
        <w:rPr>
          <w:rFonts w:cs="Arial"/>
        </w:rPr>
        <w:t> </w:t>
      </w:r>
      <w:r w:rsidRPr="00ED38E9">
        <w:rPr>
          <w:rFonts w:cs="Arial"/>
        </w:rPr>
        <w:t>rámci schválených střednědobých výdajových rámců, včetně schválených mzdových prostředků a počtu míst v</w:t>
      </w:r>
      <w:r w:rsidR="00333557" w:rsidRPr="00ED38E9">
        <w:rPr>
          <w:rFonts w:cs="Arial"/>
        </w:rPr>
        <w:t> </w:t>
      </w:r>
      <w:r w:rsidRPr="00ED38E9">
        <w:rPr>
          <w:rFonts w:cs="Arial"/>
        </w:rPr>
        <w:t xml:space="preserve">dotčených kapitolách. Dále bude dle </w:t>
      </w:r>
      <w:r w:rsidR="009C65A0" w:rsidRPr="00ED38E9">
        <w:rPr>
          <w:rFonts w:cs="Arial"/>
        </w:rPr>
        <w:t>u</w:t>
      </w:r>
      <w:r w:rsidRPr="00ED38E9">
        <w:rPr>
          <w:rFonts w:cs="Arial"/>
        </w:rPr>
        <w:t>snesení vlády z</w:t>
      </w:r>
      <w:r w:rsidR="00333557" w:rsidRPr="00ED38E9">
        <w:rPr>
          <w:rFonts w:cs="Arial"/>
        </w:rPr>
        <w:t> </w:t>
      </w:r>
      <w:r w:rsidRPr="00ED38E9">
        <w:rPr>
          <w:rFonts w:cs="Arial"/>
        </w:rPr>
        <w:t xml:space="preserve">13. srpna 2007 </w:t>
      </w:r>
      <w:r w:rsidR="009C65A0" w:rsidRPr="00ED38E9">
        <w:rPr>
          <w:rFonts w:cs="Arial"/>
        </w:rPr>
        <w:t xml:space="preserve">č. 878 </w:t>
      </w:r>
      <w:r w:rsidR="00F94CE8">
        <w:rPr>
          <w:rFonts w:cs="Arial"/>
        </w:rPr>
        <w:t>zaslána informace o </w:t>
      </w:r>
      <w:r w:rsidRPr="00ED38E9">
        <w:rPr>
          <w:rFonts w:cs="Arial"/>
        </w:rPr>
        <w:t>plánovaných čistých nákladech územních samosprávných celků na výkon státní správy dle Metodiky stanovení plánovaných nákladů na výkon státní správy mini</w:t>
      </w:r>
      <w:r w:rsidR="001B3DF2" w:rsidRPr="00ED38E9">
        <w:rPr>
          <w:rFonts w:cs="Arial"/>
        </w:rPr>
        <w:t>stru vnitra u činností nad rámec zákona aktuálního zákona o</w:t>
      </w:r>
      <w:r w:rsidR="009C65A0" w:rsidRPr="00ED38E9">
        <w:rPr>
          <w:rFonts w:cs="Arial"/>
        </w:rPr>
        <w:t> </w:t>
      </w:r>
      <w:r w:rsidR="001B3DF2" w:rsidRPr="00ED38E9">
        <w:rPr>
          <w:rFonts w:cs="Arial"/>
        </w:rPr>
        <w:t>odpadech.</w:t>
      </w:r>
    </w:p>
    <w:p w:rsidR="00324860" w:rsidRPr="00ED38E9" w:rsidRDefault="00324860" w:rsidP="007A2E3D">
      <w:pPr>
        <w:pStyle w:val="Nadpis1"/>
      </w:pPr>
      <w:bookmarkStart w:id="307" w:name="_Toc435094746"/>
      <w:bookmarkStart w:id="308" w:name="_Toc441759971"/>
      <w:bookmarkStart w:id="309" w:name="_Toc441760206"/>
      <w:bookmarkEnd w:id="307"/>
      <w:r w:rsidRPr="00ED38E9">
        <w:lastRenderedPageBreak/>
        <w:t>Implementace doporučené varianty a vynucování</w:t>
      </w:r>
      <w:bookmarkEnd w:id="308"/>
      <w:bookmarkEnd w:id="309"/>
    </w:p>
    <w:p w:rsidR="00ED179C" w:rsidRDefault="00E07F11">
      <w:pPr>
        <w:spacing w:before="100" w:beforeAutospacing="1" w:after="120"/>
        <w:rPr>
          <w:rFonts w:cs="Arial"/>
          <w:b/>
          <w:noProof w:val="0"/>
        </w:rPr>
      </w:pPr>
      <w:r w:rsidRPr="00ED38E9">
        <w:rPr>
          <w:rFonts w:cs="Arial"/>
          <w:b/>
          <w:noProof w:val="0"/>
        </w:rPr>
        <w:t>Elektrická a elektronická zařízení</w:t>
      </w:r>
    </w:p>
    <w:p w:rsidR="00DF0251" w:rsidRPr="00ED38E9" w:rsidRDefault="00DF0251" w:rsidP="000E719F">
      <w:pPr>
        <w:rPr>
          <w:rFonts w:eastAsia="Calibri" w:cs="Arial"/>
          <w:noProof w:val="0"/>
          <w:szCs w:val="22"/>
          <w:lang w:bidi="ar-SA"/>
        </w:rPr>
      </w:pPr>
      <w:r w:rsidRPr="00ED38E9">
        <w:rPr>
          <w:rFonts w:eastAsia="Calibri" w:cs="Arial"/>
          <w:noProof w:val="0"/>
          <w:szCs w:val="22"/>
          <w:lang w:bidi="ar-SA"/>
        </w:rPr>
        <w:t xml:space="preserve">Důležitým faktorem pro úspěšnou implementaci navrhovaných variant, jež by měla pomoci naplnění hlavního cíle, jímž je splnění evropských </w:t>
      </w:r>
      <w:r w:rsidR="0006792F">
        <w:rPr>
          <w:rFonts w:eastAsia="Calibri" w:cs="Arial"/>
          <w:noProof w:val="0"/>
          <w:szCs w:val="22"/>
          <w:lang w:bidi="ar-SA"/>
        </w:rPr>
        <w:t>cílů</w:t>
      </w:r>
      <w:r w:rsidR="0006792F" w:rsidRPr="00ED38E9">
        <w:rPr>
          <w:rFonts w:eastAsia="Calibri" w:cs="Arial"/>
          <w:noProof w:val="0"/>
          <w:szCs w:val="22"/>
          <w:lang w:bidi="ar-SA"/>
        </w:rPr>
        <w:t xml:space="preserve"> </w:t>
      </w:r>
      <w:r w:rsidRPr="00ED38E9">
        <w:rPr>
          <w:rFonts w:eastAsia="Calibri" w:cs="Arial"/>
          <w:noProof w:val="0"/>
          <w:szCs w:val="22"/>
          <w:lang w:bidi="ar-SA"/>
        </w:rPr>
        <w:t>v míře zpětného odběru, je efektivní a</w:t>
      </w:r>
      <w:r w:rsidR="004425E5" w:rsidRPr="00ED38E9">
        <w:rPr>
          <w:rFonts w:eastAsia="Calibri" w:cs="Arial"/>
          <w:noProof w:val="0"/>
          <w:szCs w:val="22"/>
          <w:lang w:bidi="ar-SA"/>
        </w:rPr>
        <w:t> </w:t>
      </w:r>
      <w:r w:rsidRPr="00ED38E9">
        <w:rPr>
          <w:rFonts w:eastAsia="Calibri" w:cs="Arial"/>
          <w:noProof w:val="0"/>
          <w:szCs w:val="22"/>
          <w:lang w:bidi="ar-SA"/>
        </w:rPr>
        <w:t xml:space="preserve">kvalitní výkon kontroly ze </w:t>
      </w:r>
      <w:r w:rsidR="0006792F">
        <w:rPr>
          <w:rFonts w:eastAsia="Calibri" w:cs="Arial"/>
          <w:noProof w:val="0"/>
          <w:szCs w:val="22"/>
          <w:lang w:bidi="ar-SA"/>
        </w:rPr>
        <w:t xml:space="preserve">strany </w:t>
      </w:r>
      <w:r w:rsidRPr="00ED38E9">
        <w:rPr>
          <w:rFonts w:eastAsia="Calibri" w:cs="Arial"/>
          <w:noProof w:val="0"/>
          <w:szCs w:val="22"/>
          <w:lang w:bidi="ar-SA"/>
        </w:rPr>
        <w:t>státní správy (především MŽP). Zlepšení stávajícího kontrolního systému státní správy může představovat dodatečné náklady pro státní správu. Na druhou stranu náklady vynaložené na efektivní kontrolní orgán budou více než převýšeny přímými i</w:t>
      </w:r>
      <w:r w:rsidR="004425E5" w:rsidRPr="00ED38E9">
        <w:rPr>
          <w:rFonts w:eastAsia="Calibri" w:cs="Arial"/>
          <w:noProof w:val="0"/>
          <w:szCs w:val="22"/>
          <w:lang w:bidi="ar-SA"/>
        </w:rPr>
        <w:t> </w:t>
      </w:r>
      <w:r w:rsidRPr="00ED38E9">
        <w:rPr>
          <w:rFonts w:eastAsia="Calibri" w:cs="Arial"/>
          <w:noProof w:val="0"/>
          <w:szCs w:val="22"/>
          <w:lang w:bidi="ar-SA"/>
        </w:rPr>
        <w:t>nepřímými příjmy vycházející</w:t>
      </w:r>
      <w:r w:rsidR="00F05FC7" w:rsidRPr="00ED38E9">
        <w:rPr>
          <w:rFonts w:eastAsia="Calibri" w:cs="Arial"/>
          <w:noProof w:val="0"/>
          <w:szCs w:val="22"/>
          <w:lang w:bidi="ar-SA"/>
        </w:rPr>
        <w:t>mi</w:t>
      </w:r>
      <w:r w:rsidRPr="00ED38E9">
        <w:rPr>
          <w:rFonts w:eastAsia="Calibri" w:cs="Arial"/>
          <w:noProof w:val="0"/>
          <w:szCs w:val="22"/>
          <w:lang w:bidi="ar-SA"/>
        </w:rPr>
        <w:t xml:space="preserve"> z pozitivního efektu na </w:t>
      </w:r>
      <w:r w:rsidR="00B6736D">
        <w:rPr>
          <w:rFonts w:eastAsia="Calibri" w:cs="Arial"/>
          <w:noProof w:val="0"/>
          <w:szCs w:val="22"/>
          <w:lang w:bidi="ar-SA"/>
        </w:rPr>
        <w:t>dosažení</w:t>
      </w:r>
      <w:r w:rsidR="00B6736D" w:rsidRPr="00ED38E9">
        <w:rPr>
          <w:rFonts w:eastAsia="Calibri" w:cs="Arial"/>
          <w:noProof w:val="0"/>
          <w:szCs w:val="22"/>
          <w:lang w:bidi="ar-SA"/>
        </w:rPr>
        <w:t xml:space="preserve"> </w:t>
      </w:r>
      <w:r w:rsidRPr="00ED38E9">
        <w:rPr>
          <w:rFonts w:eastAsia="Calibri" w:cs="Arial"/>
          <w:noProof w:val="0"/>
          <w:szCs w:val="22"/>
          <w:lang w:bidi="ar-SA"/>
        </w:rPr>
        <w:t>míry</w:t>
      </w:r>
      <w:r w:rsidR="009C65A0" w:rsidRPr="00ED38E9">
        <w:rPr>
          <w:rFonts w:eastAsia="Calibri" w:cs="Arial"/>
          <w:noProof w:val="0"/>
          <w:szCs w:val="22"/>
          <w:lang w:bidi="ar-SA"/>
        </w:rPr>
        <w:t xml:space="preserve"> </w:t>
      </w:r>
      <w:r w:rsidRPr="00ED38E9">
        <w:rPr>
          <w:rFonts w:eastAsia="Calibri" w:cs="Arial"/>
          <w:noProof w:val="0"/>
          <w:szCs w:val="22"/>
          <w:lang w:bidi="ar-SA"/>
        </w:rPr>
        <w:t xml:space="preserve">zpětného </w:t>
      </w:r>
      <w:r w:rsidR="009C65A0" w:rsidRPr="00ED38E9">
        <w:rPr>
          <w:rFonts w:eastAsia="Calibri" w:cs="Arial"/>
          <w:noProof w:val="0"/>
          <w:szCs w:val="22"/>
          <w:lang w:bidi="ar-SA"/>
        </w:rPr>
        <w:t>od</w:t>
      </w:r>
      <w:r w:rsidRPr="00ED38E9">
        <w:rPr>
          <w:rFonts w:eastAsia="Calibri" w:cs="Arial"/>
          <w:noProof w:val="0"/>
          <w:szCs w:val="22"/>
          <w:lang w:bidi="ar-SA"/>
        </w:rPr>
        <w:t>běru.</w:t>
      </w:r>
    </w:p>
    <w:p w:rsidR="00DF0251" w:rsidRPr="00ED38E9" w:rsidRDefault="00DF0251" w:rsidP="000E719F">
      <w:pPr>
        <w:rPr>
          <w:rFonts w:eastAsia="Calibri" w:cs="Arial"/>
          <w:noProof w:val="0"/>
          <w:szCs w:val="22"/>
          <w:lang w:bidi="ar-SA"/>
        </w:rPr>
      </w:pPr>
      <w:r w:rsidRPr="00ED38E9">
        <w:rPr>
          <w:rFonts w:eastAsia="Calibri" w:cs="Arial"/>
          <w:noProof w:val="0"/>
          <w:szCs w:val="22"/>
          <w:lang w:bidi="ar-SA"/>
        </w:rPr>
        <w:t xml:space="preserve">Implementaci variant by mělo mít na starosti </w:t>
      </w:r>
      <w:r w:rsidR="00A56310" w:rsidRPr="00ED38E9">
        <w:rPr>
          <w:rFonts w:eastAsia="Calibri" w:cs="Arial"/>
          <w:noProof w:val="0"/>
          <w:szCs w:val="22"/>
          <w:lang w:bidi="ar-SA"/>
        </w:rPr>
        <w:t>MŽP</w:t>
      </w:r>
      <w:r w:rsidRPr="00ED38E9">
        <w:rPr>
          <w:rFonts w:eastAsia="Calibri" w:cs="Arial"/>
          <w:noProof w:val="0"/>
          <w:szCs w:val="22"/>
          <w:lang w:bidi="ar-SA"/>
        </w:rPr>
        <w:t>  ve spolupráci s MPO. V</w:t>
      </w:r>
      <w:r w:rsidR="009C65A0" w:rsidRPr="00ED38E9">
        <w:rPr>
          <w:rFonts w:eastAsia="Calibri" w:cs="Arial"/>
          <w:noProof w:val="0"/>
          <w:szCs w:val="22"/>
          <w:lang w:bidi="ar-SA"/>
        </w:rPr>
        <w:t> </w:t>
      </w:r>
      <w:r w:rsidRPr="00ED38E9">
        <w:rPr>
          <w:rFonts w:eastAsia="Calibri" w:cs="Arial"/>
          <w:noProof w:val="0"/>
          <w:szCs w:val="22"/>
          <w:lang w:bidi="ar-SA"/>
        </w:rPr>
        <w:t>rámci RIA navrhujeme implementaci softwarového systému, který by oprávněným osobám umožnil sledování evidence toků OEEZ. Hlavním cílem tohoto návrhu je zvýšit transparentnost procesu.</w:t>
      </w:r>
    </w:p>
    <w:p w:rsidR="00DF0251" w:rsidRPr="00ED38E9" w:rsidRDefault="00DF0251" w:rsidP="000E719F">
      <w:pPr>
        <w:rPr>
          <w:rFonts w:eastAsia="Calibri" w:cs="Arial"/>
          <w:noProof w:val="0"/>
          <w:szCs w:val="22"/>
          <w:lang w:bidi="ar-SA"/>
        </w:rPr>
      </w:pPr>
      <w:r w:rsidRPr="00ED38E9">
        <w:rPr>
          <w:rFonts w:eastAsia="Calibri" w:cs="Arial"/>
          <w:noProof w:val="0"/>
          <w:szCs w:val="22"/>
          <w:lang w:bidi="ar-SA"/>
        </w:rPr>
        <w:t>Zpracovatel předpokládá, že by zmiňovaný software obsahoval data vložená všemi dotčenými subjekty a umožnil křížově evidovat toky jednotlivých výrobků, potažmo odpadů dle zvoleného režimu. Tato evidence by pak dále sloužila ke kontrole plnění povinností jednotlivými KS a umožňovala by další analýzu, která by sloužila k zefektivňování zpětného odběru. Spolehlivá, jednoznačná a křížově propojitelná data spojená se zpětným odběrem jsou dnes totiž obtížně dostupná.</w:t>
      </w:r>
    </w:p>
    <w:p w:rsidR="00DF0251" w:rsidRPr="00ED38E9" w:rsidRDefault="00DF0251" w:rsidP="000E719F">
      <w:pPr>
        <w:rPr>
          <w:rFonts w:eastAsia="Calibri" w:cs="Arial"/>
          <w:noProof w:val="0"/>
          <w:szCs w:val="22"/>
          <w:lang w:bidi="ar-SA"/>
        </w:rPr>
      </w:pPr>
      <w:r w:rsidRPr="00ED38E9">
        <w:rPr>
          <w:rFonts w:eastAsia="Calibri" w:cs="Arial"/>
          <w:noProof w:val="0"/>
          <w:szCs w:val="22"/>
          <w:lang w:bidi="ar-SA"/>
        </w:rPr>
        <w:t>Zároveň by používání softwaru umožnilo po případném schválení nového zákona  důkladně přezkoumat jeho efektivnost a navrhnout případná další opatření (viz dále navrhované indikátory v kapitole Přezkum účinnosti).</w:t>
      </w:r>
    </w:p>
    <w:p w:rsidR="00DF0251" w:rsidRPr="00ED38E9" w:rsidRDefault="00DF0251" w:rsidP="000E719F">
      <w:pPr>
        <w:rPr>
          <w:rFonts w:eastAsia="Calibri" w:cs="Arial"/>
          <w:noProof w:val="0"/>
          <w:szCs w:val="22"/>
          <w:lang w:bidi="ar-SA"/>
        </w:rPr>
      </w:pPr>
      <w:r w:rsidRPr="00ED38E9">
        <w:rPr>
          <w:rFonts w:eastAsia="Calibri" w:cs="Arial"/>
          <w:noProof w:val="0"/>
          <w:szCs w:val="22"/>
          <w:lang w:bidi="ar-SA"/>
        </w:rPr>
        <w:t xml:space="preserve">Náklady na zavedení a používání softwarového systému by se skládaly </w:t>
      </w:r>
    </w:p>
    <w:p w:rsidR="00DF0251" w:rsidRPr="00ED38E9" w:rsidRDefault="00DF0251" w:rsidP="002D66F0">
      <w:pPr>
        <w:pStyle w:val="Odstavecseseznamem"/>
        <w:numPr>
          <w:ilvl w:val="0"/>
          <w:numId w:val="77"/>
        </w:numPr>
        <w:spacing w:before="120" w:after="120" w:line="240" w:lineRule="auto"/>
        <w:rPr>
          <w:rFonts w:eastAsia="Calibri" w:cs="Arial"/>
          <w:noProof w:val="0"/>
          <w:szCs w:val="22"/>
          <w:lang w:bidi="ar-SA"/>
        </w:rPr>
      </w:pPr>
      <w:r w:rsidRPr="00ED38E9">
        <w:rPr>
          <w:rFonts w:eastAsia="Calibri" w:cs="Arial"/>
          <w:noProof w:val="0"/>
          <w:szCs w:val="22"/>
          <w:lang w:bidi="ar-SA"/>
        </w:rPr>
        <w:t xml:space="preserve">z jednorázových nákladů na nákup příslušného softwaru a počtu potřebných licencí či školení osob, které by se systémem pracovaly; </w:t>
      </w:r>
    </w:p>
    <w:p w:rsidR="00DF0251" w:rsidRPr="00ED38E9" w:rsidRDefault="00DF0251" w:rsidP="002D66F0">
      <w:pPr>
        <w:pStyle w:val="Odstavecseseznamem"/>
        <w:numPr>
          <w:ilvl w:val="0"/>
          <w:numId w:val="77"/>
        </w:numPr>
        <w:spacing w:before="120" w:after="120" w:line="240" w:lineRule="auto"/>
        <w:rPr>
          <w:rFonts w:eastAsia="Calibri" w:cs="Arial"/>
          <w:noProof w:val="0"/>
          <w:szCs w:val="22"/>
          <w:lang w:bidi="ar-SA"/>
        </w:rPr>
      </w:pPr>
      <w:r w:rsidRPr="00ED38E9">
        <w:rPr>
          <w:rFonts w:eastAsia="Calibri" w:cs="Arial"/>
          <w:noProof w:val="0"/>
          <w:szCs w:val="22"/>
          <w:lang w:bidi="ar-SA"/>
        </w:rPr>
        <w:t>administrativních nákladů ve formě pracovního nasazení osob zadávajících do systému potřebná data.</w:t>
      </w:r>
    </w:p>
    <w:p w:rsidR="00DF0251" w:rsidRPr="00ED38E9" w:rsidRDefault="00DF0251" w:rsidP="000E719F">
      <w:pPr>
        <w:rPr>
          <w:rFonts w:eastAsia="Calibri" w:cs="Arial"/>
          <w:noProof w:val="0"/>
          <w:szCs w:val="22"/>
          <w:lang w:bidi="ar-SA"/>
        </w:rPr>
      </w:pPr>
      <w:r w:rsidRPr="00ED38E9">
        <w:rPr>
          <w:rFonts w:eastAsia="Calibri" w:cs="Arial"/>
          <w:noProof w:val="0"/>
          <w:szCs w:val="22"/>
          <w:lang w:bidi="ar-SA"/>
        </w:rPr>
        <w:t>Předpokládáme, že administrativní náročnost tohoto systému by byla velmi nízká, zadavatelé by pouze zadávali data do přednastaveného programu, tj. jednalo by se o několikaminutový úkon. Nejnákladnější položku by tvořil nákup a instalace zmíněného softwaru. Výši nákladů by také ovlivnil fakt, zda by byla využita v současnosti existující a používaná platforma rozšířená a potřebné moduly či by šlo o vývoj nového systému (kam by v případě zavedení zjednodušeného odpadového režimu vkládaly údaje např. svozové společnosti apod. dle zvoleného scénáře).</w:t>
      </w:r>
    </w:p>
    <w:p w:rsidR="00DF0251" w:rsidRPr="00ED38E9" w:rsidRDefault="00DF0251" w:rsidP="000E767E">
      <w:pPr>
        <w:keepNext/>
        <w:widowControl w:val="0"/>
        <w:spacing w:before="120" w:after="120"/>
        <w:rPr>
          <w:rFonts w:eastAsia="Calibri" w:cs="Arial"/>
          <w:b/>
          <w:noProof w:val="0"/>
          <w:szCs w:val="22"/>
          <w:lang w:bidi="ar-SA"/>
        </w:rPr>
      </w:pPr>
      <w:bookmarkStart w:id="310" w:name="_Toc406598344"/>
      <w:r w:rsidRPr="00ED38E9">
        <w:rPr>
          <w:rFonts w:eastAsia="Calibri" w:cs="Arial"/>
          <w:b/>
          <w:noProof w:val="0"/>
          <w:szCs w:val="22"/>
          <w:lang w:bidi="ar-SA"/>
        </w:rPr>
        <w:t>Vynucování</w:t>
      </w:r>
      <w:bookmarkEnd w:id="310"/>
      <w:r w:rsidRPr="00ED38E9">
        <w:rPr>
          <w:rFonts w:eastAsia="Calibri" w:cs="Arial"/>
          <w:b/>
          <w:noProof w:val="0"/>
          <w:szCs w:val="22"/>
          <w:lang w:bidi="ar-SA"/>
        </w:rPr>
        <w:t xml:space="preserve"> </w:t>
      </w:r>
    </w:p>
    <w:p w:rsidR="00DF0251" w:rsidRPr="00ED38E9" w:rsidRDefault="00DF0251" w:rsidP="0002555E">
      <w:pPr>
        <w:widowControl w:val="0"/>
        <w:spacing w:before="120" w:after="120"/>
        <w:rPr>
          <w:rFonts w:eastAsia="Calibri" w:cs="Arial"/>
          <w:noProof w:val="0"/>
          <w:szCs w:val="22"/>
          <w:lang w:bidi="ar-SA"/>
        </w:rPr>
      </w:pPr>
      <w:r w:rsidRPr="00ED38E9">
        <w:rPr>
          <w:rFonts w:eastAsia="Calibri" w:cs="Arial"/>
          <w:noProof w:val="0"/>
          <w:szCs w:val="22"/>
          <w:lang w:bidi="ar-SA"/>
        </w:rPr>
        <w:t>Kontrola plnění povinností dotčenými subjekty (včetně kontroly dálkovými prodejci) je v současnosti dle zákona o odpadech v kompetenci ČIŽP. Většinou ale dochází jen k občasným kontrolám administrativního charakteru, které jsou iniciovány jiným státním orgánem. Za neplnění povinností hrozí nyní subjektům uvalení peněžních sankcí ve</w:t>
      </w:r>
      <w:r w:rsidR="004425E5" w:rsidRPr="00ED38E9">
        <w:rPr>
          <w:rFonts w:eastAsia="Calibri" w:cs="Arial"/>
          <w:noProof w:val="0"/>
          <w:szCs w:val="22"/>
          <w:lang w:bidi="ar-SA"/>
        </w:rPr>
        <w:t> </w:t>
      </w:r>
      <w:r w:rsidRPr="00ED38E9">
        <w:rPr>
          <w:rFonts w:eastAsia="Calibri" w:cs="Arial"/>
          <w:noProof w:val="0"/>
          <w:szCs w:val="22"/>
          <w:lang w:bidi="ar-SA"/>
        </w:rPr>
        <w:t xml:space="preserve">výši do 50 000 000 Kč (v případě recidivy dvojnásobek). Zlepšit právní efektivitu by mohla implementace opatření, které by vedlo ke zrušení nebo pozastavení oprávnění k provozování </w:t>
      </w:r>
      <w:r w:rsidRPr="00ED38E9">
        <w:rPr>
          <w:rFonts w:eastAsia="Calibri" w:cs="Arial"/>
          <w:noProof w:val="0"/>
          <w:szCs w:val="22"/>
          <w:lang w:bidi="ar-SA"/>
        </w:rPr>
        <w:lastRenderedPageBreak/>
        <w:t xml:space="preserve">činnosti KS. To by bylo stejně motivační pro všechny KS bez rozdílu jejich velikosti a </w:t>
      </w:r>
      <w:r w:rsidR="00565240">
        <w:rPr>
          <w:rFonts w:eastAsia="Calibri" w:cs="Arial"/>
          <w:noProof w:val="0"/>
          <w:szCs w:val="22"/>
          <w:lang w:bidi="ar-SA"/>
        </w:rPr>
        <w:t>ode</w:t>
      </w:r>
      <w:r w:rsidR="00565240" w:rsidRPr="00ED38E9">
        <w:rPr>
          <w:rFonts w:eastAsia="Calibri" w:cs="Arial"/>
          <w:noProof w:val="0"/>
          <w:szCs w:val="22"/>
          <w:lang w:bidi="ar-SA"/>
        </w:rPr>
        <w:t xml:space="preserve">bíraných </w:t>
      </w:r>
      <w:r w:rsidRPr="00ED38E9">
        <w:rPr>
          <w:rFonts w:eastAsia="Calibri" w:cs="Arial"/>
          <w:noProof w:val="0"/>
          <w:szCs w:val="22"/>
          <w:lang w:bidi="ar-SA"/>
        </w:rPr>
        <w:t xml:space="preserve">skupin elektrozařízení. </w:t>
      </w:r>
    </w:p>
    <w:p w:rsidR="00DF0251" w:rsidRPr="00ED38E9" w:rsidRDefault="00DF0251" w:rsidP="0002555E">
      <w:pPr>
        <w:keepNext/>
        <w:widowControl w:val="0"/>
        <w:spacing w:before="120" w:after="120"/>
        <w:rPr>
          <w:rFonts w:eastAsia="Calibri" w:cs="Arial"/>
          <w:noProof w:val="0"/>
          <w:szCs w:val="22"/>
          <w:lang w:bidi="ar-SA"/>
        </w:rPr>
      </w:pPr>
      <w:r w:rsidRPr="00ED38E9">
        <w:rPr>
          <w:rFonts w:eastAsia="Calibri" w:cs="Arial"/>
          <w:b/>
          <w:noProof w:val="0"/>
          <w:szCs w:val="22"/>
          <w:lang w:bidi="ar-SA"/>
        </w:rPr>
        <w:t>Zveřejňování informací o KS</w:t>
      </w:r>
    </w:p>
    <w:p w:rsidR="00DF0251" w:rsidRPr="00ED38E9" w:rsidRDefault="00DF0251" w:rsidP="0002555E">
      <w:pPr>
        <w:widowControl w:val="0"/>
        <w:spacing w:before="120" w:after="120"/>
        <w:rPr>
          <w:rFonts w:eastAsia="Calibri" w:cs="Arial"/>
          <w:noProof w:val="0"/>
          <w:szCs w:val="22"/>
          <w:lang w:bidi="ar-SA"/>
        </w:rPr>
      </w:pPr>
      <w:r w:rsidRPr="00ED38E9">
        <w:rPr>
          <w:rFonts w:eastAsia="Calibri" w:cs="Arial"/>
          <w:noProof w:val="0"/>
          <w:szCs w:val="22"/>
          <w:lang w:bidi="ar-SA"/>
        </w:rPr>
        <w:t xml:space="preserve">Jednou z možností ke zvýšení efektivity právní úpravy může být povinné vedení evidencí a povinné audity výsledků činnosti KS a jeho hospodaření, příp. </w:t>
      </w:r>
      <w:r w:rsidR="00E370D3">
        <w:rPr>
          <w:rFonts w:eastAsia="Calibri" w:cs="Arial"/>
          <w:noProof w:val="0"/>
          <w:szCs w:val="22"/>
          <w:lang w:bidi="ar-SA"/>
        </w:rPr>
        <w:t>zasílání</w:t>
      </w:r>
      <w:r w:rsidR="00E370D3" w:rsidRPr="00ED38E9">
        <w:rPr>
          <w:rFonts w:eastAsia="Calibri" w:cs="Arial"/>
          <w:noProof w:val="0"/>
          <w:szCs w:val="22"/>
          <w:lang w:bidi="ar-SA"/>
        </w:rPr>
        <w:t xml:space="preserve"> </w:t>
      </w:r>
      <w:r w:rsidRPr="00ED38E9">
        <w:rPr>
          <w:rFonts w:eastAsia="Calibri" w:cs="Arial"/>
          <w:noProof w:val="0"/>
          <w:szCs w:val="22"/>
          <w:lang w:bidi="ar-SA"/>
        </w:rPr>
        <w:t xml:space="preserve">informací, které MŽP dle zákona nyní nemůže vyžadovat. </w:t>
      </w:r>
      <w:r w:rsidR="00A56310" w:rsidRPr="00ED38E9">
        <w:rPr>
          <w:rFonts w:eastAsia="Calibri" w:cs="Arial"/>
          <w:noProof w:val="0"/>
          <w:szCs w:val="22"/>
          <w:lang w:bidi="ar-SA"/>
        </w:rPr>
        <w:t>MŽP</w:t>
      </w:r>
      <w:r w:rsidRPr="00ED38E9">
        <w:rPr>
          <w:rFonts w:eastAsia="Calibri" w:cs="Arial"/>
          <w:noProof w:val="0"/>
          <w:szCs w:val="22"/>
          <w:lang w:bidi="ar-SA"/>
        </w:rPr>
        <w:t xml:space="preserve"> nyní nemá přehled o tom, jak KS hospodaří, což (uvažujeme-li snahu toto prostředí silně regulovat) může iniciovat zásahy a rozhodnutí, jež povedou ke zhoršení současné situace místo zamýšleného opaku. Z nově povinně poskytovaných dat by pak mohla například vyplynout optimální výše sankcí vedoucí k vyšší motivaci dotčených subjektů k dodržování povinností. </w:t>
      </w:r>
      <w:r w:rsidR="00A56310" w:rsidRPr="00ED38E9">
        <w:rPr>
          <w:rFonts w:eastAsia="Calibri" w:cs="Arial"/>
          <w:noProof w:val="0"/>
          <w:szCs w:val="22"/>
          <w:lang w:bidi="ar-SA"/>
        </w:rPr>
        <w:t>MŽP</w:t>
      </w:r>
      <w:r w:rsidRPr="00ED38E9">
        <w:rPr>
          <w:rFonts w:eastAsia="Calibri" w:cs="Arial"/>
          <w:noProof w:val="0"/>
          <w:szCs w:val="22"/>
          <w:lang w:bidi="ar-SA"/>
        </w:rPr>
        <w:t xml:space="preserve"> by tak rovněž mohlo mít v ruce nástroj, díky kterému by mohlo kontrolovat počet výrobků </w:t>
      </w:r>
      <w:r w:rsidR="00E370D3">
        <w:rPr>
          <w:rFonts w:eastAsia="Calibri" w:cs="Arial"/>
          <w:noProof w:val="0"/>
          <w:szCs w:val="22"/>
          <w:lang w:bidi="ar-SA"/>
        </w:rPr>
        <w:t xml:space="preserve">s ukončenou životností </w:t>
      </w:r>
      <w:r w:rsidRPr="00ED38E9">
        <w:rPr>
          <w:rFonts w:eastAsia="Calibri" w:cs="Arial"/>
          <w:noProof w:val="0"/>
          <w:szCs w:val="22"/>
          <w:lang w:bidi="ar-SA"/>
        </w:rPr>
        <w:t xml:space="preserve">svezených ze sběrných míst a počet </w:t>
      </w:r>
      <w:r w:rsidR="00E370D3">
        <w:rPr>
          <w:rFonts w:eastAsia="Calibri" w:cs="Arial"/>
          <w:noProof w:val="0"/>
          <w:szCs w:val="22"/>
          <w:lang w:bidi="ar-SA"/>
        </w:rPr>
        <w:t xml:space="preserve">těchto </w:t>
      </w:r>
      <w:r w:rsidRPr="00ED38E9">
        <w:rPr>
          <w:rFonts w:eastAsia="Calibri" w:cs="Arial"/>
          <w:noProof w:val="0"/>
          <w:szCs w:val="22"/>
          <w:lang w:bidi="ar-SA"/>
        </w:rPr>
        <w:t xml:space="preserve">výrobků přijatých ke zpracování dle jednotlivých KS – tj. získalo by křížovou evidenci vedoucí ke kontrole poskytovaných dat. Pokud by došlo k nesouladu, zahájilo by </w:t>
      </w:r>
      <w:r w:rsidR="00A56310" w:rsidRPr="00ED38E9">
        <w:rPr>
          <w:rFonts w:eastAsia="Calibri" w:cs="Arial"/>
          <w:noProof w:val="0"/>
          <w:szCs w:val="22"/>
          <w:lang w:bidi="ar-SA"/>
        </w:rPr>
        <w:t>MŽP</w:t>
      </w:r>
      <w:r w:rsidRPr="00ED38E9">
        <w:rPr>
          <w:rFonts w:eastAsia="Calibri" w:cs="Arial"/>
          <w:noProof w:val="0"/>
          <w:szCs w:val="22"/>
          <w:lang w:bidi="ar-SA"/>
        </w:rPr>
        <w:t xml:space="preserve"> okamžitě šetření. Výhodou tohoto řešení je jeho finanční nenáročnost, kdy by se jediná změna týkala zpracovatelů, jež by museli evidovat hmotnost výrobků přijatých ke zpracování od jednotlivých KS. Podmínkou funkčnosti tohoto řešení je kvalifikovanost úředníků MŽP taková data zpracovat a vyhodnotit.</w:t>
      </w:r>
    </w:p>
    <w:p w:rsidR="00DF0251" w:rsidRPr="00ED38E9" w:rsidRDefault="00DF0251" w:rsidP="0002555E">
      <w:pPr>
        <w:keepNext/>
        <w:widowControl w:val="0"/>
        <w:spacing w:before="120" w:after="120"/>
        <w:rPr>
          <w:rFonts w:eastAsia="Calibri" w:cs="Arial"/>
          <w:b/>
          <w:noProof w:val="0"/>
          <w:szCs w:val="22"/>
          <w:lang w:bidi="ar-SA"/>
        </w:rPr>
      </w:pPr>
      <w:r w:rsidRPr="00ED38E9">
        <w:rPr>
          <w:rFonts w:eastAsia="Calibri" w:cs="Arial"/>
          <w:b/>
          <w:noProof w:val="0"/>
          <w:szCs w:val="22"/>
          <w:lang w:bidi="ar-SA"/>
        </w:rPr>
        <w:t>Povinný audit</w:t>
      </w:r>
    </w:p>
    <w:p w:rsidR="00DF0251" w:rsidRPr="00ED38E9" w:rsidRDefault="00DF0251" w:rsidP="0002555E">
      <w:pPr>
        <w:widowControl w:val="0"/>
        <w:spacing w:before="120" w:after="120"/>
        <w:rPr>
          <w:rFonts w:eastAsia="Calibri" w:cs="Arial"/>
          <w:noProof w:val="0"/>
          <w:szCs w:val="22"/>
          <w:lang w:bidi="ar-SA"/>
        </w:rPr>
      </w:pPr>
      <w:r w:rsidRPr="00ED38E9">
        <w:rPr>
          <w:rFonts w:eastAsia="Calibri" w:cs="Arial"/>
          <w:noProof w:val="0"/>
          <w:szCs w:val="22"/>
          <w:lang w:bidi="ar-SA"/>
        </w:rPr>
        <w:t>Kolektivní systémy mohou auditovat své výrobce, zpracovatele a svozové společnosti. KS zkoumá, zda zpracovatel splňuje všechny požadavky dané smlouvou i zákonem</w:t>
      </w:r>
      <w:r w:rsidR="00B6736D">
        <w:rPr>
          <w:rFonts w:eastAsia="Calibri" w:cs="Arial"/>
          <w:noProof w:val="0"/>
          <w:szCs w:val="22"/>
          <w:lang w:bidi="ar-SA"/>
        </w:rPr>
        <w:t>,</w:t>
      </w:r>
      <w:r w:rsidRPr="00ED38E9">
        <w:rPr>
          <w:rFonts w:eastAsia="Calibri" w:cs="Arial"/>
          <w:noProof w:val="0"/>
          <w:szCs w:val="22"/>
          <w:lang w:bidi="ar-SA"/>
        </w:rPr>
        <w:t xml:space="preserve"> především zda souhlasí skutečná množství zpracovaných výrobků</w:t>
      </w:r>
      <w:r w:rsidR="00E370D3" w:rsidRPr="00E370D3">
        <w:rPr>
          <w:rFonts w:eastAsia="Calibri" w:cs="Arial"/>
          <w:noProof w:val="0"/>
          <w:szCs w:val="22"/>
          <w:lang w:bidi="ar-SA"/>
        </w:rPr>
        <w:t xml:space="preserve"> </w:t>
      </w:r>
      <w:r w:rsidR="00E370D3">
        <w:rPr>
          <w:rFonts w:eastAsia="Calibri" w:cs="Arial"/>
          <w:noProof w:val="0"/>
          <w:szCs w:val="22"/>
          <w:lang w:bidi="ar-SA"/>
        </w:rPr>
        <w:t>s ukončenou životností</w:t>
      </w:r>
      <w:r w:rsidRPr="00ED38E9">
        <w:rPr>
          <w:rFonts w:eastAsia="Calibri" w:cs="Arial"/>
          <w:noProof w:val="0"/>
          <w:szCs w:val="22"/>
          <w:lang w:bidi="ar-SA"/>
        </w:rPr>
        <w:t xml:space="preserve"> s</w:t>
      </w:r>
      <w:r w:rsidR="00B6736D">
        <w:rPr>
          <w:rFonts w:eastAsia="Calibri" w:cs="Arial"/>
          <w:noProof w:val="0"/>
          <w:szCs w:val="22"/>
          <w:lang w:bidi="ar-SA"/>
        </w:rPr>
        <w:t> </w:t>
      </w:r>
      <w:r w:rsidRPr="00ED38E9">
        <w:rPr>
          <w:rFonts w:eastAsia="Calibri" w:cs="Arial"/>
          <w:noProof w:val="0"/>
          <w:szCs w:val="22"/>
          <w:lang w:bidi="ar-SA"/>
        </w:rPr>
        <w:t>reportovanými</w:t>
      </w:r>
      <w:r w:rsidR="00B6736D">
        <w:rPr>
          <w:rFonts w:eastAsia="Calibri" w:cs="Arial"/>
          <w:noProof w:val="0"/>
          <w:szCs w:val="22"/>
          <w:lang w:bidi="ar-SA"/>
        </w:rPr>
        <w:t>,</w:t>
      </w:r>
      <w:r w:rsidRPr="00ED38E9">
        <w:rPr>
          <w:rFonts w:eastAsia="Calibri" w:cs="Arial"/>
          <w:noProof w:val="0"/>
          <w:szCs w:val="22"/>
          <w:lang w:bidi="ar-SA"/>
        </w:rPr>
        <w:t xml:space="preserve"> a kvalitu zpracování. Obdobně KS  kontroluje, zda svozové společnosti dodržují zákonné a smluvní povinnosti a zda skutečný počet svezených kusů odpovídá počtu deklarované</w:t>
      </w:r>
      <w:r w:rsidR="008948EE">
        <w:rPr>
          <w:rFonts w:eastAsia="Calibri" w:cs="Arial"/>
          <w:noProof w:val="0"/>
          <w:szCs w:val="22"/>
          <w:lang w:bidi="ar-SA"/>
        </w:rPr>
        <w:t>mu</w:t>
      </w:r>
      <w:r w:rsidRPr="00ED38E9">
        <w:rPr>
          <w:rFonts w:eastAsia="Calibri" w:cs="Arial"/>
          <w:noProof w:val="0"/>
          <w:szCs w:val="22"/>
          <w:lang w:bidi="ar-SA"/>
        </w:rPr>
        <w:t xml:space="preserve"> svozovou společností. Kvůli plnění cílo</w:t>
      </w:r>
      <w:r w:rsidR="00F94CE8">
        <w:rPr>
          <w:rFonts w:eastAsia="Calibri" w:cs="Arial"/>
          <w:noProof w:val="0"/>
          <w:szCs w:val="22"/>
          <w:lang w:bidi="ar-SA"/>
        </w:rPr>
        <w:t>vých kvót by měl KS auditovat i </w:t>
      </w:r>
      <w:r w:rsidRPr="00ED38E9">
        <w:rPr>
          <w:rFonts w:eastAsia="Calibri" w:cs="Arial"/>
          <w:noProof w:val="0"/>
          <w:szCs w:val="22"/>
          <w:lang w:bidi="ar-SA"/>
        </w:rPr>
        <w:t>výrobce elektrozařízení, tj. ověřovat správnost údajů o počtu výrobků uvedených výrobcem na trh. Aby stát mohl čerpat z informací pocházejících z povinných auditů KS, musí zároveň dojít ke standardizaci těchto auditů. Výsledná čísla by tak byla navzájem porovnatelná a byla by zaručena jistá kvalita zpracování auditu.</w:t>
      </w:r>
    </w:p>
    <w:p w:rsidR="00DF0251" w:rsidRPr="00ED38E9" w:rsidRDefault="00DF0251" w:rsidP="000E719F">
      <w:pPr>
        <w:pStyle w:val="Titulek"/>
        <w:rPr>
          <w:rFonts w:cs="Arial"/>
        </w:rPr>
      </w:pPr>
      <w:r w:rsidRPr="00ED38E9">
        <w:rPr>
          <w:rFonts w:cs="Arial"/>
        </w:rPr>
        <w:lastRenderedPageBreak/>
        <w:t>Obrázek 7: Audit kolektivního systému</w:t>
      </w:r>
    </w:p>
    <w:p w:rsidR="00DF0251" w:rsidRPr="00ED38E9" w:rsidRDefault="00DF0251" w:rsidP="00DF0251">
      <w:pPr>
        <w:keepNext/>
        <w:widowControl w:val="0"/>
        <w:spacing w:before="120" w:after="120"/>
        <w:jc w:val="center"/>
        <w:rPr>
          <w:rFonts w:eastAsia="Calibri" w:cs="Arial"/>
          <w:noProof w:val="0"/>
          <w:szCs w:val="22"/>
          <w:lang w:bidi="ar-SA"/>
        </w:rPr>
      </w:pPr>
      <w:r w:rsidRPr="00ED38E9">
        <w:rPr>
          <w:rFonts w:eastAsia="Calibri" w:cs="Arial"/>
          <w:szCs w:val="22"/>
          <w:lang w:eastAsia="cs-CZ" w:bidi="ar-SA"/>
        </w:rPr>
        <w:drawing>
          <wp:inline distT="0" distB="0" distL="0" distR="0" wp14:anchorId="6C6AFA57" wp14:editId="5F12C39B">
            <wp:extent cx="4533900" cy="2896856"/>
            <wp:effectExtent l="19050" t="19050" r="19050" b="18415"/>
            <wp:docPr id="3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srcRect/>
                    <a:stretch>
                      <a:fillRect/>
                    </a:stretch>
                  </pic:blipFill>
                  <pic:spPr bwMode="auto">
                    <a:xfrm>
                      <a:off x="0" y="0"/>
                      <a:ext cx="4542155" cy="2902130"/>
                    </a:xfrm>
                    <a:prstGeom prst="rect">
                      <a:avLst/>
                    </a:prstGeom>
                    <a:noFill/>
                    <a:ln w="9525">
                      <a:solidFill>
                        <a:sysClr val="windowText" lastClr="000000"/>
                      </a:solidFill>
                      <a:miter lim="800000"/>
                      <a:headEnd/>
                      <a:tailEnd/>
                    </a:ln>
                  </pic:spPr>
                </pic:pic>
              </a:graphicData>
            </a:graphic>
          </wp:inline>
        </w:drawing>
      </w:r>
    </w:p>
    <w:p w:rsidR="00DF0251" w:rsidRPr="00ED38E9" w:rsidRDefault="00DF0251" w:rsidP="00434A2F">
      <w:pPr>
        <w:rPr>
          <w:rFonts w:cs="Arial"/>
        </w:rPr>
      </w:pPr>
      <w:r w:rsidRPr="00ED38E9">
        <w:rPr>
          <w:rFonts w:cs="Arial"/>
        </w:rPr>
        <w:t>Zdroj: EEIP, a.s.</w:t>
      </w:r>
    </w:p>
    <w:p w:rsidR="00DF0251" w:rsidRPr="00ED38E9" w:rsidRDefault="00DF0251" w:rsidP="0002555E">
      <w:pPr>
        <w:widowControl w:val="0"/>
        <w:spacing w:before="120" w:after="120"/>
        <w:rPr>
          <w:rFonts w:eastAsia="Calibri" w:cs="Arial"/>
          <w:noProof w:val="0"/>
          <w:szCs w:val="22"/>
          <w:lang w:bidi="ar-SA"/>
        </w:rPr>
      </w:pPr>
      <w:r w:rsidRPr="00ED38E9">
        <w:rPr>
          <w:rFonts w:eastAsia="Calibri" w:cs="Arial"/>
          <w:noProof w:val="0"/>
          <w:szCs w:val="22"/>
          <w:lang w:bidi="ar-SA"/>
        </w:rPr>
        <w:t>V budoucnu by bylo možné rovněž zavést povinnou certifikaci zpracovatelů (např. CENELEC), která by částečně nahradila audit zpracovatelů. V průběhu let bude totiž pravděpodobně docházet k navyšování požadavků na efektivitu zpracování a certifikace by mohla KS výrazně ulehčit výběr efektivních zpracovatelů a zvýšila by rivalitu mezi zpracovateli. Na druhou stranu by výrazně stouply náklady zpracovatelů, jejichž výše je odhadována mezi 100 až 150 tis. Kč za produktovou linku (krátkodobý horizont). Je tedy otázkou, jak by k tomuto řešení zpracovatelské firmy přistoupily.</w:t>
      </w:r>
    </w:p>
    <w:p w:rsidR="00DF0251" w:rsidRPr="00ED38E9" w:rsidRDefault="00DF0251" w:rsidP="0002555E">
      <w:pPr>
        <w:keepNext/>
        <w:widowControl w:val="0"/>
        <w:spacing w:before="120" w:after="120"/>
        <w:rPr>
          <w:rFonts w:eastAsia="Calibri" w:cs="Arial"/>
          <w:b/>
          <w:noProof w:val="0"/>
          <w:szCs w:val="22"/>
          <w:lang w:bidi="ar-SA"/>
        </w:rPr>
      </w:pPr>
      <w:r w:rsidRPr="00ED38E9">
        <w:rPr>
          <w:rFonts w:eastAsia="Calibri" w:cs="Arial"/>
          <w:b/>
          <w:noProof w:val="0"/>
          <w:szCs w:val="22"/>
          <w:lang w:bidi="ar-SA"/>
        </w:rPr>
        <w:t>Informace o financování kolektivního systému</w:t>
      </w:r>
    </w:p>
    <w:p w:rsidR="00DF0251" w:rsidRPr="00ED38E9" w:rsidRDefault="00DF0251" w:rsidP="0002555E">
      <w:pPr>
        <w:widowControl w:val="0"/>
        <w:spacing w:before="120" w:after="120"/>
        <w:rPr>
          <w:rFonts w:eastAsia="Calibri" w:cs="Arial"/>
          <w:noProof w:val="0"/>
          <w:szCs w:val="22"/>
          <w:lang w:bidi="ar-SA"/>
        </w:rPr>
      </w:pPr>
      <w:r w:rsidRPr="00ED38E9">
        <w:rPr>
          <w:rFonts w:eastAsia="Calibri" w:cs="Arial"/>
          <w:noProof w:val="0"/>
          <w:szCs w:val="22"/>
          <w:lang w:bidi="ar-SA"/>
        </w:rPr>
        <w:t>Lepší kontrolu ze strany státu by mohla přinést i povinnost KS zasílat státu své podrobné finanční výkazy (a to ve formě oddělující náklady na jednotlivé činnosti systému – osvěta, zpětný odběr, využití, administrativní náklady). Stát by pak získal přehled o stavu financování jednotlivých KS.</w:t>
      </w:r>
    </w:p>
    <w:p w:rsidR="00111F8B" w:rsidRPr="00ED38E9" w:rsidRDefault="00111F8B" w:rsidP="00111F8B">
      <w:pPr>
        <w:spacing w:before="100" w:beforeAutospacing="1"/>
        <w:rPr>
          <w:rFonts w:cs="Arial"/>
          <w:b/>
          <w:noProof w:val="0"/>
        </w:rPr>
      </w:pPr>
      <w:r w:rsidRPr="00ED38E9">
        <w:rPr>
          <w:rFonts w:cs="Arial"/>
          <w:b/>
          <w:noProof w:val="0"/>
        </w:rPr>
        <w:t>Baterie a akumulátory, odpadní pneumatiky, vozidla s</w:t>
      </w:r>
      <w:r w:rsidR="00333557" w:rsidRPr="00ED38E9">
        <w:rPr>
          <w:rFonts w:cs="Arial"/>
          <w:b/>
          <w:noProof w:val="0"/>
        </w:rPr>
        <w:t> </w:t>
      </w:r>
      <w:r w:rsidR="00012208" w:rsidRPr="00ED38E9">
        <w:rPr>
          <w:rFonts w:cs="Arial"/>
          <w:b/>
          <w:noProof w:val="0"/>
        </w:rPr>
        <w:t>ukončenou životností a</w:t>
      </w:r>
      <w:r w:rsidRPr="00ED38E9">
        <w:rPr>
          <w:rFonts w:cs="Arial"/>
          <w:b/>
          <w:noProof w:val="0"/>
        </w:rPr>
        <w:t xml:space="preserve"> ostatní</w:t>
      </w:r>
      <w:r w:rsidR="00012208" w:rsidRPr="00ED38E9">
        <w:rPr>
          <w:rFonts w:cs="Arial"/>
          <w:b/>
          <w:noProof w:val="0"/>
        </w:rPr>
        <w:t xml:space="preserve"> navrhovaná opatření</w:t>
      </w:r>
    </w:p>
    <w:p w:rsidR="00324860" w:rsidRPr="00ED38E9" w:rsidRDefault="00324860" w:rsidP="00324860">
      <w:pPr>
        <w:rPr>
          <w:rFonts w:cs="Arial"/>
        </w:rPr>
      </w:pPr>
      <w:r w:rsidRPr="00ED38E9">
        <w:rPr>
          <w:rFonts w:cs="Arial"/>
        </w:rPr>
        <w:t>Orgánem odpovědným za implementaci navrhované právní úpravy je Ministerstvo životního prostředí.</w:t>
      </w:r>
    </w:p>
    <w:p w:rsidR="00324860" w:rsidRPr="00ED38E9" w:rsidRDefault="00324860" w:rsidP="00324860">
      <w:pPr>
        <w:rPr>
          <w:rFonts w:cs="Arial"/>
        </w:rPr>
      </w:pPr>
      <w:r w:rsidRPr="00ED38E9">
        <w:rPr>
          <w:rFonts w:cs="Arial"/>
        </w:rPr>
        <w:t xml:space="preserve">Dalšími orgány veřejné správy, které dohlížejí nad dodržováním povinností vyplývajících ze zákona o </w:t>
      </w:r>
      <w:r w:rsidR="00BE2D4A" w:rsidRPr="00ED38E9">
        <w:rPr>
          <w:rFonts w:cs="Arial"/>
        </w:rPr>
        <w:t>výrobcích s</w:t>
      </w:r>
      <w:r w:rsidR="00333557" w:rsidRPr="00ED38E9">
        <w:rPr>
          <w:rFonts w:cs="Arial"/>
        </w:rPr>
        <w:t> </w:t>
      </w:r>
      <w:r w:rsidR="00BE2D4A" w:rsidRPr="00ED38E9">
        <w:rPr>
          <w:rFonts w:cs="Arial"/>
        </w:rPr>
        <w:t>ukončenou životností</w:t>
      </w:r>
      <w:r w:rsidRPr="00ED38E9">
        <w:rPr>
          <w:rFonts w:cs="Arial"/>
        </w:rPr>
        <w:t>, jsou obecní úřady obcí s</w:t>
      </w:r>
      <w:r w:rsidR="00333557" w:rsidRPr="00ED38E9">
        <w:rPr>
          <w:rFonts w:cs="Arial"/>
        </w:rPr>
        <w:t> </w:t>
      </w:r>
      <w:r w:rsidRPr="00ED38E9">
        <w:rPr>
          <w:rFonts w:cs="Arial"/>
        </w:rPr>
        <w:t>rozšířenou působností, krajské úřady</w:t>
      </w:r>
      <w:r w:rsidR="00CF7F7D">
        <w:rPr>
          <w:rFonts w:cs="Arial"/>
        </w:rPr>
        <w:t>, celní úřady,</w:t>
      </w:r>
      <w:r w:rsidRPr="00ED38E9">
        <w:rPr>
          <w:rFonts w:cs="Arial"/>
        </w:rPr>
        <w:t xml:space="preserve"> Česká inspekce životního prostředí</w:t>
      </w:r>
      <w:r w:rsidR="00CF7F7D">
        <w:rPr>
          <w:rFonts w:cs="Arial"/>
        </w:rPr>
        <w:t xml:space="preserve"> a Česká obchodní inspekce</w:t>
      </w:r>
      <w:r w:rsidRPr="00ED38E9">
        <w:rPr>
          <w:rFonts w:cs="Arial"/>
        </w:rPr>
        <w:t>.</w:t>
      </w:r>
    </w:p>
    <w:p w:rsidR="00324860" w:rsidRPr="00ED38E9" w:rsidRDefault="00324860" w:rsidP="00324860">
      <w:pPr>
        <w:rPr>
          <w:rFonts w:cs="Arial"/>
        </w:rPr>
      </w:pPr>
      <w:r w:rsidRPr="00ED38E9">
        <w:rPr>
          <w:rFonts w:cs="Arial"/>
        </w:rPr>
        <w:t xml:space="preserve">Vynucování zákonem stanovených povinností prostřednictvím pokut, případně i pomocí opatření ke zjednání nápravy, zajišťuje především Česká inspekce životního prostředí </w:t>
      </w:r>
      <w:r w:rsidR="00CF7F7D">
        <w:rPr>
          <w:rFonts w:cs="Arial"/>
        </w:rPr>
        <w:t>a Česká obchodní inspekce</w:t>
      </w:r>
      <w:r w:rsidR="00CF7F7D" w:rsidRPr="00ED38E9">
        <w:rPr>
          <w:rFonts w:cs="Arial"/>
        </w:rPr>
        <w:t xml:space="preserve"> </w:t>
      </w:r>
      <w:r w:rsidRPr="00ED38E9">
        <w:rPr>
          <w:rFonts w:cs="Arial"/>
        </w:rPr>
        <w:t>a v</w:t>
      </w:r>
      <w:r w:rsidR="00333557" w:rsidRPr="00ED38E9">
        <w:rPr>
          <w:rFonts w:cs="Arial"/>
        </w:rPr>
        <w:t> </w:t>
      </w:r>
      <w:r w:rsidRPr="00ED38E9">
        <w:rPr>
          <w:rFonts w:cs="Arial"/>
        </w:rPr>
        <w:t>případech</w:t>
      </w:r>
      <w:r w:rsidR="00CF7F7D">
        <w:rPr>
          <w:rFonts w:cs="Arial"/>
        </w:rPr>
        <w:t xml:space="preserve"> porušení povinností nepodnikajícími fyzickými osobami</w:t>
      </w:r>
      <w:r w:rsidRPr="00ED38E9">
        <w:rPr>
          <w:rFonts w:cs="Arial"/>
        </w:rPr>
        <w:t xml:space="preserve"> obecní úřady obcí s</w:t>
      </w:r>
      <w:r w:rsidR="00333557" w:rsidRPr="00ED38E9">
        <w:rPr>
          <w:rFonts w:cs="Arial"/>
        </w:rPr>
        <w:t> </w:t>
      </w:r>
      <w:r w:rsidRPr="00ED38E9">
        <w:rPr>
          <w:rFonts w:cs="Arial"/>
        </w:rPr>
        <w:t>rozšířenou působností.</w:t>
      </w:r>
    </w:p>
    <w:p w:rsidR="00324860" w:rsidRPr="00ED38E9" w:rsidRDefault="00324860" w:rsidP="00324860">
      <w:pPr>
        <w:rPr>
          <w:rFonts w:cs="Arial"/>
        </w:rPr>
      </w:pPr>
      <w:r w:rsidRPr="00ED38E9">
        <w:rPr>
          <w:rFonts w:cs="Arial"/>
        </w:rPr>
        <w:lastRenderedPageBreak/>
        <w:t>Navrhovaná právní</w:t>
      </w:r>
      <w:r w:rsidR="00BD251B" w:rsidRPr="00ED38E9">
        <w:rPr>
          <w:rFonts w:cs="Arial"/>
        </w:rPr>
        <w:t xml:space="preserve"> úprava</w:t>
      </w:r>
      <w:r w:rsidRPr="00ED38E9">
        <w:rPr>
          <w:rFonts w:cs="Arial"/>
        </w:rPr>
        <w:t xml:space="preserve"> přináší subjektům </w:t>
      </w:r>
      <w:r w:rsidR="00BE2D4A" w:rsidRPr="00ED38E9">
        <w:rPr>
          <w:rFonts w:cs="Arial"/>
        </w:rPr>
        <w:t>i</w:t>
      </w:r>
      <w:r w:rsidRPr="00ED38E9">
        <w:rPr>
          <w:rFonts w:cs="Arial"/>
        </w:rPr>
        <w:t xml:space="preserve"> zcela nové povinnosti</w:t>
      </w:r>
      <w:r w:rsidR="00BE2D4A" w:rsidRPr="00ED38E9">
        <w:rPr>
          <w:rFonts w:cs="Arial"/>
        </w:rPr>
        <w:t xml:space="preserve"> a</w:t>
      </w:r>
      <w:r w:rsidRPr="00ED38E9">
        <w:rPr>
          <w:rFonts w:cs="Arial"/>
        </w:rPr>
        <w:t xml:space="preserve"> v</w:t>
      </w:r>
      <w:r w:rsidR="00333557" w:rsidRPr="00ED38E9">
        <w:rPr>
          <w:rFonts w:cs="Arial"/>
        </w:rPr>
        <w:t> </w:t>
      </w:r>
      <w:r w:rsidRPr="00ED38E9">
        <w:rPr>
          <w:rFonts w:cs="Arial"/>
        </w:rPr>
        <w:t xml:space="preserve">některých případech upravuje ty stávající. </w:t>
      </w:r>
      <w:r w:rsidR="00CF7F7D">
        <w:rPr>
          <w:rFonts w:cs="Arial"/>
        </w:rPr>
        <w:t>K</w:t>
      </w:r>
      <w:r w:rsidR="00CF7F7D" w:rsidRPr="00ED38E9">
        <w:rPr>
          <w:rFonts w:cs="Arial"/>
        </w:rPr>
        <w:t xml:space="preserve"> </w:t>
      </w:r>
      <w:r w:rsidRPr="00ED38E9">
        <w:rPr>
          <w:rFonts w:cs="Arial"/>
        </w:rPr>
        <w:t xml:space="preserve">zajištění dodržování právní úpravy ze strany regulovaných subjektů </w:t>
      </w:r>
      <w:r w:rsidR="00012208" w:rsidRPr="00ED38E9">
        <w:rPr>
          <w:rFonts w:cs="Arial"/>
        </w:rPr>
        <w:t>bude</w:t>
      </w:r>
      <w:r w:rsidRPr="00ED38E9">
        <w:rPr>
          <w:rFonts w:cs="Arial"/>
        </w:rPr>
        <w:t xml:space="preserve"> možno využít možnost</w:t>
      </w:r>
      <w:r w:rsidR="00012208" w:rsidRPr="00ED38E9">
        <w:rPr>
          <w:rFonts w:cs="Arial"/>
        </w:rPr>
        <w:t>i</w:t>
      </w:r>
      <w:r w:rsidRPr="00ED38E9">
        <w:rPr>
          <w:rFonts w:cs="Arial"/>
        </w:rPr>
        <w:t xml:space="preserve"> sankcionování </w:t>
      </w:r>
      <w:r w:rsidR="00CF7F7D">
        <w:rPr>
          <w:rFonts w:cs="Arial"/>
        </w:rPr>
        <w:t>v</w:t>
      </w:r>
      <w:r w:rsidRPr="00ED38E9">
        <w:rPr>
          <w:rFonts w:cs="Arial"/>
        </w:rPr>
        <w:t xml:space="preserve"> případ</w:t>
      </w:r>
      <w:r w:rsidR="00CF7F7D">
        <w:rPr>
          <w:rFonts w:cs="Arial"/>
        </w:rPr>
        <w:t>ě</w:t>
      </w:r>
      <w:r w:rsidRPr="00ED38E9">
        <w:rPr>
          <w:rFonts w:cs="Arial"/>
        </w:rPr>
        <w:t xml:space="preserve"> nedodržování stanovených povinností na základě skutkových podstat</w:t>
      </w:r>
      <w:r w:rsidR="0002555E" w:rsidRPr="00ED38E9">
        <w:rPr>
          <w:rFonts w:cs="Arial"/>
        </w:rPr>
        <w:t xml:space="preserve"> </w:t>
      </w:r>
      <w:r w:rsidR="00CF7F7D">
        <w:rPr>
          <w:rFonts w:cs="Arial"/>
        </w:rPr>
        <w:t>přestupků</w:t>
      </w:r>
      <w:r w:rsidRPr="00ED38E9">
        <w:rPr>
          <w:rFonts w:cs="Arial"/>
        </w:rPr>
        <w:t>.</w:t>
      </w:r>
    </w:p>
    <w:p w:rsidR="00324860" w:rsidRPr="00ED38E9" w:rsidRDefault="00324860" w:rsidP="007A2E3D">
      <w:pPr>
        <w:pStyle w:val="Nadpis1"/>
      </w:pPr>
      <w:bookmarkStart w:id="311" w:name="_Toc441759972"/>
      <w:bookmarkStart w:id="312" w:name="_Toc441760207"/>
      <w:r w:rsidRPr="00ED38E9">
        <w:t>Přezkum účinnosti regulace</w:t>
      </w:r>
      <w:bookmarkEnd w:id="311"/>
      <w:bookmarkEnd w:id="312"/>
    </w:p>
    <w:p w:rsidR="0098437A" w:rsidRPr="00ED38E9" w:rsidRDefault="00324860" w:rsidP="00252610">
      <w:pPr>
        <w:rPr>
          <w:rFonts w:cs="Arial"/>
        </w:rPr>
      </w:pPr>
      <w:r w:rsidRPr="00ED38E9">
        <w:rPr>
          <w:rFonts w:cs="Arial"/>
        </w:rPr>
        <w:t>Přezkum účinnosti regulace provede Ministerstvo životního prostředí v</w:t>
      </w:r>
      <w:r w:rsidR="00333557" w:rsidRPr="00ED38E9">
        <w:rPr>
          <w:rFonts w:cs="Arial"/>
        </w:rPr>
        <w:t> </w:t>
      </w:r>
      <w:r w:rsidRPr="00ED38E9">
        <w:rPr>
          <w:rFonts w:cs="Arial"/>
        </w:rPr>
        <w:t>rámci zpětné vazby metodické činnosti vůči nižším orgánům veřejné správy, a to do tří let ode dne účinnosti navrhované právní úpravy.</w:t>
      </w:r>
      <w:r w:rsidR="0098437A" w:rsidRPr="00ED38E9">
        <w:rPr>
          <w:rFonts w:cs="Arial"/>
        </w:rPr>
        <w:t xml:space="preserve"> Tato perioda je dostatečně dlouhá pro shromáždění dostatečného objemu dat relevantních pro přezkum účinnosti a podnětů od dotčených subjektů a zároveň dostatečně krátká tak, aby nedošlo k</w:t>
      </w:r>
      <w:r w:rsidR="00333557" w:rsidRPr="00ED38E9">
        <w:rPr>
          <w:rFonts w:cs="Arial"/>
        </w:rPr>
        <w:t> </w:t>
      </w:r>
      <w:r w:rsidR="0098437A" w:rsidRPr="00ED38E9">
        <w:rPr>
          <w:rFonts w:cs="Arial"/>
        </w:rPr>
        <w:t>přehlcení velkým objemem podnětů a navrhovaných změn.</w:t>
      </w:r>
    </w:p>
    <w:p w:rsidR="0098437A" w:rsidRPr="00ED38E9" w:rsidRDefault="0098437A" w:rsidP="0090420E">
      <w:pPr>
        <w:widowControl w:val="0"/>
        <w:spacing w:before="120"/>
        <w:rPr>
          <w:rFonts w:cs="Arial"/>
        </w:rPr>
      </w:pPr>
      <w:r w:rsidRPr="00ED38E9">
        <w:rPr>
          <w:rFonts w:cs="Arial"/>
        </w:rPr>
        <w:t xml:space="preserve">Zpracovatel doporučuje sledovat </w:t>
      </w:r>
      <w:r w:rsidR="001D4F0F">
        <w:rPr>
          <w:rFonts w:cs="Arial"/>
        </w:rPr>
        <w:t xml:space="preserve">zejména </w:t>
      </w:r>
      <w:r w:rsidRPr="00ED38E9">
        <w:rPr>
          <w:rFonts w:cs="Arial"/>
        </w:rPr>
        <w:t>následující ukazatele:</w:t>
      </w:r>
    </w:p>
    <w:p w:rsidR="0098437A" w:rsidRPr="00ED38E9" w:rsidRDefault="0098437A" w:rsidP="002D66F0">
      <w:pPr>
        <w:pStyle w:val="Odstavecseseznamem"/>
        <w:widowControl w:val="0"/>
        <w:numPr>
          <w:ilvl w:val="0"/>
          <w:numId w:val="62"/>
        </w:numPr>
        <w:spacing w:after="120" w:line="23" w:lineRule="atLeast"/>
        <w:ind w:left="714" w:hanging="357"/>
        <w:rPr>
          <w:rFonts w:cs="Arial"/>
        </w:rPr>
      </w:pPr>
      <w:r w:rsidRPr="00ED38E9">
        <w:rPr>
          <w:rFonts w:cs="Arial"/>
        </w:rPr>
        <w:t xml:space="preserve">výši recyklačních </w:t>
      </w:r>
      <w:r w:rsidR="001D4F0F">
        <w:rPr>
          <w:rFonts w:cs="Arial"/>
        </w:rPr>
        <w:t>příspěvků</w:t>
      </w:r>
      <w:r w:rsidR="001D4F0F" w:rsidRPr="00ED38E9">
        <w:rPr>
          <w:rFonts w:cs="Arial"/>
        </w:rPr>
        <w:t xml:space="preserve"> </w:t>
      </w:r>
      <w:r w:rsidRPr="00ED38E9">
        <w:rPr>
          <w:rFonts w:cs="Arial"/>
        </w:rPr>
        <w:t>a jejich vývoj v</w:t>
      </w:r>
      <w:r w:rsidR="00333557" w:rsidRPr="00ED38E9">
        <w:rPr>
          <w:rFonts w:cs="Arial"/>
        </w:rPr>
        <w:t> </w:t>
      </w:r>
      <w:r w:rsidRPr="00ED38E9">
        <w:rPr>
          <w:rFonts w:cs="Arial"/>
        </w:rPr>
        <w:t>porovnání s</w:t>
      </w:r>
      <w:r w:rsidR="00333557" w:rsidRPr="00ED38E9">
        <w:rPr>
          <w:rFonts w:cs="Arial"/>
        </w:rPr>
        <w:t> </w:t>
      </w:r>
      <w:r w:rsidRPr="00ED38E9">
        <w:rPr>
          <w:rFonts w:cs="Arial"/>
        </w:rPr>
        <w:t xml:space="preserve">vývojem cen jednotlivých komodit na příslušných </w:t>
      </w:r>
      <w:r w:rsidR="001D4F0F">
        <w:rPr>
          <w:rFonts w:cs="Arial"/>
        </w:rPr>
        <w:t>trzích</w:t>
      </w:r>
      <w:r w:rsidRPr="00ED38E9">
        <w:rPr>
          <w:rFonts w:cs="Arial"/>
        </w:rPr>
        <w:t>;</w:t>
      </w:r>
    </w:p>
    <w:p w:rsidR="0098437A" w:rsidRPr="00ED38E9" w:rsidRDefault="0098437A" w:rsidP="002D66F0">
      <w:pPr>
        <w:pStyle w:val="Odstavecseseznamem"/>
        <w:widowControl w:val="0"/>
        <w:numPr>
          <w:ilvl w:val="0"/>
          <w:numId w:val="62"/>
        </w:numPr>
        <w:spacing w:before="120" w:after="120" w:line="23" w:lineRule="atLeast"/>
        <w:ind w:left="714" w:hanging="357"/>
        <w:rPr>
          <w:rFonts w:cs="Arial"/>
        </w:rPr>
      </w:pPr>
      <w:r w:rsidRPr="00ED38E9">
        <w:rPr>
          <w:rFonts w:cs="Arial"/>
        </w:rPr>
        <w:t xml:space="preserve">hospodaření KS; procentuální vývoj předem stanovených výdajů (na </w:t>
      </w:r>
      <w:r w:rsidR="001D4F0F">
        <w:rPr>
          <w:rFonts w:cs="Arial"/>
        </w:rPr>
        <w:t xml:space="preserve">osvětu a </w:t>
      </w:r>
      <w:r w:rsidRPr="00ED38E9">
        <w:rPr>
          <w:rFonts w:cs="Arial"/>
        </w:rPr>
        <w:t>propagaci apod.) ve vztahu k</w:t>
      </w:r>
      <w:r w:rsidR="00333557" w:rsidRPr="00ED38E9">
        <w:rPr>
          <w:rFonts w:cs="Arial"/>
        </w:rPr>
        <w:t> </w:t>
      </w:r>
      <w:r w:rsidRPr="00ED38E9">
        <w:rPr>
          <w:rFonts w:cs="Arial"/>
        </w:rPr>
        <w:t>relevantním údajům z</w:t>
      </w:r>
      <w:r w:rsidR="00333557" w:rsidRPr="00ED38E9">
        <w:rPr>
          <w:rFonts w:cs="Arial"/>
        </w:rPr>
        <w:t> </w:t>
      </w:r>
      <w:r w:rsidRPr="00ED38E9">
        <w:rPr>
          <w:rFonts w:cs="Arial"/>
        </w:rPr>
        <w:t>výkazů zisků a ztrát</w:t>
      </w:r>
      <w:r w:rsidR="001D4F0F">
        <w:rPr>
          <w:rFonts w:cs="Arial"/>
        </w:rPr>
        <w:t>;</w:t>
      </w:r>
    </w:p>
    <w:p w:rsidR="0098437A" w:rsidRPr="00ED38E9" w:rsidRDefault="0098437A" w:rsidP="002D66F0">
      <w:pPr>
        <w:pStyle w:val="Odstavecseseznamem"/>
        <w:widowControl w:val="0"/>
        <w:numPr>
          <w:ilvl w:val="0"/>
          <w:numId w:val="62"/>
        </w:numPr>
        <w:spacing w:before="120" w:after="120" w:line="23" w:lineRule="atLeast"/>
        <w:ind w:left="714" w:hanging="357"/>
        <w:rPr>
          <w:rFonts w:cs="Arial"/>
        </w:rPr>
      </w:pPr>
      <w:r w:rsidRPr="00ED38E9">
        <w:rPr>
          <w:rFonts w:cs="Arial"/>
        </w:rPr>
        <w:t xml:space="preserve">úroveň zpětného odběru dle kategorií </w:t>
      </w:r>
      <w:r w:rsidR="001D4F0F">
        <w:rPr>
          <w:rFonts w:cs="Arial"/>
        </w:rPr>
        <w:t xml:space="preserve">vybraných </w:t>
      </w:r>
      <w:r w:rsidRPr="00ED38E9">
        <w:rPr>
          <w:rFonts w:cs="Arial"/>
        </w:rPr>
        <w:t>výrobků;</w:t>
      </w:r>
    </w:p>
    <w:p w:rsidR="0098437A" w:rsidRPr="00ED38E9" w:rsidRDefault="0098437A" w:rsidP="002D66F0">
      <w:pPr>
        <w:pStyle w:val="Odstavecseseznamem"/>
        <w:widowControl w:val="0"/>
        <w:numPr>
          <w:ilvl w:val="0"/>
          <w:numId w:val="62"/>
        </w:numPr>
        <w:spacing w:before="120" w:after="120" w:line="23" w:lineRule="atLeast"/>
        <w:ind w:left="714" w:hanging="357"/>
        <w:rPr>
          <w:rFonts w:cs="Arial"/>
        </w:rPr>
      </w:pPr>
      <w:r w:rsidRPr="00ED38E9">
        <w:rPr>
          <w:rFonts w:cs="Arial"/>
        </w:rPr>
        <w:t>procentuální podíl jednotlivých zpracovatelů, které KS využívá;</w:t>
      </w:r>
    </w:p>
    <w:p w:rsidR="008F7031" w:rsidRPr="00ED38E9" w:rsidRDefault="008F7031" w:rsidP="007A2E3D">
      <w:pPr>
        <w:pStyle w:val="Nadpis1"/>
      </w:pPr>
      <w:bookmarkStart w:id="313" w:name="_Toc441759973"/>
      <w:bookmarkStart w:id="314" w:name="_Toc441760208"/>
      <w:r w:rsidRPr="00ED38E9">
        <w:t>Konzultace a zdroje dat</w:t>
      </w:r>
      <w:bookmarkEnd w:id="313"/>
      <w:bookmarkEnd w:id="314"/>
    </w:p>
    <w:p w:rsidR="00EE53C5" w:rsidRPr="00ED38E9" w:rsidRDefault="00EE53C5" w:rsidP="00B83BCF">
      <w:pPr>
        <w:rPr>
          <w:rFonts w:cs="Arial"/>
        </w:rPr>
      </w:pPr>
      <w:r w:rsidRPr="00ED38E9">
        <w:rPr>
          <w:rFonts w:cs="Arial"/>
        </w:rPr>
        <w:t>Materiál vychází z hodnocení dopadů regulace, které bylo zpracováno k věcnému záměru zákona o výrobcích s ukončenou životností schválen</w:t>
      </w:r>
      <w:r w:rsidR="000C2474" w:rsidRPr="00ED38E9">
        <w:rPr>
          <w:rFonts w:cs="Arial"/>
        </w:rPr>
        <w:t>ého</w:t>
      </w:r>
      <w:r w:rsidRPr="00ED38E9">
        <w:rPr>
          <w:rFonts w:cs="Arial"/>
        </w:rPr>
        <w:t xml:space="preserve"> vládou </w:t>
      </w:r>
      <w:r w:rsidR="00B83BCF" w:rsidRPr="00ED38E9">
        <w:rPr>
          <w:rFonts w:cs="Arial"/>
        </w:rPr>
        <w:t>(</w:t>
      </w:r>
      <w:r w:rsidR="00BD3C5F">
        <w:rPr>
          <w:rFonts w:cs="Arial"/>
        </w:rPr>
        <w:t>u</w:t>
      </w:r>
      <w:r w:rsidR="00B83BCF" w:rsidRPr="00ED38E9">
        <w:rPr>
          <w:rFonts w:cs="Arial"/>
        </w:rPr>
        <w:t xml:space="preserve">snesení </w:t>
      </w:r>
      <w:r w:rsidR="00BD3C5F">
        <w:rPr>
          <w:rFonts w:cs="Arial"/>
        </w:rPr>
        <w:t>vlády</w:t>
      </w:r>
      <w:r w:rsidR="00B83BCF" w:rsidRPr="00ED38E9">
        <w:rPr>
          <w:rFonts w:cs="Arial"/>
        </w:rPr>
        <w:t xml:space="preserve"> ze dne 13. května 2015 č. 347).</w:t>
      </w:r>
      <w:r w:rsidR="00547CDE" w:rsidRPr="00ED38E9">
        <w:rPr>
          <w:rFonts w:cs="Arial"/>
        </w:rPr>
        <w:t xml:space="preserve"> Body, které </w:t>
      </w:r>
      <w:r w:rsidR="00BD3C5F">
        <w:rPr>
          <w:rFonts w:cs="Arial"/>
        </w:rPr>
        <w:t xml:space="preserve">v </w:t>
      </w:r>
      <w:r w:rsidR="00BD3C5F" w:rsidRPr="00ED38E9">
        <w:rPr>
          <w:rFonts w:cs="Arial"/>
        </w:rPr>
        <w:t>hodnocení dopadů regulace</w:t>
      </w:r>
      <w:r w:rsidR="00547CDE" w:rsidRPr="00ED38E9">
        <w:rPr>
          <w:rFonts w:cs="Arial"/>
        </w:rPr>
        <w:t xml:space="preserve"> nebyly zpracovány, tak byly doplněny na základě odborných konzultací s odborem odpadů, Ministerstvem průmyslu a obchodu jako spolupředkladatel</w:t>
      </w:r>
      <w:r w:rsidR="00120F48" w:rsidRPr="00ED38E9">
        <w:rPr>
          <w:rFonts w:cs="Arial"/>
        </w:rPr>
        <w:t>e</w:t>
      </w:r>
      <w:r w:rsidR="00547CDE" w:rsidRPr="00ED38E9">
        <w:rPr>
          <w:rFonts w:cs="Arial"/>
        </w:rPr>
        <w:t>m, Komoditní burzou Praha, Českomoravskou komoditní burzou Kladno</w:t>
      </w:r>
      <w:r w:rsidR="00120F48" w:rsidRPr="00ED38E9">
        <w:rPr>
          <w:rFonts w:cs="Arial"/>
        </w:rPr>
        <w:t xml:space="preserve"> a oslovenými kolektivními systémy. Identifikace a vyhodnocení dopadů v oblasti komoditní burzy a dopadů na </w:t>
      </w:r>
      <w:r w:rsidR="00764604" w:rsidRPr="00ED38E9">
        <w:rPr>
          <w:rFonts w:cs="Arial"/>
        </w:rPr>
        <w:t>podnikatelské subjekty je v kompetenci Ministerstva průmyslu a obchodu.</w:t>
      </w:r>
    </w:p>
    <w:p w:rsidR="00053490" w:rsidRPr="00ED38E9" w:rsidRDefault="00EE53C5" w:rsidP="00783869">
      <w:pPr>
        <w:spacing w:before="120"/>
        <w:rPr>
          <w:rFonts w:cs="Arial"/>
        </w:rPr>
      </w:pPr>
      <w:r w:rsidRPr="00ED38E9">
        <w:rPr>
          <w:rFonts w:cs="Arial"/>
        </w:rPr>
        <w:t xml:space="preserve">Data a informace </w:t>
      </w:r>
      <w:r w:rsidR="004F3D66" w:rsidRPr="00ED38E9">
        <w:rPr>
          <w:rFonts w:cs="Arial"/>
        </w:rPr>
        <w:t xml:space="preserve">(například identifikace dotčených subjektů) </w:t>
      </w:r>
      <w:r w:rsidRPr="00ED38E9">
        <w:rPr>
          <w:rFonts w:cs="Arial"/>
        </w:rPr>
        <w:t>uvedené v RIA vychází z komunikace s osobami s dlouholetou praxí a zkušenostmi v odpadovém hospodářství.</w:t>
      </w:r>
      <w:r w:rsidR="00053490" w:rsidRPr="00ED38E9">
        <w:rPr>
          <w:rFonts w:cs="Arial"/>
        </w:rPr>
        <w:t xml:space="preserve"> Konzultace probíhají ústní či elektronickou formou a případná zaslaná data jsou ukládána na ministerstvu dle interních předpisů.</w:t>
      </w:r>
    </w:p>
    <w:p w:rsidR="003720E3" w:rsidRPr="00ED38E9" w:rsidRDefault="00285317" w:rsidP="00620E6B">
      <w:pPr>
        <w:pStyle w:val="Odstavecseseznamem"/>
        <w:numPr>
          <w:ilvl w:val="0"/>
          <w:numId w:val="3"/>
        </w:numPr>
        <w:spacing w:before="120"/>
        <w:ind w:left="425" w:hanging="425"/>
        <w:rPr>
          <w:rFonts w:cs="Arial"/>
          <w:noProof w:val="0"/>
        </w:rPr>
      </w:pPr>
      <w:r w:rsidRPr="00ED38E9">
        <w:rPr>
          <w:rFonts w:cs="Arial"/>
          <w:noProof w:val="0"/>
        </w:rPr>
        <w:t xml:space="preserve">Ing. Marek </w:t>
      </w:r>
      <w:proofErr w:type="spellStart"/>
      <w:r w:rsidRPr="00ED38E9">
        <w:rPr>
          <w:rFonts w:cs="Arial"/>
          <w:noProof w:val="0"/>
        </w:rPr>
        <w:t>Livora</w:t>
      </w:r>
      <w:proofErr w:type="spellEnd"/>
      <w:r w:rsidRPr="00ED38E9">
        <w:rPr>
          <w:rFonts w:cs="Arial"/>
          <w:noProof w:val="0"/>
        </w:rPr>
        <w:t>, Ph.D., odbor odpadů</w:t>
      </w:r>
      <w:r w:rsidR="00F94D2A" w:rsidRPr="00ED38E9">
        <w:rPr>
          <w:rFonts w:cs="Arial"/>
          <w:noProof w:val="0"/>
        </w:rPr>
        <w:t>, Ministerstvo životního prostředí</w:t>
      </w:r>
    </w:p>
    <w:p w:rsidR="00F94D2A" w:rsidRPr="00ED38E9" w:rsidRDefault="00F94D2A" w:rsidP="00620E6B">
      <w:pPr>
        <w:pStyle w:val="Odstavecseseznamem"/>
        <w:numPr>
          <w:ilvl w:val="0"/>
          <w:numId w:val="3"/>
        </w:numPr>
        <w:ind w:left="426" w:hanging="426"/>
        <w:rPr>
          <w:rFonts w:cs="Arial"/>
          <w:noProof w:val="0"/>
        </w:rPr>
      </w:pPr>
      <w:r w:rsidRPr="00ED38E9">
        <w:rPr>
          <w:rFonts w:cs="Arial"/>
          <w:noProof w:val="0"/>
        </w:rPr>
        <w:t xml:space="preserve">Ing. Mgr. Ladislav </w:t>
      </w:r>
      <w:proofErr w:type="spellStart"/>
      <w:r w:rsidRPr="00ED38E9">
        <w:rPr>
          <w:rFonts w:cs="Arial"/>
          <w:noProof w:val="0"/>
        </w:rPr>
        <w:t>Trylč</w:t>
      </w:r>
      <w:proofErr w:type="spellEnd"/>
      <w:r w:rsidRPr="00ED38E9">
        <w:rPr>
          <w:rFonts w:cs="Arial"/>
          <w:noProof w:val="0"/>
        </w:rPr>
        <w:t>, odbor odpadů, M</w:t>
      </w:r>
      <w:r w:rsidR="00053490" w:rsidRPr="00ED38E9">
        <w:rPr>
          <w:rFonts w:cs="Arial"/>
          <w:noProof w:val="0"/>
        </w:rPr>
        <w:t>inisterstvo životního prostředí</w:t>
      </w:r>
    </w:p>
    <w:p w:rsidR="00053490" w:rsidRPr="00ED38E9" w:rsidRDefault="00053490" w:rsidP="00620E6B">
      <w:pPr>
        <w:pStyle w:val="Odstavecseseznamem"/>
        <w:numPr>
          <w:ilvl w:val="0"/>
          <w:numId w:val="3"/>
        </w:numPr>
        <w:ind w:left="426" w:hanging="426"/>
        <w:rPr>
          <w:rFonts w:cs="Arial"/>
          <w:noProof w:val="0"/>
        </w:rPr>
      </w:pPr>
      <w:r w:rsidRPr="00ED38E9">
        <w:rPr>
          <w:rFonts w:cs="Arial"/>
          <w:noProof w:val="0"/>
        </w:rPr>
        <w:t>Ing. Tomáš Vávra, odbor odpadů, Ministerstvo životního prostředí</w:t>
      </w:r>
    </w:p>
    <w:p w:rsidR="003720E3" w:rsidRPr="00ED38E9" w:rsidRDefault="003720E3" w:rsidP="00620E6B">
      <w:pPr>
        <w:pStyle w:val="Odstavecseseznamem"/>
        <w:numPr>
          <w:ilvl w:val="0"/>
          <w:numId w:val="3"/>
        </w:numPr>
        <w:ind w:left="426" w:hanging="426"/>
        <w:rPr>
          <w:rFonts w:cs="Arial"/>
          <w:noProof w:val="0"/>
        </w:rPr>
      </w:pPr>
      <w:r w:rsidRPr="00ED38E9">
        <w:rPr>
          <w:rFonts w:cs="Arial"/>
          <w:noProof w:val="0"/>
        </w:rPr>
        <w:t xml:space="preserve">PÍŠKOVÁ, M. </w:t>
      </w:r>
      <w:r w:rsidR="00465677" w:rsidRPr="00ED38E9">
        <w:rPr>
          <w:rFonts w:cs="Arial"/>
          <w:noProof w:val="0"/>
        </w:rPr>
        <w:t xml:space="preserve">a kol. </w:t>
      </w:r>
      <w:r w:rsidR="00465677" w:rsidRPr="00ED38E9">
        <w:rPr>
          <w:rFonts w:cs="Arial"/>
          <w:i/>
        </w:rPr>
        <w:t xml:space="preserve">Hodnocení dopadů regulace </w:t>
      </w:r>
      <w:r w:rsidRPr="00ED38E9">
        <w:rPr>
          <w:rFonts w:cs="Arial"/>
          <w:i/>
        </w:rPr>
        <w:t>k</w:t>
      </w:r>
      <w:r w:rsidR="00333557" w:rsidRPr="00ED38E9">
        <w:rPr>
          <w:rFonts w:cs="Arial"/>
          <w:i/>
        </w:rPr>
        <w:t> </w:t>
      </w:r>
      <w:r w:rsidRPr="00ED38E9">
        <w:rPr>
          <w:rFonts w:cs="Arial"/>
          <w:i/>
        </w:rPr>
        <w:t>návrhu věcného záměru zákona o</w:t>
      </w:r>
      <w:r w:rsidR="00465677" w:rsidRPr="00ED38E9">
        <w:rPr>
          <w:rFonts w:cs="Arial"/>
          <w:i/>
        </w:rPr>
        <w:t> výrobcích s ukončenou životností</w:t>
      </w:r>
      <w:r w:rsidRPr="00ED38E9">
        <w:rPr>
          <w:rFonts w:cs="Arial"/>
          <w:i/>
        </w:rPr>
        <w:t xml:space="preserve">. </w:t>
      </w:r>
      <w:r w:rsidRPr="00ED38E9">
        <w:rPr>
          <w:rFonts w:cs="Arial"/>
        </w:rPr>
        <w:t xml:space="preserve">Praha: Ministerstvo životního prostředí. </w:t>
      </w:r>
      <w:r w:rsidR="00465677" w:rsidRPr="00ED38E9">
        <w:rPr>
          <w:rFonts w:cs="Arial"/>
        </w:rPr>
        <w:t>2015</w:t>
      </w:r>
      <w:r w:rsidRPr="00ED38E9">
        <w:rPr>
          <w:rFonts w:cs="Arial"/>
        </w:rPr>
        <w:t xml:space="preserve">. </w:t>
      </w:r>
      <w:r w:rsidR="00465677" w:rsidRPr="00ED38E9">
        <w:rPr>
          <w:rFonts w:cs="Arial"/>
        </w:rPr>
        <w:t>144</w:t>
      </w:r>
      <w:r w:rsidRPr="00ED38E9">
        <w:rPr>
          <w:rFonts w:cs="Arial"/>
        </w:rPr>
        <w:t xml:space="preserve"> s.</w:t>
      </w:r>
    </w:p>
    <w:p w:rsidR="006722D0" w:rsidRPr="00ED38E9" w:rsidRDefault="006722D0" w:rsidP="00620E6B">
      <w:pPr>
        <w:pStyle w:val="Odstavecseseznamem"/>
        <w:numPr>
          <w:ilvl w:val="0"/>
          <w:numId w:val="3"/>
        </w:numPr>
        <w:ind w:left="426" w:hanging="426"/>
        <w:rPr>
          <w:rFonts w:cs="Arial"/>
          <w:noProof w:val="0"/>
        </w:rPr>
      </w:pPr>
      <w:r w:rsidRPr="00ED38E9">
        <w:rPr>
          <w:rFonts w:cs="Arial"/>
          <w:noProof w:val="0"/>
        </w:rPr>
        <w:t xml:space="preserve">TESÁRKOVÁ, D. a kol. </w:t>
      </w:r>
      <w:r w:rsidRPr="00ED38E9">
        <w:rPr>
          <w:rFonts w:cs="Arial"/>
          <w:i/>
          <w:noProof w:val="0"/>
        </w:rPr>
        <w:t>Závěrečná zpráva RIA k věcnému záměru zákona o zpětném odběru výrobků s ukončenou životností</w:t>
      </w:r>
      <w:r w:rsidRPr="00ED38E9">
        <w:rPr>
          <w:rFonts w:cs="Arial"/>
          <w:noProof w:val="0"/>
        </w:rPr>
        <w:t xml:space="preserve">. Praha: </w:t>
      </w:r>
      <w:proofErr w:type="spellStart"/>
      <w:r w:rsidRPr="00ED38E9">
        <w:rPr>
          <w:rFonts w:cs="Arial"/>
          <w:noProof w:val="0"/>
        </w:rPr>
        <w:t>eeip</w:t>
      </w:r>
      <w:proofErr w:type="spellEnd"/>
      <w:r w:rsidRPr="00ED38E9">
        <w:rPr>
          <w:rFonts w:cs="Arial"/>
          <w:noProof w:val="0"/>
        </w:rPr>
        <w:t xml:space="preserve"> a.s., 2015. 82 s.</w:t>
      </w:r>
    </w:p>
    <w:p w:rsidR="005967D0" w:rsidRPr="000B7CBF" w:rsidRDefault="005967D0" w:rsidP="00620E6B">
      <w:pPr>
        <w:pStyle w:val="Odstavecseseznamem"/>
        <w:numPr>
          <w:ilvl w:val="0"/>
          <w:numId w:val="3"/>
        </w:numPr>
        <w:ind w:left="426" w:hanging="426"/>
        <w:rPr>
          <w:rFonts w:cs="Arial"/>
        </w:rPr>
      </w:pPr>
      <w:r w:rsidRPr="000B7CBF">
        <w:rPr>
          <w:rFonts w:cs="Arial"/>
          <w:i/>
          <w:lang w:eastAsia="cs-CZ"/>
        </w:rPr>
        <w:t xml:space="preserve">Metodika stanovení plánovaných </w:t>
      </w:r>
      <w:r w:rsidRPr="000B7CBF">
        <w:rPr>
          <w:rFonts w:cs="Arial"/>
          <w:i/>
        </w:rPr>
        <w:t>nákladů</w:t>
      </w:r>
      <w:r w:rsidRPr="000B7CBF">
        <w:rPr>
          <w:rFonts w:cs="Arial"/>
          <w:i/>
          <w:lang w:eastAsia="cs-CZ"/>
        </w:rPr>
        <w:t xml:space="preserve"> na výkon státní správy</w:t>
      </w:r>
      <w:r w:rsidRPr="000B7CBF">
        <w:rPr>
          <w:rFonts w:cs="Arial"/>
          <w:lang w:eastAsia="cs-CZ"/>
        </w:rPr>
        <w:t>. Praha: Ministerstvo vnitra České republiky, 2007. 17 s.</w:t>
      </w:r>
    </w:p>
    <w:p w:rsidR="005967D0" w:rsidRPr="000B7CBF" w:rsidRDefault="005967D0" w:rsidP="00620E6B">
      <w:pPr>
        <w:pStyle w:val="Odstavecseseznamem"/>
        <w:numPr>
          <w:ilvl w:val="0"/>
          <w:numId w:val="3"/>
        </w:numPr>
        <w:ind w:left="426" w:hanging="426"/>
        <w:rPr>
          <w:rFonts w:cs="Arial"/>
        </w:rPr>
      </w:pPr>
      <w:r w:rsidRPr="000B7CBF">
        <w:rPr>
          <w:rFonts w:cs="Arial"/>
          <w:i/>
        </w:rPr>
        <w:lastRenderedPageBreak/>
        <w:t xml:space="preserve">Metodika měření a přeměřování administrativní zátěže podnikatelů. </w:t>
      </w:r>
      <w:r w:rsidRPr="000B7CBF">
        <w:rPr>
          <w:rFonts w:cs="Arial"/>
        </w:rPr>
        <w:t>Praha: Ministerstvo průmyslu a obchodu, červen 2013. 29 s.</w:t>
      </w:r>
    </w:p>
    <w:p w:rsidR="005967D0" w:rsidRPr="00ED38E9" w:rsidRDefault="001D4901" w:rsidP="00620E6B">
      <w:pPr>
        <w:pStyle w:val="Odstavecseseznamem"/>
        <w:numPr>
          <w:ilvl w:val="0"/>
          <w:numId w:val="3"/>
        </w:numPr>
        <w:ind w:left="426" w:hanging="426"/>
        <w:rPr>
          <w:rFonts w:cs="Arial"/>
          <w:noProof w:val="0"/>
        </w:rPr>
      </w:pPr>
      <w:r w:rsidRPr="000B7CBF">
        <w:rPr>
          <w:rFonts w:cs="Arial"/>
          <w:i/>
        </w:rPr>
        <w:t>Obchodování</w:t>
      </w:r>
      <w:r w:rsidRPr="00ED38E9">
        <w:rPr>
          <w:rFonts w:cs="Arial"/>
          <w:i/>
          <w:noProof w:val="0"/>
        </w:rPr>
        <w:t xml:space="preserve"> s průmyslovými komoditami na Českomoravské komoditní burze Kladno </w:t>
      </w:r>
      <w:r w:rsidR="00381FB7" w:rsidRPr="00381FB7">
        <w:rPr>
          <w:rFonts w:cs="Arial"/>
          <w:noProof w:val="0"/>
        </w:rPr>
        <w:t xml:space="preserve">[online]. </w:t>
      </w:r>
      <w:r w:rsidR="00EB0DB5" w:rsidRPr="00ED38E9">
        <w:rPr>
          <w:rFonts w:cs="Arial"/>
          <w:noProof w:val="0"/>
        </w:rPr>
        <w:t xml:space="preserve">Českomoravská komoditní burza, </w:t>
      </w:r>
      <w:r w:rsidRPr="00ED38E9">
        <w:rPr>
          <w:rFonts w:cs="Arial"/>
          <w:noProof w:val="0"/>
        </w:rPr>
        <w:t xml:space="preserve">2015 </w:t>
      </w:r>
      <w:r w:rsidR="00381FB7" w:rsidRPr="00381FB7">
        <w:rPr>
          <w:rFonts w:cs="Arial"/>
          <w:noProof w:val="0"/>
        </w:rPr>
        <w:t xml:space="preserve">[cit. 2015-11-16]. </w:t>
      </w:r>
      <w:r w:rsidRPr="00ED38E9">
        <w:rPr>
          <w:rFonts w:cs="Arial"/>
          <w:noProof w:val="0"/>
        </w:rPr>
        <w:t>Dostupné z: https://www.cmkbk.cz/prumyslove-komodity/manual-obchodovani/manual-obchodovani-prumyslovych-komodit/</w:t>
      </w:r>
    </w:p>
    <w:p w:rsidR="001D4901" w:rsidRPr="00ED38E9" w:rsidRDefault="00EB0DB5" w:rsidP="00620E6B">
      <w:pPr>
        <w:pStyle w:val="Odstavecseseznamem"/>
        <w:numPr>
          <w:ilvl w:val="0"/>
          <w:numId w:val="3"/>
        </w:numPr>
        <w:ind w:left="426" w:hanging="426"/>
        <w:rPr>
          <w:rFonts w:cs="Arial"/>
          <w:noProof w:val="0"/>
        </w:rPr>
      </w:pPr>
      <w:r w:rsidRPr="000B7CBF">
        <w:rPr>
          <w:rFonts w:cs="Arial"/>
          <w:i/>
        </w:rPr>
        <w:t>Komoditní</w:t>
      </w:r>
      <w:r w:rsidRPr="00ED38E9">
        <w:rPr>
          <w:rFonts w:cs="Arial"/>
          <w:i/>
          <w:noProof w:val="0"/>
        </w:rPr>
        <w:t xml:space="preserve"> burzy v ČR. </w:t>
      </w:r>
      <w:r w:rsidRPr="00ED38E9">
        <w:rPr>
          <w:rFonts w:cs="Arial"/>
          <w:noProof w:val="0"/>
        </w:rPr>
        <w:t xml:space="preserve">Ministerstvo průmyslu a obchodu, 2015 </w:t>
      </w:r>
      <w:r w:rsidR="00381FB7" w:rsidRPr="00381FB7">
        <w:rPr>
          <w:rFonts w:cs="Arial"/>
          <w:noProof w:val="0"/>
        </w:rPr>
        <w:t xml:space="preserve">[cit. 2015-11-16]. </w:t>
      </w:r>
      <w:r w:rsidRPr="00ED38E9">
        <w:rPr>
          <w:rFonts w:cs="Arial"/>
          <w:noProof w:val="0"/>
        </w:rPr>
        <w:t>Dostupné z: http://www.mpo.cz/cz/energetika-a-suroviny/dozor-nad-komoditnimi-burzami/#category544</w:t>
      </w:r>
    </w:p>
    <w:p w:rsidR="00094101" w:rsidRPr="00ED38E9" w:rsidRDefault="00094101" w:rsidP="00620E6B">
      <w:pPr>
        <w:pStyle w:val="Odstavecseseznamem"/>
        <w:numPr>
          <w:ilvl w:val="0"/>
          <w:numId w:val="3"/>
        </w:numPr>
        <w:ind w:left="426" w:hanging="426"/>
        <w:rPr>
          <w:rFonts w:cs="Arial"/>
          <w:noProof w:val="0"/>
        </w:rPr>
      </w:pPr>
      <w:r w:rsidRPr="00ED38E9">
        <w:rPr>
          <w:rFonts w:cs="Arial"/>
          <w:i/>
          <w:noProof w:val="0"/>
        </w:rPr>
        <w:t xml:space="preserve">Seznam výrobců baterií a akumulátorů. </w:t>
      </w:r>
      <w:r w:rsidRPr="00ED38E9">
        <w:rPr>
          <w:rFonts w:cs="Arial"/>
          <w:noProof w:val="0"/>
        </w:rPr>
        <w:t xml:space="preserve">Ministerstvo životního prostředí, 2015 </w:t>
      </w:r>
      <w:r w:rsidRPr="00ED38E9">
        <w:rPr>
          <w:rFonts w:cs="Arial"/>
          <w:noProof w:val="0"/>
          <w:lang w:val="en-US"/>
        </w:rPr>
        <w:t xml:space="preserve">[cit. 2015-11-23]. </w:t>
      </w:r>
      <w:r w:rsidRPr="00ED38E9">
        <w:rPr>
          <w:rFonts w:cs="Arial"/>
          <w:noProof w:val="0"/>
        </w:rPr>
        <w:t>Dostupné z: http://iris.mzp.cz/Aplikace/aba.nsf/index.xsp</w:t>
      </w:r>
    </w:p>
    <w:p w:rsidR="00630CB3" w:rsidRPr="00ED38E9" w:rsidRDefault="00E75378" w:rsidP="00620E6B">
      <w:pPr>
        <w:pStyle w:val="Odstavecseseznamem"/>
        <w:numPr>
          <w:ilvl w:val="0"/>
          <w:numId w:val="3"/>
        </w:numPr>
        <w:ind w:left="426" w:hanging="426"/>
        <w:rPr>
          <w:rFonts w:cs="Arial"/>
          <w:noProof w:val="0"/>
        </w:rPr>
      </w:pPr>
      <w:r w:rsidRPr="00ED38E9">
        <w:rPr>
          <w:rFonts w:cs="Arial"/>
          <w:i/>
          <w:noProof w:val="0"/>
        </w:rPr>
        <w:t xml:space="preserve">Seznam výrobců elektrozařízení. </w:t>
      </w:r>
      <w:r w:rsidRPr="00ED38E9">
        <w:rPr>
          <w:rFonts w:cs="Arial"/>
          <w:noProof w:val="0"/>
        </w:rPr>
        <w:t xml:space="preserve">Ministerstvo životního prostředí, 2015 </w:t>
      </w:r>
      <w:r w:rsidR="00381FB7" w:rsidRPr="00381FB7">
        <w:rPr>
          <w:rFonts w:cs="Arial"/>
          <w:noProof w:val="0"/>
        </w:rPr>
        <w:t xml:space="preserve">[cit. 2015-11-23]. </w:t>
      </w:r>
      <w:r w:rsidRPr="00ED38E9">
        <w:rPr>
          <w:rFonts w:cs="Arial"/>
          <w:noProof w:val="0"/>
        </w:rPr>
        <w:t>Dostupné z: https://isoh.mzp.cz/WebElektro/Firma/PovinneOsoby</w:t>
      </w:r>
    </w:p>
    <w:p w:rsidR="00EB0DB5" w:rsidRPr="00ED38E9" w:rsidRDefault="00EB0DB5" w:rsidP="00783869">
      <w:pPr>
        <w:rPr>
          <w:rFonts w:cs="Arial"/>
        </w:rPr>
      </w:pPr>
    </w:p>
    <w:p w:rsidR="00473CBE" w:rsidRPr="00ED38E9" w:rsidRDefault="00473CBE" w:rsidP="007A2E3D">
      <w:pPr>
        <w:pStyle w:val="Nadpis1"/>
      </w:pPr>
      <w:bookmarkStart w:id="315" w:name="_Toc441759974"/>
      <w:bookmarkStart w:id="316" w:name="_Toc441760209"/>
      <w:r w:rsidRPr="00ED38E9">
        <w:t>Seznam použitých zkratek</w:t>
      </w:r>
      <w:bookmarkEnd w:id="315"/>
      <w:bookmarkEnd w:id="316"/>
    </w:p>
    <w:tbl>
      <w:tblPr>
        <w:tblW w:w="8936"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90"/>
        <w:gridCol w:w="6946"/>
      </w:tblGrid>
      <w:tr w:rsidR="00E0452D" w:rsidRPr="000B7CBF" w:rsidTr="00783869">
        <w:trPr>
          <w:trHeight w:val="397"/>
        </w:trPr>
        <w:tc>
          <w:tcPr>
            <w:tcW w:w="1990" w:type="dxa"/>
            <w:shd w:val="clear" w:color="auto" w:fill="auto"/>
            <w:vAlign w:val="center"/>
          </w:tcPr>
          <w:p w:rsidR="00E0452D" w:rsidRPr="00ED38E9" w:rsidRDefault="00E0452D" w:rsidP="00E34593">
            <w:pPr>
              <w:spacing w:line="240" w:lineRule="auto"/>
              <w:jc w:val="left"/>
              <w:rPr>
                <w:rFonts w:cs="Arial"/>
                <w:noProof w:val="0"/>
                <w:color w:val="000000"/>
                <w:lang w:eastAsia="cs-CZ" w:bidi="ar-SA"/>
              </w:rPr>
            </w:pPr>
            <w:r w:rsidRPr="00ED38E9">
              <w:rPr>
                <w:rFonts w:cs="Arial"/>
                <w:noProof w:val="0"/>
                <w:color w:val="000000"/>
                <w:lang w:eastAsia="cs-CZ" w:bidi="ar-SA"/>
              </w:rPr>
              <w:t>AC</w:t>
            </w:r>
          </w:p>
        </w:tc>
        <w:tc>
          <w:tcPr>
            <w:tcW w:w="6946" w:type="dxa"/>
            <w:shd w:val="clear" w:color="auto" w:fill="auto"/>
            <w:vAlign w:val="center"/>
          </w:tcPr>
          <w:p w:rsidR="00E0452D" w:rsidRPr="00ED38E9" w:rsidRDefault="004F3D66" w:rsidP="00E34593">
            <w:pPr>
              <w:spacing w:line="240" w:lineRule="auto"/>
              <w:rPr>
                <w:rFonts w:cs="Arial"/>
                <w:noProof w:val="0"/>
                <w:color w:val="000000"/>
                <w:lang w:eastAsia="cs-CZ" w:bidi="ar-SA"/>
              </w:rPr>
            </w:pPr>
            <w:r w:rsidRPr="00ED38E9">
              <w:rPr>
                <w:rFonts w:cs="Arial"/>
                <w:lang w:eastAsia="cs-CZ"/>
              </w:rPr>
              <w:t>p</w:t>
            </w:r>
            <w:r w:rsidR="00E0452D" w:rsidRPr="00ED38E9">
              <w:rPr>
                <w:rFonts w:cs="Arial"/>
                <w:lang w:eastAsia="cs-CZ"/>
              </w:rPr>
              <w:t>růměrné náklady</w:t>
            </w:r>
          </w:p>
        </w:tc>
      </w:tr>
      <w:tr w:rsidR="00E0452D" w:rsidRPr="000B7CBF" w:rsidTr="00783869">
        <w:trPr>
          <w:trHeight w:val="397"/>
        </w:trPr>
        <w:tc>
          <w:tcPr>
            <w:tcW w:w="1990" w:type="dxa"/>
            <w:shd w:val="clear" w:color="auto" w:fill="auto"/>
            <w:vAlign w:val="center"/>
          </w:tcPr>
          <w:p w:rsidR="00E0452D" w:rsidRPr="00ED38E9" w:rsidRDefault="00E0452D" w:rsidP="00E34593">
            <w:pPr>
              <w:spacing w:line="240" w:lineRule="auto"/>
              <w:jc w:val="left"/>
              <w:rPr>
                <w:rFonts w:cs="Arial"/>
                <w:noProof w:val="0"/>
                <w:color w:val="000000"/>
                <w:lang w:eastAsia="cs-CZ" w:bidi="ar-SA"/>
              </w:rPr>
            </w:pPr>
            <w:r w:rsidRPr="00ED38E9">
              <w:rPr>
                <w:rFonts w:cs="Arial"/>
                <w:lang w:eastAsia="cs-CZ"/>
              </w:rPr>
              <w:t>AR</w:t>
            </w:r>
          </w:p>
        </w:tc>
        <w:tc>
          <w:tcPr>
            <w:tcW w:w="6946" w:type="dxa"/>
            <w:shd w:val="clear" w:color="auto" w:fill="auto"/>
            <w:vAlign w:val="center"/>
          </w:tcPr>
          <w:p w:rsidR="00E0452D" w:rsidRPr="00ED38E9" w:rsidRDefault="004F3D66" w:rsidP="00E34593">
            <w:pPr>
              <w:spacing w:line="240" w:lineRule="auto"/>
              <w:rPr>
                <w:rFonts w:cs="Arial"/>
                <w:lang w:eastAsia="cs-CZ"/>
              </w:rPr>
            </w:pPr>
            <w:r w:rsidRPr="00ED38E9">
              <w:rPr>
                <w:rFonts w:cs="Arial"/>
                <w:lang w:eastAsia="cs-CZ"/>
              </w:rPr>
              <w:t>p</w:t>
            </w:r>
            <w:r w:rsidR="00E0452D" w:rsidRPr="00ED38E9">
              <w:rPr>
                <w:rFonts w:cs="Arial"/>
                <w:lang w:eastAsia="cs-CZ"/>
              </w:rPr>
              <w:t>růměrné příjmy</w:t>
            </w:r>
          </w:p>
        </w:tc>
      </w:tr>
      <w:tr w:rsidR="009A7B5C" w:rsidRPr="000B7CBF" w:rsidTr="00783869">
        <w:trPr>
          <w:trHeight w:val="397"/>
        </w:trPr>
        <w:tc>
          <w:tcPr>
            <w:tcW w:w="1990" w:type="dxa"/>
            <w:shd w:val="clear" w:color="auto" w:fill="auto"/>
            <w:vAlign w:val="center"/>
          </w:tcPr>
          <w:p w:rsidR="009A7B5C" w:rsidRPr="00ED38E9" w:rsidRDefault="009A7B5C" w:rsidP="009A7B5C">
            <w:pPr>
              <w:spacing w:line="240" w:lineRule="auto"/>
              <w:jc w:val="left"/>
              <w:rPr>
                <w:rFonts w:cs="Arial"/>
                <w:noProof w:val="0"/>
                <w:color w:val="000000"/>
                <w:lang w:eastAsia="cs-CZ" w:bidi="ar-SA"/>
              </w:rPr>
            </w:pPr>
            <w:r w:rsidRPr="00ED38E9">
              <w:rPr>
                <w:rFonts w:cs="Arial"/>
                <w:noProof w:val="0"/>
                <w:color w:val="000000"/>
                <w:lang w:eastAsia="cs-CZ" w:bidi="ar-SA"/>
              </w:rPr>
              <w:t>Avia</w:t>
            </w:r>
          </w:p>
        </w:tc>
        <w:tc>
          <w:tcPr>
            <w:tcW w:w="6946" w:type="dxa"/>
            <w:shd w:val="clear" w:color="auto" w:fill="auto"/>
            <w:vAlign w:val="center"/>
          </w:tcPr>
          <w:p w:rsidR="009A7B5C" w:rsidRPr="00ED38E9" w:rsidRDefault="009A7B5C" w:rsidP="009A7B5C">
            <w:pPr>
              <w:spacing w:line="240" w:lineRule="auto"/>
              <w:rPr>
                <w:rFonts w:cs="Arial"/>
                <w:noProof w:val="0"/>
                <w:color w:val="000000"/>
                <w:lang w:eastAsia="cs-CZ" w:bidi="ar-SA"/>
              </w:rPr>
            </w:pPr>
            <w:r w:rsidRPr="00ED38E9">
              <w:rPr>
                <w:rFonts w:cs="Arial"/>
                <w:noProof w:val="0"/>
                <w:color w:val="000000"/>
                <w:lang w:eastAsia="cs-CZ" w:bidi="ar-SA"/>
              </w:rPr>
              <w:t xml:space="preserve">Avia </w:t>
            </w:r>
            <w:proofErr w:type="spellStart"/>
            <w:r w:rsidRPr="00ED38E9">
              <w:rPr>
                <w:rFonts w:cs="Arial"/>
                <w:noProof w:val="0"/>
                <w:color w:val="000000"/>
                <w:lang w:eastAsia="cs-CZ" w:bidi="ar-SA"/>
              </w:rPr>
              <w:t>Ashok</w:t>
            </w:r>
            <w:proofErr w:type="spellEnd"/>
            <w:r w:rsidRPr="00ED38E9">
              <w:rPr>
                <w:rFonts w:cs="Arial"/>
                <w:noProof w:val="0"/>
                <w:color w:val="000000"/>
                <w:lang w:eastAsia="cs-CZ" w:bidi="ar-SA"/>
              </w:rPr>
              <w:t xml:space="preserve"> </w:t>
            </w:r>
            <w:proofErr w:type="spellStart"/>
            <w:r w:rsidRPr="00ED38E9">
              <w:rPr>
                <w:rFonts w:cs="Arial"/>
                <w:noProof w:val="0"/>
                <w:color w:val="000000"/>
                <w:lang w:eastAsia="cs-CZ" w:bidi="ar-SA"/>
              </w:rPr>
              <w:t>Leyland</w:t>
            </w:r>
            <w:proofErr w:type="spellEnd"/>
            <w:r w:rsidRPr="00ED38E9">
              <w:rPr>
                <w:rFonts w:cs="Arial"/>
                <w:noProof w:val="0"/>
                <w:color w:val="000000"/>
                <w:lang w:eastAsia="cs-CZ" w:bidi="ar-SA"/>
              </w:rPr>
              <w:t xml:space="preserve"> Motors s.r.o.</w:t>
            </w:r>
          </w:p>
        </w:tc>
      </w:tr>
      <w:tr w:rsidR="00333557" w:rsidRPr="000B7CBF" w:rsidTr="00783869">
        <w:trPr>
          <w:trHeight w:val="397"/>
        </w:trPr>
        <w:tc>
          <w:tcPr>
            <w:tcW w:w="1990" w:type="dxa"/>
            <w:shd w:val="clear" w:color="auto" w:fill="auto"/>
            <w:vAlign w:val="center"/>
          </w:tcPr>
          <w:p w:rsidR="00333557" w:rsidRPr="00ED38E9" w:rsidRDefault="00333557" w:rsidP="009A7B5C">
            <w:pPr>
              <w:spacing w:line="240" w:lineRule="auto"/>
              <w:jc w:val="left"/>
              <w:rPr>
                <w:rFonts w:cs="Arial"/>
                <w:noProof w:val="0"/>
                <w:color w:val="000000"/>
                <w:lang w:eastAsia="cs-CZ" w:bidi="ar-SA"/>
              </w:rPr>
            </w:pPr>
            <w:r w:rsidRPr="00ED38E9">
              <w:rPr>
                <w:rFonts w:cs="Arial"/>
                <w:noProof w:val="0"/>
                <w:color w:val="000000"/>
                <w:lang w:eastAsia="cs-CZ" w:bidi="ar-SA"/>
              </w:rPr>
              <w:t xml:space="preserve">AZ </w:t>
            </w:r>
          </w:p>
        </w:tc>
        <w:tc>
          <w:tcPr>
            <w:tcW w:w="6946" w:type="dxa"/>
            <w:shd w:val="clear" w:color="auto" w:fill="auto"/>
            <w:vAlign w:val="center"/>
          </w:tcPr>
          <w:p w:rsidR="00333557" w:rsidRPr="00ED38E9" w:rsidRDefault="00333557" w:rsidP="009A7B5C">
            <w:pPr>
              <w:spacing w:line="240" w:lineRule="auto"/>
              <w:rPr>
                <w:rFonts w:cs="Arial"/>
                <w:noProof w:val="0"/>
                <w:color w:val="000000"/>
                <w:lang w:eastAsia="cs-CZ" w:bidi="ar-SA"/>
              </w:rPr>
            </w:pPr>
            <w:r w:rsidRPr="00ED38E9">
              <w:rPr>
                <w:rFonts w:cs="Arial"/>
                <w:noProof w:val="0"/>
                <w:color w:val="000000"/>
                <w:lang w:eastAsia="cs-CZ" w:bidi="ar-SA"/>
              </w:rPr>
              <w:t>administrativní zátěž</w:t>
            </w:r>
          </w:p>
        </w:tc>
      </w:tr>
      <w:tr w:rsidR="009A7B5C" w:rsidRPr="000B7CBF" w:rsidTr="00783869">
        <w:trPr>
          <w:trHeight w:val="397"/>
        </w:trPr>
        <w:tc>
          <w:tcPr>
            <w:tcW w:w="1990" w:type="dxa"/>
            <w:shd w:val="clear" w:color="auto" w:fill="auto"/>
            <w:vAlign w:val="center"/>
            <w:hideMark/>
          </w:tcPr>
          <w:p w:rsidR="009A7B5C" w:rsidRPr="00ED38E9" w:rsidRDefault="009A7B5C" w:rsidP="00E34593">
            <w:pPr>
              <w:spacing w:line="240" w:lineRule="auto"/>
              <w:jc w:val="left"/>
              <w:rPr>
                <w:rFonts w:cs="Arial"/>
                <w:noProof w:val="0"/>
                <w:color w:val="000000"/>
                <w:lang w:eastAsia="cs-CZ" w:bidi="ar-SA"/>
              </w:rPr>
            </w:pPr>
            <w:r w:rsidRPr="00ED38E9">
              <w:rPr>
                <w:rFonts w:cs="Arial"/>
                <w:noProof w:val="0"/>
                <w:color w:val="000000"/>
                <w:lang w:eastAsia="cs-CZ" w:bidi="ar-SA"/>
              </w:rPr>
              <w:t>BA</w:t>
            </w:r>
          </w:p>
        </w:tc>
        <w:tc>
          <w:tcPr>
            <w:tcW w:w="6946" w:type="dxa"/>
            <w:shd w:val="clear" w:color="auto" w:fill="auto"/>
            <w:vAlign w:val="center"/>
            <w:hideMark/>
          </w:tcPr>
          <w:p w:rsidR="009A7B5C" w:rsidRPr="00ED38E9" w:rsidRDefault="009A7B5C" w:rsidP="00E34593">
            <w:pPr>
              <w:spacing w:line="240" w:lineRule="auto"/>
              <w:rPr>
                <w:rFonts w:cs="Arial"/>
                <w:noProof w:val="0"/>
                <w:color w:val="000000"/>
                <w:lang w:eastAsia="cs-CZ" w:bidi="ar-SA"/>
              </w:rPr>
            </w:pPr>
            <w:r w:rsidRPr="00ED38E9">
              <w:rPr>
                <w:rFonts w:cs="Arial"/>
                <w:noProof w:val="0"/>
                <w:color w:val="000000"/>
                <w:lang w:eastAsia="cs-CZ" w:bidi="ar-SA"/>
              </w:rPr>
              <w:t>baterie a akumulátory</w:t>
            </w:r>
          </w:p>
        </w:tc>
      </w:tr>
      <w:tr w:rsidR="009A7B5C" w:rsidRPr="000B7CBF" w:rsidTr="00783869">
        <w:trPr>
          <w:trHeight w:val="397"/>
        </w:trPr>
        <w:tc>
          <w:tcPr>
            <w:tcW w:w="1990" w:type="dxa"/>
            <w:shd w:val="clear" w:color="auto" w:fill="auto"/>
            <w:vAlign w:val="center"/>
            <w:hideMark/>
          </w:tcPr>
          <w:p w:rsidR="009A7B5C" w:rsidRPr="00ED38E9" w:rsidRDefault="009A7B5C" w:rsidP="00E34593">
            <w:pPr>
              <w:spacing w:line="240" w:lineRule="auto"/>
              <w:jc w:val="left"/>
              <w:rPr>
                <w:rFonts w:cs="Arial"/>
                <w:noProof w:val="0"/>
                <w:color w:val="000000"/>
                <w:lang w:eastAsia="cs-CZ" w:bidi="ar-SA"/>
              </w:rPr>
            </w:pPr>
            <w:r w:rsidRPr="00ED38E9">
              <w:rPr>
                <w:rFonts w:cs="Arial"/>
                <w:noProof w:val="0"/>
                <w:color w:val="000000"/>
                <w:lang w:eastAsia="cs-CZ" w:bidi="ar-SA"/>
              </w:rPr>
              <w:t>CENIA</w:t>
            </w:r>
          </w:p>
        </w:tc>
        <w:tc>
          <w:tcPr>
            <w:tcW w:w="6946" w:type="dxa"/>
            <w:shd w:val="clear" w:color="auto" w:fill="auto"/>
            <w:vAlign w:val="center"/>
            <w:hideMark/>
          </w:tcPr>
          <w:p w:rsidR="009A7B5C" w:rsidRPr="00ED38E9" w:rsidRDefault="009A7B5C" w:rsidP="00E34593">
            <w:pPr>
              <w:spacing w:line="240" w:lineRule="auto"/>
              <w:rPr>
                <w:rFonts w:cs="Arial"/>
                <w:noProof w:val="0"/>
                <w:color w:val="000000"/>
                <w:lang w:eastAsia="cs-CZ" w:bidi="ar-SA"/>
              </w:rPr>
            </w:pPr>
            <w:r w:rsidRPr="00ED38E9">
              <w:rPr>
                <w:rFonts w:cs="Arial"/>
                <w:noProof w:val="0"/>
                <w:color w:val="000000"/>
                <w:lang w:eastAsia="cs-CZ" w:bidi="ar-SA"/>
              </w:rPr>
              <w:t>CENIA, česká informační agentura životního prostředí</w:t>
            </w:r>
          </w:p>
        </w:tc>
      </w:tr>
      <w:tr w:rsidR="00E0452D" w:rsidRPr="000B7CBF" w:rsidTr="00783869">
        <w:trPr>
          <w:trHeight w:val="397"/>
        </w:trPr>
        <w:tc>
          <w:tcPr>
            <w:tcW w:w="1990" w:type="dxa"/>
            <w:shd w:val="clear" w:color="auto" w:fill="auto"/>
            <w:vAlign w:val="center"/>
          </w:tcPr>
          <w:p w:rsidR="00E0452D" w:rsidRPr="00ED38E9" w:rsidRDefault="00E0452D" w:rsidP="00E34593">
            <w:pPr>
              <w:spacing w:line="240" w:lineRule="auto"/>
              <w:jc w:val="left"/>
              <w:rPr>
                <w:rFonts w:cs="Arial"/>
                <w:noProof w:val="0"/>
                <w:color w:val="000000"/>
                <w:lang w:eastAsia="cs-CZ" w:bidi="ar-SA"/>
              </w:rPr>
            </w:pPr>
            <w:r w:rsidRPr="00ED38E9">
              <w:rPr>
                <w:rFonts w:cs="Arial"/>
                <w:lang w:eastAsia="cs-CZ"/>
              </w:rPr>
              <w:t>ČAOH</w:t>
            </w:r>
          </w:p>
        </w:tc>
        <w:tc>
          <w:tcPr>
            <w:tcW w:w="6946" w:type="dxa"/>
            <w:shd w:val="clear" w:color="auto" w:fill="auto"/>
            <w:vAlign w:val="center"/>
          </w:tcPr>
          <w:p w:rsidR="00E0452D" w:rsidRPr="00ED38E9" w:rsidRDefault="00E0452D" w:rsidP="00E34593">
            <w:pPr>
              <w:spacing w:line="240" w:lineRule="auto"/>
              <w:rPr>
                <w:rFonts w:cs="Arial"/>
                <w:noProof w:val="0"/>
                <w:color w:val="000000"/>
                <w:lang w:eastAsia="cs-CZ" w:bidi="ar-SA"/>
              </w:rPr>
            </w:pPr>
            <w:r w:rsidRPr="00ED38E9">
              <w:rPr>
                <w:rFonts w:cs="Arial"/>
                <w:lang w:eastAsia="cs-CZ"/>
              </w:rPr>
              <w:t>Česká asociace odpadového hospodářství</w:t>
            </w:r>
          </w:p>
        </w:tc>
      </w:tr>
      <w:tr w:rsidR="009A7B5C" w:rsidRPr="000B7CBF" w:rsidTr="00783869">
        <w:trPr>
          <w:trHeight w:val="397"/>
        </w:trPr>
        <w:tc>
          <w:tcPr>
            <w:tcW w:w="1990" w:type="dxa"/>
            <w:shd w:val="clear" w:color="auto" w:fill="auto"/>
            <w:vAlign w:val="center"/>
            <w:hideMark/>
          </w:tcPr>
          <w:p w:rsidR="009A7B5C" w:rsidRPr="00ED38E9" w:rsidRDefault="009A7B5C" w:rsidP="00E34593">
            <w:pPr>
              <w:spacing w:line="240" w:lineRule="auto"/>
              <w:jc w:val="left"/>
              <w:rPr>
                <w:rFonts w:cs="Arial"/>
                <w:noProof w:val="0"/>
                <w:color w:val="000000"/>
                <w:lang w:eastAsia="cs-CZ" w:bidi="ar-SA"/>
              </w:rPr>
            </w:pPr>
            <w:r w:rsidRPr="00ED38E9">
              <w:rPr>
                <w:rFonts w:cs="Arial"/>
                <w:noProof w:val="0"/>
                <w:color w:val="000000"/>
                <w:lang w:eastAsia="cs-CZ" w:bidi="ar-SA"/>
              </w:rPr>
              <w:t>ČIŽP</w:t>
            </w:r>
          </w:p>
        </w:tc>
        <w:tc>
          <w:tcPr>
            <w:tcW w:w="6946" w:type="dxa"/>
            <w:shd w:val="clear" w:color="auto" w:fill="auto"/>
            <w:vAlign w:val="center"/>
            <w:hideMark/>
          </w:tcPr>
          <w:p w:rsidR="009A7B5C" w:rsidRPr="00ED38E9" w:rsidRDefault="009A7B5C" w:rsidP="00E34593">
            <w:pPr>
              <w:spacing w:line="240" w:lineRule="auto"/>
              <w:rPr>
                <w:rFonts w:cs="Arial"/>
                <w:noProof w:val="0"/>
                <w:color w:val="000000"/>
                <w:lang w:eastAsia="cs-CZ" w:bidi="ar-SA"/>
              </w:rPr>
            </w:pPr>
            <w:r w:rsidRPr="00ED38E9">
              <w:rPr>
                <w:rFonts w:cs="Arial"/>
                <w:noProof w:val="0"/>
                <w:color w:val="000000"/>
                <w:lang w:eastAsia="cs-CZ" w:bidi="ar-SA"/>
              </w:rPr>
              <w:t>Česká inspekce životního prostředí</w:t>
            </w:r>
          </w:p>
        </w:tc>
      </w:tr>
      <w:tr w:rsidR="00D62CB8" w:rsidRPr="000B7CBF" w:rsidTr="00783869">
        <w:trPr>
          <w:trHeight w:val="397"/>
        </w:trPr>
        <w:tc>
          <w:tcPr>
            <w:tcW w:w="1990" w:type="dxa"/>
            <w:shd w:val="clear" w:color="auto" w:fill="auto"/>
            <w:vAlign w:val="center"/>
          </w:tcPr>
          <w:p w:rsidR="00D62CB8" w:rsidRPr="00ED38E9" w:rsidRDefault="00D62CB8" w:rsidP="00E34593">
            <w:pPr>
              <w:spacing w:line="240" w:lineRule="auto"/>
              <w:jc w:val="left"/>
              <w:rPr>
                <w:rFonts w:cs="Arial"/>
                <w:noProof w:val="0"/>
                <w:color w:val="000000"/>
                <w:lang w:eastAsia="cs-CZ" w:bidi="ar-SA"/>
              </w:rPr>
            </w:pPr>
            <w:r>
              <w:rPr>
                <w:rFonts w:cs="Arial"/>
                <w:noProof w:val="0"/>
                <w:color w:val="000000"/>
                <w:lang w:eastAsia="cs-CZ" w:bidi="ar-SA"/>
              </w:rPr>
              <w:t>ČOI</w:t>
            </w:r>
          </w:p>
        </w:tc>
        <w:tc>
          <w:tcPr>
            <w:tcW w:w="6946" w:type="dxa"/>
            <w:shd w:val="clear" w:color="auto" w:fill="auto"/>
            <w:vAlign w:val="center"/>
          </w:tcPr>
          <w:p w:rsidR="00D62CB8" w:rsidRPr="00ED38E9" w:rsidRDefault="00D62CB8" w:rsidP="00E34593">
            <w:pPr>
              <w:spacing w:line="240" w:lineRule="auto"/>
              <w:rPr>
                <w:rFonts w:cs="Arial"/>
                <w:noProof w:val="0"/>
                <w:color w:val="000000"/>
                <w:lang w:eastAsia="cs-CZ" w:bidi="ar-SA"/>
              </w:rPr>
            </w:pPr>
            <w:r>
              <w:rPr>
                <w:rFonts w:cs="Arial"/>
                <w:noProof w:val="0"/>
                <w:color w:val="000000"/>
                <w:lang w:eastAsia="cs-CZ" w:bidi="ar-SA"/>
              </w:rPr>
              <w:t>Česká obchodní inspekce</w:t>
            </w:r>
          </w:p>
        </w:tc>
      </w:tr>
      <w:tr w:rsidR="00E0452D" w:rsidRPr="000B7CBF" w:rsidTr="00783869">
        <w:trPr>
          <w:trHeight w:val="397"/>
        </w:trPr>
        <w:tc>
          <w:tcPr>
            <w:tcW w:w="1990" w:type="dxa"/>
            <w:shd w:val="clear" w:color="auto" w:fill="auto"/>
            <w:vAlign w:val="center"/>
          </w:tcPr>
          <w:p w:rsidR="00E0452D" w:rsidRPr="00ED38E9" w:rsidRDefault="00E0452D" w:rsidP="00E34593">
            <w:pPr>
              <w:spacing w:line="240" w:lineRule="auto"/>
              <w:jc w:val="left"/>
              <w:rPr>
                <w:rFonts w:cs="Arial"/>
                <w:noProof w:val="0"/>
                <w:color w:val="000000"/>
                <w:lang w:eastAsia="cs-CZ" w:bidi="ar-SA"/>
              </w:rPr>
            </w:pPr>
            <w:r w:rsidRPr="00ED38E9">
              <w:rPr>
                <w:rFonts w:cs="Arial"/>
                <w:lang w:eastAsia="cs-CZ"/>
              </w:rPr>
              <w:t>ČR</w:t>
            </w:r>
          </w:p>
        </w:tc>
        <w:tc>
          <w:tcPr>
            <w:tcW w:w="6946" w:type="dxa"/>
            <w:shd w:val="clear" w:color="auto" w:fill="auto"/>
            <w:vAlign w:val="center"/>
          </w:tcPr>
          <w:p w:rsidR="00E0452D" w:rsidRPr="00ED38E9" w:rsidRDefault="00E0452D" w:rsidP="00E34593">
            <w:pPr>
              <w:spacing w:line="240" w:lineRule="auto"/>
              <w:rPr>
                <w:rFonts w:cs="Arial"/>
                <w:noProof w:val="0"/>
                <w:color w:val="000000"/>
                <w:lang w:eastAsia="cs-CZ" w:bidi="ar-SA"/>
              </w:rPr>
            </w:pPr>
            <w:r w:rsidRPr="00ED38E9">
              <w:rPr>
                <w:rFonts w:cs="Arial"/>
                <w:noProof w:val="0"/>
                <w:color w:val="000000"/>
                <w:lang w:eastAsia="cs-CZ" w:bidi="ar-SA"/>
              </w:rPr>
              <w:t>Česká republika</w:t>
            </w:r>
          </w:p>
        </w:tc>
      </w:tr>
      <w:tr w:rsidR="00E0452D" w:rsidRPr="000B7CBF" w:rsidTr="00783869">
        <w:trPr>
          <w:trHeight w:val="397"/>
        </w:trPr>
        <w:tc>
          <w:tcPr>
            <w:tcW w:w="1990" w:type="dxa"/>
            <w:shd w:val="clear" w:color="auto" w:fill="auto"/>
            <w:vAlign w:val="center"/>
          </w:tcPr>
          <w:p w:rsidR="00E0452D" w:rsidRPr="00ED38E9" w:rsidRDefault="00E0452D" w:rsidP="00E34593">
            <w:pPr>
              <w:spacing w:line="240" w:lineRule="auto"/>
              <w:jc w:val="left"/>
              <w:rPr>
                <w:rFonts w:cs="Arial"/>
                <w:lang w:eastAsia="cs-CZ"/>
              </w:rPr>
            </w:pPr>
            <w:r w:rsidRPr="00ED38E9">
              <w:rPr>
                <w:rFonts w:cs="Arial"/>
                <w:lang w:eastAsia="cs-CZ"/>
              </w:rPr>
              <w:t>DPA</w:t>
            </w:r>
          </w:p>
        </w:tc>
        <w:tc>
          <w:tcPr>
            <w:tcW w:w="6946" w:type="dxa"/>
            <w:shd w:val="clear" w:color="auto" w:fill="auto"/>
            <w:vAlign w:val="center"/>
          </w:tcPr>
          <w:p w:rsidR="00E0452D" w:rsidRPr="00ED38E9" w:rsidRDefault="00E0452D" w:rsidP="00E34593">
            <w:pPr>
              <w:spacing w:line="240" w:lineRule="auto"/>
              <w:rPr>
                <w:rFonts w:cs="Arial"/>
                <w:noProof w:val="0"/>
                <w:color w:val="000000"/>
                <w:lang w:eastAsia="cs-CZ" w:bidi="ar-SA"/>
              </w:rPr>
            </w:pPr>
            <w:r w:rsidRPr="00ED38E9">
              <w:rPr>
                <w:rFonts w:cs="Arial"/>
                <w:lang w:eastAsia="cs-CZ"/>
              </w:rPr>
              <w:t>Dánský operátor trhu s odpadním elektrozařízením</w:t>
            </w:r>
          </w:p>
        </w:tc>
      </w:tr>
      <w:tr w:rsidR="003B7283" w:rsidRPr="000B7CBF" w:rsidTr="00783869">
        <w:trPr>
          <w:trHeight w:val="397"/>
        </w:trPr>
        <w:tc>
          <w:tcPr>
            <w:tcW w:w="1990" w:type="dxa"/>
            <w:shd w:val="clear" w:color="auto" w:fill="auto"/>
            <w:vAlign w:val="center"/>
          </w:tcPr>
          <w:p w:rsidR="003B7283" w:rsidRPr="00ED38E9" w:rsidRDefault="003B7283" w:rsidP="00E34593">
            <w:pPr>
              <w:spacing w:line="240" w:lineRule="auto"/>
              <w:jc w:val="left"/>
              <w:rPr>
                <w:rFonts w:cs="Arial"/>
                <w:lang w:eastAsia="cs-CZ"/>
              </w:rPr>
            </w:pPr>
            <w:r w:rsidRPr="00ED38E9">
              <w:rPr>
                <w:rFonts w:cs="Arial"/>
                <w:lang w:eastAsia="cs-CZ"/>
              </w:rPr>
              <w:t>EAG-VO</w:t>
            </w:r>
          </w:p>
        </w:tc>
        <w:tc>
          <w:tcPr>
            <w:tcW w:w="6946" w:type="dxa"/>
            <w:shd w:val="clear" w:color="auto" w:fill="auto"/>
            <w:vAlign w:val="center"/>
          </w:tcPr>
          <w:p w:rsidR="003B7283" w:rsidRPr="00ED38E9" w:rsidRDefault="003B7283">
            <w:pPr>
              <w:spacing w:line="240" w:lineRule="auto"/>
              <w:rPr>
                <w:rFonts w:cs="Arial"/>
                <w:lang w:eastAsia="cs-CZ"/>
              </w:rPr>
            </w:pPr>
            <w:r w:rsidRPr="00ED38E9">
              <w:rPr>
                <w:rFonts w:cs="Arial"/>
                <w:lang w:eastAsia="cs-CZ"/>
              </w:rPr>
              <w:t>Elektroaltgeräteverordnung (zákon o odpadních elektrických a</w:t>
            </w:r>
            <w:r w:rsidR="00A45DD6" w:rsidRPr="00ED38E9">
              <w:rPr>
                <w:rFonts w:cs="Arial"/>
                <w:lang w:eastAsia="cs-CZ"/>
              </w:rPr>
              <w:t> </w:t>
            </w:r>
            <w:r w:rsidRPr="00ED38E9">
              <w:rPr>
                <w:rFonts w:cs="Arial"/>
                <w:lang w:eastAsia="cs-CZ"/>
              </w:rPr>
              <w:t>elektronických zařízeních) v Rakousku</w:t>
            </w:r>
          </w:p>
        </w:tc>
      </w:tr>
      <w:tr w:rsidR="009A7B5C" w:rsidRPr="000B7CBF" w:rsidTr="00783869">
        <w:trPr>
          <w:trHeight w:val="397"/>
        </w:trPr>
        <w:tc>
          <w:tcPr>
            <w:tcW w:w="1990" w:type="dxa"/>
            <w:shd w:val="clear" w:color="auto" w:fill="auto"/>
            <w:vAlign w:val="center"/>
          </w:tcPr>
          <w:p w:rsidR="009A7B5C" w:rsidRPr="00ED38E9" w:rsidRDefault="003B7283" w:rsidP="00E34593">
            <w:pPr>
              <w:spacing w:line="240" w:lineRule="auto"/>
              <w:jc w:val="left"/>
              <w:rPr>
                <w:rFonts w:cs="Arial"/>
                <w:noProof w:val="0"/>
                <w:color w:val="000000"/>
                <w:lang w:eastAsia="cs-CZ" w:bidi="ar-SA"/>
              </w:rPr>
            </w:pPr>
            <w:r w:rsidRPr="00ED38E9">
              <w:rPr>
                <w:rFonts w:cs="Arial"/>
                <w:lang w:eastAsia="cs-CZ"/>
              </w:rPr>
              <w:t>EAK</w:t>
            </w:r>
          </w:p>
        </w:tc>
        <w:tc>
          <w:tcPr>
            <w:tcW w:w="6946" w:type="dxa"/>
            <w:shd w:val="clear" w:color="auto" w:fill="auto"/>
            <w:vAlign w:val="center"/>
          </w:tcPr>
          <w:p w:rsidR="009A7B5C" w:rsidRPr="00ED38E9" w:rsidRDefault="003B7283" w:rsidP="00E34593">
            <w:pPr>
              <w:spacing w:line="240" w:lineRule="auto"/>
              <w:rPr>
                <w:rFonts w:cs="Arial"/>
                <w:noProof w:val="0"/>
                <w:color w:val="000000"/>
                <w:lang w:eastAsia="cs-CZ" w:bidi="ar-SA"/>
              </w:rPr>
            </w:pPr>
            <w:r w:rsidRPr="00ED38E9">
              <w:rPr>
                <w:rFonts w:cs="Arial"/>
                <w:lang w:eastAsia="cs-CZ"/>
              </w:rPr>
              <w:t>Elektroaltgeräte Koordinierungsstelle Austria GmbH (rakouský operátor trhu s odpadním elektrozařízením)</w:t>
            </w:r>
          </w:p>
        </w:tc>
      </w:tr>
      <w:tr w:rsidR="003B7283" w:rsidRPr="000B7CBF" w:rsidTr="00783869">
        <w:trPr>
          <w:trHeight w:val="397"/>
        </w:trPr>
        <w:tc>
          <w:tcPr>
            <w:tcW w:w="1990" w:type="dxa"/>
            <w:shd w:val="clear" w:color="auto" w:fill="auto"/>
            <w:vAlign w:val="center"/>
          </w:tcPr>
          <w:p w:rsidR="003B7283" w:rsidRPr="00ED38E9" w:rsidRDefault="003B7283" w:rsidP="00E34593">
            <w:pPr>
              <w:spacing w:line="240" w:lineRule="auto"/>
              <w:jc w:val="left"/>
              <w:rPr>
                <w:rFonts w:cs="Arial"/>
                <w:noProof w:val="0"/>
                <w:color w:val="000000"/>
                <w:lang w:eastAsia="cs-CZ" w:bidi="ar-SA"/>
              </w:rPr>
            </w:pPr>
            <w:r w:rsidRPr="00ED38E9">
              <w:rPr>
                <w:rFonts w:cs="Arial"/>
                <w:lang w:eastAsia="cs-CZ"/>
              </w:rPr>
              <w:t>EAR</w:t>
            </w:r>
          </w:p>
        </w:tc>
        <w:tc>
          <w:tcPr>
            <w:tcW w:w="6946" w:type="dxa"/>
            <w:shd w:val="clear" w:color="auto" w:fill="auto"/>
            <w:vAlign w:val="center"/>
          </w:tcPr>
          <w:p w:rsidR="003B7283" w:rsidRPr="00ED38E9" w:rsidRDefault="003B7283" w:rsidP="00E34593">
            <w:pPr>
              <w:spacing w:line="240" w:lineRule="auto"/>
              <w:rPr>
                <w:rFonts w:cs="Arial"/>
                <w:noProof w:val="0"/>
                <w:color w:val="000000"/>
                <w:lang w:eastAsia="cs-CZ" w:bidi="ar-SA"/>
              </w:rPr>
            </w:pPr>
            <w:r w:rsidRPr="00ED38E9">
              <w:rPr>
                <w:rFonts w:cs="Arial"/>
                <w:lang w:eastAsia="cs-CZ"/>
              </w:rPr>
              <w:t>Elektro-Altgeräte Register (Registr elektrozařízení)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EEZ</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elektrická a elektronická zařízení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EK</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Evropská komise</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lang w:eastAsia="cs-CZ"/>
              </w:rPr>
              <w:t>ElektroG</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lang w:eastAsia="cs-CZ"/>
              </w:rPr>
              <w:t>Elektro- und Elektronikgerätegesetz (zákon o elektrických a elektronických zařízeních)</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lang w:eastAsia="cs-CZ"/>
              </w:rPr>
              <w:t>EPA</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lang w:eastAsia="cs-CZ"/>
              </w:rPr>
              <w:t>Danish Producer Responsibility (Dánské Ministerstvo životního prostředí)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lang w:eastAsia="cs-CZ"/>
              </w:rPr>
            </w:pPr>
            <w:r w:rsidRPr="00ED38E9">
              <w:rPr>
                <w:rFonts w:cs="Arial"/>
                <w:lang w:eastAsia="cs-CZ"/>
              </w:rPr>
              <w:t>ERP</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lang w:eastAsia="cs-CZ"/>
              </w:rPr>
              <w:t>European Recycling Platform</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lang w:eastAsia="cs-CZ"/>
              </w:rPr>
            </w:pPr>
            <w:r w:rsidRPr="00ED38E9">
              <w:rPr>
                <w:rFonts w:cs="Arial"/>
                <w:noProof w:val="0"/>
                <w:color w:val="000000"/>
                <w:lang w:eastAsia="cs-CZ" w:bidi="ar-SA"/>
              </w:rPr>
              <w:t>EU</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Evropská unie</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lastRenderedPageBreak/>
              <w:t>HEEZ</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historická elektrická a elektronická zařízení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Hyundai</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 xml:space="preserve">Hyundai Motor </w:t>
            </w:r>
            <w:proofErr w:type="spellStart"/>
            <w:r w:rsidRPr="00ED38E9">
              <w:rPr>
                <w:rFonts w:cs="Arial"/>
                <w:noProof w:val="0"/>
                <w:color w:val="000000"/>
                <w:lang w:eastAsia="cs-CZ" w:bidi="ar-SA"/>
              </w:rPr>
              <w:t>Manufacturing</w:t>
            </w:r>
            <w:proofErr w:type="spellEnd"/>
            <w:r w:rsidRPr="00ED38E9">
              <w:rPr>
                <w:rFonts w:cs="Arial"/>
                <w:noProof w:val="0"/>
                <w:color w:val="000000"/>
                <w:lang w:eastAsia="cs-CZ" w:bidi="ar-SA"/>
              </w:rPr>
              <w:t xml:space="preserve"> Czech s.r.o.</w:t>
            </w:r>
          </w:p>
        </w:tc>
      </w:tr>
      <w:tr w:rsidR="003B7283" w:rsidRPr="000B7CBF" w:rsidTr="00783869">
        <w:trPr>
          <w:trHeight w:val="397"/>
        </w:trPr>
        <w:tc>
          <w:tcPr>
            <w:tcW w:w="1990" w:type="dxa"/>
            <w:shd w:val="clear" w:color="auto" w:fill="auto"/>
            <w:vAlign w:val="center"/>
          </w:tcPr>
          <w:p w:rsidR="003B7283" w:rsidRPr="00ED38E9" w:rsidRDefault="003B7283" w:rsidP="004F3D66">
            <w:pPr>
              <w:spacing w:line="240" w:lineRule="auto"/>
              <w:jc w:val="left"/>
              <w:rPr>
                <w:rFonts w:cs="Arial"/>
                <w:noProof w:val="0"/>
                <w:color w:val="000000"/>
                <w:lang w:eastAsia="cs-CZ" w:bidi="ar-SA"/>
              </w:rPr>
            </w:pPr>
            <w:r w:rsidRPr="00ED38E9">
              <w:rPr>
                <w:rFonts w:cs="Arial"/>
                <w:noProof w:val="0"/>
                <w:color w:val="000000"/>
                <w:lang w:eastAsia="cs-CZ" w:bidi="ar-SA"/>
              </w:rPr>
              <w:t>IPPC</w:t>
            </w:r>
          </w:p>
        </w:tc>
        <w:tc>
          <w:tcPr>
            <w:tcW w:w="6946" w:type="dxa"/>
            <w:shd w:val="clear" w:color="auto" w:fill="auto"/>
            <w:vAlign w:val="center"/>
          </w:tcPr>
          <w:p w:rsidR="003B7283" w:rsidRPr="00ED38E9" w:rsidRDefault="003B7283" w:rsidP="004F3D66">
            <w:pPr>
              <w:spacing w:line="240" w:lineRule="auto"/>
              <w:jc w:val="left"/>
              <w:rPr>
                <w:rFonts w:cs="Arial"/>
                <w:noProof w:val="0"/>
                <w:color w:val="000000"/>
                <w:lang w:eastAsia="cs-CZ" w:bidi="ar-SA"/>
              </w:rPr>
            </w:pPr>
            <w:r w:rsidRPr="00ED38E9">
              <w:rPr>
                <w:rFonts w:cs="Arial"/>
                <w:noProof w:val="0"/>
                <w:color w:val="000000"/>
                <w:lang w:eastAsia="cs-CZ" w:bidi="ar-SA"/>
              </w:rPr>
              <w:t>integrovaná prevence a omezování znečištění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IRISBUS</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Iveco Czech Republic</w:t>
            </w:r>
          </w:p>
        </w:tc>
      </w:tr>
      <w:tr w:rsidR="003B7283" w:rsidRPr="000B7CBF" w:rsidTr="00783869">
        <w:trPr>
          <w:trHeight w:val="397"/>
        </w:trPr>
        <w:tc>
          <w:tcPr>
            <w:tcW w:w="1990" w:type="dxa"/>
            <w:shd w:val="clear" w:color="auto" w:fill="auto"/>
            <w:noWrap/>
            <w:vAlign w:val="center"/>
          </w:tcPr>
          <w:p w:rsidR="003B7283" w:rsidRPr="00ED38E9" w:rsidRDefault="003B7283" w:rsidP="004F3D66">
            <w:pPr>
              <w:spacing w:line="240" w:lineRule="auto"/>
              <w:jc w:val="left"/>
              <w:rPr>
                <w:rFonts w:cs="Arial"/>
                <w:noProof w:val="0"/>
                <w:color w:val="000000"/>
                <w:lang w:eastAsia="cs-CZ" w:bidi="ar-SA"/>
              </w:rPr>
            </w:pPr>
            <w:r w:rsidRPr="00ED38E9">
              <w:rPr>
                <w:rFonts w:cs="Arial"/>
                <w:noProof w:val="0"/>
                <w:color w:val="000000"/>
                <w:lang w:eastAsia="cs-CZ" w:bidi="ar-SA"/>
              </w:rPr>
              <w:t>ISOH</w:t>
            </w:r>
          </w:p>
        </w:tc>
        <w:tc>
          <w:tcPr>
            <w:tcW w:w="6946" w:type="dxa"/>
            <w:shd w:val="clear" w:color="auto" w:fill="auto"/>
            <w:noWrap/>
            <w:vAlign w:val="center"/>
          </w:tcPr>
          <w:p w:rsidR="003B7283" w:rsidRPr="00ED38E9" w:rsidRDefault="003B7283" w:rsidP="004425E5">
            <w:pPr>
              <w:spacing w:line="240" w:lineRule="auto"/>
              <w:jc w:val="left"/>
              <w:rPr>
                <w:rFonts w:cs="Arial"/>
                <w:noProof w:val="0"/>
                <w:color w:val="000000"/>
                <w:lang w:eastAsia="cs-CZ" w:bidi="ar-SA"/>
              </w:rPr>
            </w:pPr>
            <w:r w:rsidRPr="00ED38E9">
              <w:rPr>
                <w:rFonts w:cs="Arial"/>
                <w:noProof w:val="0"/>
                <w:color w:val="000000"/>
                <w:lang w:eastAsia="cs-CZ" w:bidi="ar-SA"/>
              </w:rPr>
              <w:t>Informační systém odpadového hospodářství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ISPOP</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Integrovaný systém plnění ohlašovacích povinností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KS</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kolektivní systém</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KÚ</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krajský úřad</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MC</w:t>
            </w:r>
          </w:p>
        </w:tc>
        <w:tc>
          <w:tcPr>
            <w:tcW w:w="6946" w:type="dxa"/>
            <w:shd w:val="clear" w:color="auto" w:fill="auto"/>
            <w:vAlign w:val="center"/>
          </w:tcPr>
          <w:p w:rsidR="003B7283" w:rsidRPr="00ED38E9" w:rsidRDefault="00066A74" w:rsidP="003B7283">
            <w:pPr>
              <w:spacing w:line="240" w:lineRule="auto"/>
              <w:rPr>
                <w:rFonts w:cs="Arial"/>
                <w:noProof w:val="0"/>
                <w:color w:val="000000"/>
                <w:lang w:eastAsia="cs-CZ" w:bidi="ar-SA"/>
              </w:rPr>
            </w:pPr>
            <w:r w:rsidRPr="00ED38E9">
              <w:rPr>
                <w:rFonts w:cs="Arial"/>
                <w:noProof w:val="0"/>
                <w:color w:val="000000"/>
                <w:lang w:eastAsia="cs-CZ" w:bidi="ar-SA"/>
              </w:rPr>
              <w:t>m</w:t>
            </w:r>
            <w:r w:rsidR="003B7283" w:rsidRPr="00ED38E9">
              <w:rPr>
                <w:rFonts w:cs="Arial"/>
                <w:noProof w:val="0"/>
                <w:color w:val="000000"/>
                <w:lang w:eastAsia="cs-CZ" w:bidi="ar-SA"/>
              </w:rPr>
              <w:t>ezní náklady</w:t>
            </w:r>
          </w:p>
        </w:tc>
      </w:tr>
      <w:tr w:rsidR="002D718D" w:rsidRPr="000B7CBF" w:rsidTr="00783869">
        <w:trPr>
          <w:trHeight w:val="397"/>
        </w:trPr>
        <w:tc>
          <w:tcPr>
            <w:tcW w:w="1990" w:type="dxa"/>
            <w:shd w:val="clear" w:color="auto" w:fill="auto"/>
            <w:vAlign w:val="center"/>
          </w:tcPr>
          <w:p w:rsidR="002D718D" w:rsidRPr="00ED38E9" w:rsidRDefault="002D718D" w:rsidP="003B7283">
            <w:pPr>
              <w:spacing w:line="240" w:lineRule="auto"/>
              <w:jc w:val="left"/>
              <w:rPr>
                <w:rFonts w:cs="Arial"/>
                <w:noProof w:val="0"/>
                <w:color w:val="000000"/>
                <w:lang w:eastAsia="cs-CZ" w:bidi="ar-SA"/>
              </w:rPr>
            </w:pPr>
            <w:r w:rsidRPr="00ED38E9">
              <w:rPr>
                <w:rFonts w:cs="Arial"/>
                <w:noProof w:val="0"/>
                <w:color w:val="000000"/>
                <w:lang w:eastAsia="cs-CZ" w:bidi="ar-SA"/>
              </w:rPr>
              <w:t>Metodika MPO</w:t>
            </w:r>
          </w:p>
        </w:tc>
        <w:tc>
          <w:tcPr>
            <w:tcW w:w="6946" w:type="dxa"/>
            <w:shd w:val="clear" w:color="auto" w:fill="auto"/>
            <w:vAlign w:val="center"/>
          </w:tcPr>
          <w:p w:rsidR="002D718D" w:rsidRPr="00ED38E9" w:rsidRDefault="00066A74" w:rsidP="003B7283">
            <w:pPr>
              <w:spacing w:line="240" w:lineRule="auto"/>
              <w:rPr>
                <w:rFonts w:cs="Arial"/>
                <w:noProof w:val="0"/>
                <w:color w:val="000000"/>
                <w:lang w:eastAsia="cs-CZ" w:bidi="ar-SA"/>
              </w:rPr>
            </w:pPr>
            <w:r w:rsidRPr="00ED38E9">
              <w:rPr>
                <w:rFonts w:cs="Arial"/>
                <w:noProof w:val="0"/>
                <w:color w:val="000000"/>
                <w:lang w:eastAsia="cs-CZ" w:bidi="ar-SA"/>
              </w:rPr>
              <w:t>Metodika měření a přeměřování administrativní zátěže podnikatelů</w:t>
            </w:r>
          </w:p>
        </w:tc>
      </w:tr>
      <w:tr w:rsidR="002D718D" w:rsidRPr="000B7CBF" w:rsidTr="00783869">
        <w:trPr>
          <w:trHeight w:val="397"/>
        </w:trPr>
        <w:tc>
          <w:tcPr>
            <w:tcW w:w="1990" w:type="dxa"/>
            <w:shd w:val="clear" w:color="auto" w:fill="auto"/>
            <w:vAlign w:val="center"/>
          </w:tcPr>
          <w:p w:rsidR="002D718D" w:rsidRPr="00ED38E9" w:rsidRDefault="002D718D" w:rsidP="003B7283">
            <w:pPr>
              <w:spacing w:line="240" w:lineRule="auto"/>
              <w:jc w:val="left"/>
              <w:rPr>
                <w:rFonts w:cs="Arial"/>
                <w:noProof w:val="0"/>
                <w:color w:val="000000"/>
                <w:lang w:eastAsia="cs-CZ" w:bidi="ar-SA"/>
              </w:rPr>
            </w:pPr>
            <w:r w:rsidRPr="00ED38E9">
              <w:rPr>
                <w:rFonts w:cs="Arial"/>
                <w:noProof w:val="0"/>
                <w:color w:val="000000"/>
                <w:lang w:eastAsia="cs-CZ" w:bidi="ar-SA"/>
              </w:rPr>
              <w:t>Metodika MV</w:t>
            </w:r>
          </w:p>
        </w:tc>
        <w:tc>
          <w:tcPr>
            <w:tcW w:w="6946" w:type="dxa"/>
            <w:shd w:val="clear" w:color="auto" w:fill="auto"/>
            <w:vAlign w:val="center"/>
          </w:tcPr>
          <w:p w:rsidR="002D718D" w:rsidRPr="00ED38E9" w:rsidRDefault="00066A74" w:rsidP="003B7283">
            <w:pPr>
              <w:spacing w:line="240" w:lineRule="auto"/>
              <w:rPr>
                <w:rFonts w:cs="Arial"/>
                <w:noProof w:val="0"/>
                <w:color w:val="000000"/>
                <w:lang w:eastAsia="cs-CZ" w:bidi="ar-SA"/>
              </w:rPr>
            </w:pPr>
            <w:r w:rsidRPr="00ED38E9">
              <w:rPr>
                <w:rFonts w:cs="Arial"/>
                <w:noProof w:val="0"/>
                <w:color w:val="000000"/>
                <w:lang w:eastAsia="cs-CZ" w:bidi="ar-SA"/>
              </w:rPr>
              <w:t>Metodika stanovení plánovaných nákladů na výkon státní správy</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MPO</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Ministerstvo průmyslu a obchodu</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MR</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Mezní příjmy</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MŽP</w:t>
            </w:r>
            <w:r w:rsidR="00BA0F9A" w:rsidRPr="00ED38E9">
              <w:rPr>
                <w:rFonts w:cs="Arial"/>
                <w:noProof w:val="0"/>
                <w:color w:val="000000"/>
                <w:lang w:eastAsia="cs-CZ" w:bidi="ar-SA"/>
              </w:rPr>
              <w:t>, ministerstvo</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Ministerstvo životního prostředí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OEEZ</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odpadní elektrická a elektronická zařízení</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ORP</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obec s rozšířenou působností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lang w:eastAsia="cs-CZ"/>
              </w:rPr>
              <w:t>örE</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lang w:eastAsia="cs-CZ"/>
              </w:rPr>
              <w:t>Öffentlich-rechtlicher Entsorgungsträger (veřejná právnická osoba zabývající se zpětným odběrem odpadu)</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P</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Cena</w:t>
            </w:r>
          </w:p>
        </w:tc>
      </w:tr>
      <w:tr w:rsidR="005D660F" w:rsidRPr="000B7CBF" w:rsidTr="00783869">
        <w:trPr>
          <w:trHeight w:val="397"/>
        </w:trPr>
        <w:tc>
          <w:tcPr>
            <w:tcW w:w="1990" w:type="dxa"/>
            <w:shd w:val="clear" w:color="auto" w:fill="auto"/>
            <w:vAlign w:val="center"/>
          </w:tcPr>
          <w:p w:rsidR="005D660F" w:rsidRPr="00ED38E9" w:rsidRDefault="005D660F" w:rsidP="003B7283">
            <w:pPr>
              <w:spacing w:line="240" w:lineRule="auto"/>
              <w:jc w:val="left"/>
              <w:rPr>
                <w:rFonts w:cs="Arial"/>
                <w:noProof w:val="0"/>
                <w:color w:val="000000"/>
                <w:lang w:eastAsia="cs-CZ" w:bidi="ar-SA"/>
              </w:rPr>
            </w:pPr>
            <w:r>
              <w:rPr>
                <w:rFonts w:cs="Arial"/>
                <w:noProof w:val="0"/>
                <w:color w:val="000000"/>
                <w:lang w:eastAsia="cs-CZ" w:bidi="ar-SA"/>
              </w:rPr>
              <w:t>PCB</w:t>
            </w:r>
          </w:p>
        </w:tc>
        <w:tc>
          <w:tcPr>
            <w:tcW w:w="6946" w:type="dxa"/>
            <w:shd w:val="clear" w:color="auto" w:fill="auto"/>
            <w:vAlign w:val="center"/>
          </w:tcPr>
          <w:p w:rsidR="005D660F" w:rsidRPr="00ED38E9" w:rsidRDefault="00077F75" w:rsidP="003B7283">
            <w:pPr>
              <w:spacing w:line="240" w:lineRule="auto"/>
              <w:rPr>
                <w:rFonts w:cs="Arial"/>
                <w:lang w:eastAsia="cs-CZ"/>
              </w:rPr>
            </w:pPr>
            <w:r>
              <w:rPr>
                <w:rFonts w:cs="Arial"/>
                <w:lang w:eastAsia="cs-CZ"/>
              </w:rPr>
              <w:t xml:space="preserve">Polychlorované bifenyly </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PHE</w:t>
            </w:r>
          </w:p>
        </w:tc>
        <w:tc>
          <w:tcPr>
            <w:tcW w:w="6946" w:type="dxa"/>
            <w:shd w:val="clear" w:color="auto" w:fill="auto"/>
            <w:vAlign w:val="center"/>
          </w:tcPr>
          <w:p w:rsidR="003B7283" w:rsidRPr="00ED38E9" w:rsidRDefault="00D1250C" w:rsidP="00DD72C3">
            <w:pPr>
              <w:spacing w:line="240" w:lineRule="auto"/>
              <w:rPr>
                <w:rFonts w:cs="Arial"/>
                <w:noProof w:val="0"/>
                <w:color w:val="000000"/>
                <w:lang w:eastAsia="cs-CZ" w:bidi="ar-SA"/>
              </w:rPr>
            </w:pPr>
            <w:r w:rsidRPr="00ED38E9">
              <w:rPr>
                <w:rFonts w:cs="Arial"/>
                <w:lang w:eastAsia="cs-CZ"/>
              </w:rPr>
              <w:t>Recyklační</w:t>
            </w:r>
            <w:r w:rsidRPr="00ED38E9">
              <w:rPr>
                <w:rFonts w:cs="Arial"/>
                <w:noProof w:val="0"/>
                <w:color w:val="000000"/>
                <w:lang w:eastAsia="cs-CZ" w:bidi="ar-SA"/>
              </w:rPr>
              <w:t xml:space="preserve"> </w:t>
            </w:r>
            <w:r w:rsidR="00DD72C3">
              <w:rPr>
                <w:rFonts w:cs="Arial"/>
                <w:noProof w:val="0"/>
                <w:color w:val="000000"/>
                <w:lang w:eastAsia="cs-CZ" w:bidi="ar-SA"/>
              </w:rPr>
              <w:t>příspěvek</w:t>
            </w:r>
            <w:r w:rsidR="00DD72C3" w:rsidRPr="00ED38E9">
              <w:rPr>
                <w:rFonts w:cs="Arial"/>
                <w:noProof w:val="0"/>
                <w:color w:val="000000"/>
                <w:lang w:eastAsia="cs-CZ" w:bidi="ar-SA"/>
              </w:rPr>
              <w:t xml:space="preserve"> </w:t>
            </w:r>
            <w:r w:rsidR="003B7283" w:rsidRPr="00ED38E9">
              <w:rPr>
                <w:rFonts w:cs="Arial"/>
                <w:noProof w:val="0"/>
                <w:color w:val="000000"/>
                <w:lang w:eastAsia="cs-CZ" w:bidi="ar-SA"/>
              </w:rPr>
              <w:t>za historická elektrozařízení</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PNE</w:t>
            </w:r>
          </w:p>
        </w:tc>
        <w:tc>
          <w:tcPr>
            <w:tcW w:w="6946" w:type="dxa"/>
            <w:shd w:val="clear" w:color="auto" w:fill="auto"/>
            <w:vAlign w:val="center"/>
          </w:tcPr>
          <w:p w:rsidR="003B7283" w:rsidRPr="00ED38E9" w:rsidRDefault="003B7283" w:rsidP="00DD72C3">
            <w:pPr>
              <w:spacing w:line="240" w:lineRule="auto"/>
              <w:rPr>
                <w:rFonts w:cs="Arial"/>
                <w:noProof w:val="0"/>
                <w:color w:val="000000"/>
                <w:lang w:eastAsia="cs-CZ" w:bidi="ar-SA"/>
              </w:rPr>
            </w:pPr>
            <w:r w:rsidRPr="00ED38E9">
              <w:rPr>
                <w:rFonts w:cs="Arial"/>
                <w:lang w:eastAsia="cs-CZ"/>
              </w:rPr>
              <w:t xml:space="preserve">Recyklační </w:t>
            </w:r>
            <w:r w:rsidR="00DD72C3">
              <w:rPr>
                <w:rFonts w:cs="Arial"/>
                <w:lang w:eastAsia="cs-CZ"/>
              </w:rPr>
              <w:t>příspěvek</w:t>
            </w:r>
            <w:r w:rsidRPr="00ED38E9">
              <w:rPr>
                <w:rFonts w:cs="Arial"/>
                <w:lang w:eastAsia="cs-CZ"/>
              </w:rPr>
              <w:t xml:space="preserve"> za elektrozařízení</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POH ČR</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Plán odpadového hospodářství České republiky</w:t>
            </w:r>
          </w:p>
        </w:tc>
      </w:tr>
      <w:tr w:rsidR="003B7283" w:rsidRPr="000B7CBF" w:rsidTr="00783869">
        <w:trPr>
          <w:trHeight w:val="397"/>
        </w:trPr>
        <w:tc>
          <w:tcPr>
            <w:tcW w:w="1990" w:type="dxa"/>
            <w:shd w:val="clear" w:color="auto" w:fill="auto"/>
            <w:vAlign w:val="center"/>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RIA</w:t>
            </w:r>
          </w:p>
        </w:tc>
        <w:tc>
          <w:tcPr>
            <w:tcW w:w="6946" w:type="dxa"/>
            <w:shd w:val="clear" w:color="auto" w:fill="auto"/>
            <w:vAlign w:val="center"/>
          </w:tcPr>
          <w:p w:rsidR="003B7283" w:rsidRPr="00ED38E9" w:rsidRDefault="003B7283" w:rsidP="003B7283">
            <w:pPr>
              <w:spacing w:line="240" w:lineRule="auto"/>
              <w:rPr>
                <w:rFonts w:cs="Arial"/>
                <w:noProof w:val="0"/>
                <w:color w:val="000000"/>
                <w:lang w:eastAsia="cs-CZ" w:bidi="ar-SA"/>
              </w:rPr>
            </w:pPr>
            <w:proofErr w:type="spellStart"/>
            <w:r w:rsidRPr="00ED38E9">
              <w:rPr>
                <w:rFonts w:cs="Arial"/>
                <w:noProof w:val="0"/>
                <w:color w:val="000000"/>
                <w:lang w:eastAsia="cs-CZ" w:bidi="ar-SA"/>
              </w:rPr>
              <w:t>Regulatory</w:t>
            </w:r>
            <w:proofErr w:type="spellEnd"/>
            <w:r w:rsidRPr="00ED38E9">
              <w:rPr>
                <w:rFonts w:cs="Arial"/>
                <w:noProof w:val="0"/>
                <w:color w:val="000000"/>
                <w:lang w:eastAsia="cs-CZ" w:bidi="ar-SA"/>
              </w:rPr>
              <w:t xml:space="preserve"> </w:t>
            </w:r>
            <w:proofErr w:type="spellStart"/>
            <w:r w:rsidRPr="00ED38E9">
              <w:rPr>
                <w:rFonts w:cs="Arial"/>
                <w:noProof w:val="0"/>
                <w:color w:val="000000"/>
                <w:lang w:eastAsia="cs-CZ" w:bidi="ar-SA"/>
              </w:rPr>
              <w:t>Impact</w:t>
            </w:r>
            <w:proofErr w:type="spellEnd"/>
            <w:r w:rsidRPr="00ED38E9">
              <w:rPr>
                <w:rFonts w:cs="Arial"/>
                <w:noProof w:val="0"/>
                <w:color w:val="000000"/>
                <w:lang w:eastAsia="cs-CZ" w:bidi="ar-SA"/>
              </w:rPr>
              <w:t xml:space="preserve"> </w:t>
            </w:r>
            <w:proofErr w:type="spellStart"/>
            <w:r w:rsidRPr="00ED38E9">
              <w:rPr>
                <w:rFonts w:cs="Arial"/>
                <w:noProof w:val="0"/>
                <w:color w:val="000000"/>
                <w:lang w:eastAsia="cs-CZ" w:bidi="ar-SA"/>
              </w:rPr>
              <w:t>Assessment</w:t>
            </w:r>
            <w:proofErr w:type="spellEnd"/>
            <w:r w:rsidRPr="00ED38E9">
              <w:rPr>
                <w:rFonts w:cs="Arial"/>
                <w:noProof w:val="0"/>
                <w:color w:val="000000"/>
                <w:lang w:eastAsia="cs-CZ" w:bidi="ar-SA"/>
              </w:rPr>
              <w:t xml:space="preserve"> (Hodnocení dopadů regulace)</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SAP</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Sdružení automobilového průmyslu</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SDA</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Sdružení dovozců automobilů</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Seznam</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Seznam výrobců pneumatik</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SFŽP ČR</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Státní fond životního prostředí ČR</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SOR</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SOR Libchavy, spol. s r.o.</w:t>
            </w:r>
          </w:p>
        </w:tc>
      </w:tr>
      <w:tr w:rsidR="00A33250" w:rsidRPr="000B7CBF" w:rsidTr="00783869">
        <w:trPr>
          <w:trHeight w:val="397"/>
        </w:trPr>
        <w:tc>
          <w:tcPr>
            <w:tcW w:w="1990" w:type="dxa"/>
            <w:shd w:val="clear" w:color="auto" w:fill="auto"/>
            <w:vAlign w:val="center"/>
          </w:tcPr>
          <w:p w:rsidR="00A33250" w:rsidRPr="00ED38E9" w:rsidRDefault="00A33250" w:rsidP="003B7283">
            <w:pPr>
              <w:spacing w:line="240" w:lineRule="auto"/>
              <w:jc w:val="left"/>
              <w:rPr>
                <w:rFonts w:cs="Arial"/>
                <w:noProof w:val="0"/>
                <w:color w:val="000000"/>
                <w:lang w:eastAsia="cs-CZ" w:bidi="ar-SA"/>
              </w:rPr>
            </w:pPr>
            <w:r w:rsidRPr="00ED38E9">
              <w:rPr>
                <w:rFonts w:cs="Arial"/>
                <w:noProof w:val="0"/>
                <w:color w:val="000000"/>
                <w:lang w:eastAsia="cs-CZ" w:bidi="ar-SA"/>
              </w:rPr>
              <w:t>SZE</w:t>
            </w:r>
          </w:p>
        </w:tc>
        <w:tc>
          <w:tcPr>
            <w:tcW w:w="6946" w:type="dxa"/>
            <w:shd w:val="clear" w:color="auto" w:fill="auto"/>
            <w:vAlign w:val="center"/>
          </w:tcPr>
          <w:p w:rsidR="00A33250" w:rsidRPr="00ED38E9" w:rsidRDefault="00A33250" w:rsidP="003B7283">
            <w:pPr>
              <w:spacing w:line="240" w:lineRule="auto"/>
              <w:rPr>
                <w:rFonts w:cs="Arial"/>
                <w:noProof w:val="0"/>
                <w:color w:val="000000"/>
                <w:lang w:eastAsia="cs-CZ" w:bidi="ar-SA"/>
              </w:rPr>
            </w:pPr>
            <w:r w:rsidRPr="00ED38E9">
              <w:rPr>
                <w:rFonts w:cs="Arial"/>
                <w:noProof w:val="0"/>
                <w:color w:val="000000"/>
                <w:lang w:eastAsia="cs-CZ" w:bidi="ar-SA"/>
              </w:rPr>
              <w:t>Svaz zpracovatelů odpadních elektrických a elektronických zařízení</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Škoda</w:t>
            </w:r>
          </w:p>
        </w:tc>
        <w:tc>
          <w:tcPr>
            <w:tcW w:w="6946" w:type="dxa"/>
            <w:shd w:val="clear" w:color="auto" w:fill="auto"/>
            <w:vAlign w:val="center"/>
            <w:hideMark/>
          </w:tcPr>
          <w:p w:rsidR="003B7283" w:rsidRPr="00ED38E9" w:rsidRDefault="003B7283" w:rsidP="00D1250C">
            <w:pPr>
              <w:spacing w:line="240" w:lineRule="auto"/>
              <w:rPr>
                <w:rFonts w:cs="Arial"/>
                <w:noProof w:val="0"/>
                <w:color w:val="000000"/>
                <w:lang w:eastAsia="cs-CZ" w:bidi="ar-SA"/>
              </w:rPr>
            </w:pPr>
            <w:r w:rsidRPr="00ED38E9">
              <w:rPr>
                <w:rFonts w:cs="Arial"/>
                <w:noProof w:val="0"/>
                <w:color w:val="000000"/>
                <w:lang w:eastAsia="cs-CZ" w:bidi="ar-SA"/>
              </w:rPr>
              <w:t xml:space="preserve">Škoda </w:t>
            </w:r>
            <w:r w:rsidR="00D1250C" w:rsidRPr="00ED38E9">
              <w:rPr>
                <w:rFonts w:cs="Arial"/>
                <w:noProof w:val="0"/>
                <w:color w:val="000000"/>
                <w:lang w:eastAsia="cs-CZ" w:bidi="ar-SA"/>
              </w:rPr>
              <w:t>A</w:t>
            </w:r>
            <w:r w:rsidRPr="00ED38E9">
              <w:rPr>
                <w:rFonts w:cs="Arial"/>
                <w:noProof w:val="0"/>
                <w:color w:val="000000"/>
                <w:lang w:eastAsia="cs-CZ" w:bidi="ar-SA"/>
              </w:rPr>
              <w:t>uto a.s.</w:t>
            </w:r>
          </w:p>
        </w:tc>
      </w:tr>
      <w:tr w:rsidR="003B7283" w:rsidRPr="000B7CBF" w:rsidTr="00783869">
        <w:trPr>
          <w:trHeight w:val="397"/>
        </w:trPr>
        <w:tc>
          <w:tcPr>
            <w:tcW w:w="1990" w:type="dxa"/>
            <w:shd w:val="clear" w:color="auto" w:fill="auto"/>
            <w:vAlign w:val="center"/>
            <w:hideMark/>
          </w:tcPr>
          <w:p w:rsidR="003B7283" w:rsidRPr="00ED38E9" w:rsidRDefault="003B7283" w:rsidP="003B7283">
            <w:pPr>
              <w:spacing w:line="240" w:lineRule="auto"/>
              <w:jc w:val="left"/>
              <w:rPr>
                <w:rFonts w:cs="Arial"/>
                <w:noProof w:val="0"/>
                <w:color w:val="000000"/>
                <w:lang w:eastAsia="cs-CZ" w:bidi="ar-SA"/>
              </w:rPr>
            </w:pPr>
            <w:r w:rsidRPr="00ED38E9">
              <w:rPr>
                <w:rFonts w:cs="Arial"/>
                <w:noProof w:val="0"/>
                <w:color w:val="000000"/>
                <w:lang w:eastAsia="cs-CZ" w:bidi="ar-SA"/>
              </w:rPr>
              <w:t>Tatra</w:t>
            </w:r>
          </w:p>
        </w:tc>
        <w:tc>
          <w:tcPr>
            <w:tcW w:w="6946" w:type="dxa"/>
            <w:shd w:val="clear" w:color="auto" w:fill="auto"/>
            <w:vAlign w:val="center"/>
            <w:hideMark/>
          </w:tcPr>
          <w:p w:rsidR="003B7283" w:rsidRPr="00ED38E9" w:rsidRDefault="003B7283" w:rsidP="003B7283">
            <w:pPr>
              <w:spacing w:line="240" w:lineRule="auto"/>
              <w:rPr>
                <w:rFonts w:cs="Arial"/>
                <w:noProof w:val="0"/>
                <w:color w:val="000000"/>
                <w:lang w:eastAsia="cs-CZ" w:bidi="ar-SA"/>
              </w:rPr>
            </w:pPr>
            <w:r w:rsidRPr="00ED38E9">
              <w:rPr>
                <w:rFonts w:cs="Arial"/>
                <w:noProof w:val="0"/>
                <w:color w:val="000000"/>
                <w:lang w:eastAsia="cs-CZ" w:bidi="ar-SA"/>
              </w:rPr>
              <w:t>TATRA TRUCKS a.s.</w:t>
            </w:r>
          </w:p>
        </w:tc>
      </w:tr>
      <w:tr w:rsidR="00A33250" w:rsidRPr="000B7CBF" w:rsidTr="00783869">
        <w:trPr>
          <w:trHeight w:val="397"/>
        </w:trPr>
        <w:tc>
          <w:tcPr>
            <w:tcW w:w="1990" w:type="dxa"/>
            <w:shd w:val="clear" w:color="auto" w:fill="auto"/>
            <w:vAlign w:val="center"/>
          </w:tcPr>
          <w:p w:rsidR="00A33250" w:rsidRPr="00ED38E9" w:rsidRDefault="00A33250" w:rsidP="00A33250">
            <w:pPr>
              <w:spacing w:line="240" w:lineRule="auto"/>
              <w:jc w:val="left"/>
              <w:rPr>
                <w:rFonts w:cs="Arial"/>
                <w:noProof w:val="0"/>
                <w:color w:val="000000"/>
                <w:lang w:eastAsia="cs-CZ" w:bidi="ar-SA"/>
              </w:rPr>
            </w:pPr>
            <w:r w:rsidRPr="00ED38E9">
              <w:rPr>
                <w:rFonts w:cs="Arial"/>
                <w:noProof w:val="0"/>
                <w:color w:val="000000"/>
                <w:lang w:eastAsia="cs-CZ" w:bidi="ar-SA"/>
              </w:rPr>
              <w:t>TPCA</w:t>
            </w:r>
          </w:p>
        </w:tc>
        <w:tc>
          <w:tcPr>
            <w:tcW w:w="6946" w:type="dxa"/>
            <w:shd w:val="clear" w:color="auto" w:fill="auto"/>
            <w:vAlign w:val="center"/>
          </w:tcPr>
          <w:p w:rsidR="00A33250" w:rsidRPr="00ED38E9" w:rsidRDefault="00A33250" w:rsidP="00A33250">
            <w:pPr>
              <w:spacing w:line="240" w:lineRule="auto"/>
              <w:rPr>
                <w:rFonts w:cs="Arial"/>
                <w:noProof w:val="0"/>
                <w:color w:val="000000"/>
                <w:lang w:eastAsia="cs-CZ" w:bidi="ar-SA"/>
              </w:rPr>
            </w:pPr>
            <w:r w:rsidRPr="00ED38E9">
              <w:rPr>
                <w:rFonts w:cs="Arial"/>
                <w:noProof w:val="0"/>
                <w:color w:val="000000"/>
                <w:lang w:eastAsia="cs-CZ" w:bidi="ar-SA"/>
              </w:rPr>
              <w:t>TPCA Czech s.r.o.</w:t>
            </w:r>
          </w:p>
        </w:tc>
      </w:tr>
      <w:tr w:rsidR="00A33250" w:rsidRPr="000B7CBF" w:rsidTr="00783869">
        <w:trPr>
          <w:trHeight w:val="397"/>
        </w:trPr>
        <w:tc>
          <w:tcPr>
            <w:tcW w:w="1990" w:type="dxa"/>
            <w:shd w:val="clear" w:color="auto" w:fill="auto"/>
            <w:vAlign w:val="center"/>
          </w:tcPr>
          <w:p w:rsidR="00A33250" w:rsidRPr="00ED38E9" w:rsidRDefault="00A33250" w:rsidP="00A33250">
            <w:pPr>
              <w:spacing w:line="240" w:lineRule="auto"/>
              <w:jc w:val="left"/>
              <w:rPr>
                <w:rFonts w:cs="Arial"/>
                <w:noProof w:val="0"/>
                <w:color w:val="000000"/>
                <w:lang w:eastAsia="cs-CZ" w:bidi="ar-SA"/>
              </w:rPr>
            </w:pPr>
            <w:r w:rsidRPr="00ED38E9">
              <w:rPr>
                <w:rFonts w:cs="Arial"/>
                <w:noProof w:val="0"/>
                <w:color w:val="000000"/>
                <w:lang w:eastAsia="cs-CZ" w:bidi="ar-SA"/>
              </w:rPr>
              <w:t>UBA</w:t>
            </w:r>
          </w:p>
        </w:tc>
        <w:tc>
          <w:tcPr>
            <w:tcW w:w="6946" w:type="dxa"/>
            <w:shd w:val="clear" w:color="auto" w:fill="auto"/>
            <w:vAlign w:val="center"/>
          </w:tcPr>
          <w:p w:rsidR="00A33250" w:rsidRPr="00ED38E9" w:rsidRDefault="00A33250" w:rsidP="00A33250">
            <w:pPr>
              <w:spacing w:line="240" w:lineRule="auto"/>
              <w:rPr>
                <w:rFonts w:cs="Arial"/>
                <w:noProof w:val="0"/>
                <w:color w:val="000000"/>
                <w:lang w:eastAsia="cs-CZ" w:bidi="ar-SA"/>
              </w:rPr>
            </w:pPr>
            <w:r w:rsidRPr="00ED38E9">
              <w:rPr>
                <w:rFonts w:cs="Arial"/>
                <w:noProof w:val="0"/>
                <w:color w:val="000000"/>
                <w:lang w:eastAsia="cs-CZ" w:bidi="ar-SA"/>
              </w:rPr>
              <w:t>Německé Ministerstvo životního prostředí</w:t>
            </w:r>
          </w:p>
        </w:tc>
      </w:tr>
      <w:tr w:rsidR="00323C3E" w:rsidRPr="000B7CBF" w:rsidTr="00C3364C">
        <w:trPr>
          <w:trHeight w:val="397"/>
        </w:trPr>
        <w:tc>
          <w:tcPr>
            <w:tcW w:w="1990" w:type="dxa"/>
            <w:shd w:val="clear" w:color="auto" w:fill="auto"/>
            <w:vAlign w:val="center"/>
          </w:tcPr>
          <w:p w:rsidR="00323C3E" w:rsidRPr="00ED38E9" w:rsidRDefault="00323C3E" w:rsidP="00A33250">
            <w:pPr>
              <w:spacing w:line="240" w:lineRule="auto"/>
              <w:jc w:val="left"/>
              <w:rPr>
                <w:rFonts w:cs="Arial"/>
                <w:noProof w:val="0"/>
                <w:color w:val="000000"/>
                <w:lang w:eastAsia="cs-CZ" w:bidi="ar-SA"/>
              </w:rPr>
            </w:pPr>
            <w:r>
              <w:rPr>
                <w:rFonts w:cs="Arial"/>
                <w:noProof w:val="0"/>
                <w:color w:val="000000"/>
                <w:lang w:eastAsia="cs-CZ" w:bidi="ar-SA"/>
              </w:rPr>
              <w:t>ÚSC</w:t>
            </w:r>
          </w:p>
        </w:tc>
        <w:tc>
          <w:tcPr>
            <w:tcW w:w="6946" w:type="dxa"/>
            <w:shd w:val="clear" w:color="auto" w:fill="auto"/>
            <w:vAlign w:val="center"/>
          </w:tcPr>
          <w:p w:rsidR="00323C3E" w:rsidRPr="00ED38E9" w:rsidRDefault="00323C3E" w:rsidP="00A33250">
            <w:pPr>
              <w:spacing w:line="240" w:lineRule="auto"/>
              <w:rPr>
                <w:rFonts w:cs="Arial"/>
                <w:noProof w:val="0"/>
                <w:color w:val="000000"/>
                <w:lang w:eastAsia="cs-CZ" w:bidi="ar-SA"/>
              </w:rPr>
            </w:pPr>
            <w:r>
              <w:rPr>
                <w:rFonts w:cs="Arial"/>
                <w:noProof w:val="0"/>
                <w:color w:val="000000"/>
                <w:lang w:eastAsia="cs-CZ" w:bidi="ar-SA"/>
              </w:rPr>
              <w:t>Územní samosprávní celky</w:t>
            </w:r>
          </w:p>
        </w:tc>
      </w:tr>
      <w:tr w:rsidR="0023683C" w:rsidRPr="000B7CBF" w:rsidTr="00C3364C">
        <w:trPr>
          <w:trHeight w:val="397"/>
        </w:trPr>
        <w:tc>
          <w:tcPr>
            <w:tcW w:w="1990" w:type="dxa"/>
            <w:shd w:val="clear" w:color="auto" w:fill="auto"/>
            <w:vAlign w:val="center"/>
          </w:tcPr>
          <w:p w:rsidR="0023683C" w:rsidRPr="00ED38E9" w:rsidRDefault="0023683C" w:rsidP="00A33250">
            <w:pPr>
              <w:spacing w:line="240" w:lineRule="auto"/>
              <w:jc w:val="left"/>
              <w:rPr>
                <w:rFonts w:cs="Arial"/>
                <w:noProof w:val="0"/>
                <w:color w:val="000000"/>
                <w:lang w:eastAsia="cs-CZ" w:bidi="ar-SA"/>
              </w:rPr>
            </w:pPr>
            <w:r w:rsidRPr="00ED38E9">
              <w:rPr>
                <w:rFonts w:cs="Arial"/>
                <w:noProof w:val="0"/>
                <w:color w:val="000000"/>
                <w:lang w:eastAsia="cs-CZ" w:bidi="ar-SA"/>
              </w:rPr>
              <w:lastRenderedPageBreak/>
              <w:t>VUŽ</w:t>
            </w:r>
          </w:p>
        </w:tc>
        <w:tc>
          <w:tcPr>
            <w:tcW w:w="6946" w:type="dxa"/>
            <w:shd w:val="clear" w:color="auto" w:fill="auto"/>
            <w:vAlign w:val="center"/>
          </w:tcPr>
          <w:p w:rsidR="0023683C" w:rsidRPr="00ED38E9" w:rsidRDefault="0023683C" w:rsidP="00A33250">
            <w:pPr>
              <w:spacing w:line="240" w:lineRule="auto"/>
              <w:rPr>
                <w:rFonts w:cs="Arial"/>
                <w:noProof w:val="0"/>
                <w:color w:val="000000"/>
                <w:lang w:eastAsia="cs-CZ" w:bidi="ar-SA"/>
              </w:rPr>
            </w:pPr>
            <w:r w:rsidRPr="00ED38E9">
              <w:rPr>
                <w:rFonts w:cs="Arial"/>
                <w:noProof w:val="0"/>
                <w:color w:val="000000"/>
                <w:lang w:eastAsia="cs-CZ" w:bidi="ar-SA"/>
              </w:rPr>
              <w:t>výrobek s ukončenou životností</w:t>
            </w:r>
          </w:p>
        </w:tc>
      </w:tr>
      <w:tr w:rsidR="0032196E" w:rsidRPr="000B7CBF" w:rsidTr="00C3364C">
        <w:trPr>
          <w:trHeight w:val="397"/>
        </w:trPr>
        <w:tc>
          <w:tcPr>
            <w:tcW w:w="1990" w:type="dxa"/>
            <w:shd w:val="clear" w:color="auto" w:fill="auto"/>
            <w:vAlign w:val="center"/>
          </w:tcPr>
          <w:p w:rsidR="0032196E" w:rsidRPr="00ED38E9" w:rsidRDefault="0032196E" w:rsidP="00A33250">
            <w:pPr>
              <w:spacing w:line="240" w:lineRule="auto"/>
              <w:jc w:val="left"/>
              <w:rPr>
                <w:rFonts w:cs="Arial"/>
                <w:noProof w:val="0"/>
                <w:color w:val="000000"/>
                <w:lang w:eastAsia="cs-CZ" w:bidi="ar-SA"/>
              </w:rPr>
            </w:pPr>
            <w:r>
              <w:rPr>
                <w:rFonts w:cs="Arial"/>
                <w:noProof w:val="0"/>
                <w:color w:val="000000"/>
                <w:lang w:eastAsia="cs-CZ" w:bidi="ar-SA"/>
              </w:rPr>
              <w:t>ZO</w:t>
            </w:r>
          </w:p>
        </w:tc>
        <w:tc>
          <w:tcPr>
            <w:tcW w:w="6946" w:type="dxa"/>
            <w:shd w:val="clear" w:color="auto" w:fill="auto"/>
            <w:vAlign w:val="center"/>
          </w:tcPr>
          <w:p w:rsidR="0032196E" w:rsidRPr="00ED38E9" w:rsidRDefault="0032196E" w:rsidP="00A33250">
            <w:pPr>
              <w:spacing w:line="240" w:lineRule="auto"/>
              <w:rPr>
                <w:rFonts w:cs="Arial"/>
                <w:noProof w:val="0"/>
                <w:color w:val="000000"/>
                <w:lang w:eastAsia="cs-CZ" w:bidi="ar-SA"/>
              </w:rPr>
            </w:pPr>
            <w:r>
              <w:rPr>
                <w:rFonts w:cs="Arial"/>
                <w:noProof w:val="0"/>
                <w:color w:val="000000"/>
                <w:lang w:eastAsia="cs-CZ" w:bidi="ar-SA"/>
              </w:rPr>
              <w:t>zpětný odběr</w:t>
            </w:r>
          </w:p>
        </w:tc>
      </w:tr>
      <w:tr w:rsidR="00FD50FD" w:rsidRPr="000B7CBF" w:rsidTr="00C3364C">
        <w:trPr>
          <w:trHeight w:val="397"/>
        </w:trPr>
        <w:tc>
          <w:tcPr>
            <w:tcW w:w="1990" w:type="dxa"/>
            <w:shd w:val="clear" w:color="auto" w:fill="auto"/>
            <w:vAlign w:val="center"/>
          </w:tcPr>
          <w:p w:rsidR="00FD50FD" w:rsidRPr="00ED38E9" w:rsidRDefault="00FD50FD" w:rsidP="00A33250">
            <w:pPr>
              <w:spacing w:line="240" w:lineRule="auto"/>
              <w:jc w:val="left"/>
              <w:rPr>
                <w:rFonts w:cs="Arial"/>
                <w:noProof w:val="0"/>
                <w:color w:val="000000"/>
                <w:lang w:eastAsia="cs-CZ" w:bidi="ar-SA"/>
              </w:rPr>
            </w:pPr>
            <w:r w:rsidRPr="00ED38E9">
              <w:rPr>
                <w:rFonts w:cs="Arial"/>
                <w:noProof w:val="0"/>
                <w:color w:val="000000"/>
                <w:lang w:eastAsia="cs-CZ" w:bidi="ar-SA"/>
              </w:rPr>
              <w:t>ZVZ</w:t>
            </w:r>
          </w:p>
        </w:tc>
        <w:tc>
          <w:tcPr>
            <w:tcW w:w="6946" w:type="dxa"/>
            <w:shd w:val="clear" w:color="auto" w:fill="auto"/>
            <w:vAlign w:val="center"/>
          </w:tcPr>
          <w:p w:rsidR="00FD50FD" w:rsidRPr="00ED38E9" w:rsidRDefault="00FD50FD" w:rsidP="00A33250">
            <w:pPr>
              <w:spacing w:line="240" w:lineRule="auto"/>
              <w:rPr>
                <w:rFonts w:cs="Arial"/>
                <w:noProof w:val="0"/>
                <w:color w:val="000000"/>
                <w:lang w:eastAsia="cs-CZ" w:bidi="ar-SA"/>
              </w:rPr>
            </w:pPr>
            <w:r w:rsidRPr="00ED38E9">
              <w:rPr>
                <w:rFonts w:cs="Arial"/>
                <w:noProof w:val="0"/>
                <w:color w:val="000000"/>
                <w:lang w:eastAsia="cs-CZ" w:bidi="ar-SA"/>
              </w:rPr>
              <w:t>zákon o veřejných zakázkách</w:t>
            </w:r>
          </w:p>
        </w:tc>
      </w:tr>
    </w:tbl>
    <w:p w:rsidR="00A37D0A" w:rsidRPr="00ED38E9" w:rsidRDefault="00121AD8" w:rsidP="005D660F">
      <w:pPr>
        <w:pStyle w:val="Nadpis1"/>
      </w:pPr>
      <w:bookmarkStart w:id="317" w:name="_Toc441759975"/>
      <w:bookmarkStart w:id="318" w:name="_Toc441760210"/>
      <w:r w:rsidRPr="00ED38E9">
        <w:t>Vysvětl</w:t>
      </w:r>
      <w:r w:rsidR="00E46D4B" w:rsidRPr="00ED38E9">
        <w:t>ení</w:t>
      </w:r>
      <w:r w:rsidRPr="00ED38E9">
        <w:t xml:space="preserve"> k </w:t>
      </w:r>
      <w:r w:rsidR="00970211">
        <w:t>závěrečné zprávě z hodnocení dopadů regulace</w:t>
      </w:r>
      <w:r w:rsidR="003A4E77" w:rsidRPr="00ED38E9">
        <w:t xml:space="preserve"> a jeho kapitolám</w:t>
      </w:r>
      <w:bookmarkEnd w:id="317"/>
      <w:bookmarkEnd w:id="318"/>
    </w:p>
    <w:p w:rsidR="00A37D0A" w:rsidRPr="00ED38E9" w:rsidRDefault="00A37D0A" w:rsidP="005D660F">
      <w:pPr>
        <w:pStyle w:val="Nadpis3"/>
      </w:pPr>
      <w:r w:rsidRPr="00ED38E9">
        <w:t>Identifikace dotčených subjektů</w:t>
      </w:r>
    </w:p>
    <w:p w:rsidR="00A37D0A" w:rsidRPr="00ED38E9" w:rsidRDefault="00A37D0A" w:rsidP="00783869">
      <w:pPr>
        <w:rPr>
          <w:rFonts w:cs="Arial"/>
        </w:rPr>
      </w:pPr>
      <w:r w:rsidRPr="00ED38E9">
        <w:rPr>
          <w:rFonts w:cs="Arial"/>
        </w:rPr>
        <w:t>Pokud není uvedeno jinak, tak dopad na subjekty</w:t>
      </w:r>
      <w:r w:rsidR="00121AD8" w:rsidRPr="00ED38E9">
        <w:rPr>
          <w:rFonts w:cs="Arial"/>
        </w:rPr>
        <w:t>,</w:t>
      </w:r>
      <w:r w:rsidRPr="00ED38E9">
        <w:rPr>
          <w:rFonts w:cs="Arial"/>
        </w:rPr>
        <w:t xml:space="preserve"> uvedené ve výčtech</w:t>
      </w:r>
      <w:r w:rsidR="00121AD8" w:rsidRPr="00ED38E9">
        <w:rPr>
          <w:rFonts w:cs="Arial"/>
        </w:rPr>
        <w:t>,</w:t>
      </w:r>
      <w:r w:rsidRPr="00ED38E9">
        <w:rPr>
          <w:rFonts w:cs="Arial"/>
        </w:rPr>
        <w:t xml:space="preserve"> je přímý.</w:t>
      </w:r>
    </w:p>
    <w:p w:rsidR="00121AD8" w:rsidRPr="00ED38E9" w:rsidRDefault="00121AD8" w:rsidP="005D660F">
      <w:pPr>
        <w:pStyle w:val="Nadpis3"/>
      </w:pPr>
      <w:r w:rsidRPr="00ED38E9">
        <w:t>Identifikace nákladů a přínosů</w:t>
      </w:r>
    </w:p>
    <w:p w:rsidR="00E46D4B" w:rsidRPr="00ED38E9" w:rsidRDefault="00121AD8" w:rsidP="00783869">
      <w:pPr>
        <w:rPr>
          <w:rFonts w:cs="Arial"/>
        </w:rPr>
      </w:pPr>
      <w:r w:rsidRPr="00ED38E9">
        <w:rPr>
          <w:rFonts w:cs="Arial"/>
        </w:rPr>
        <w:t>Pokud není v kapitole uveden dopad na některou ze skupin (státní rozpočet a ostatní veřejné rozpočty, podnikatelské subjekty, územní samosprávné celky, sociální oblast a životní prostředí) předpokládá se, že materiál nebude mít dopady na danou skupinu.</w:t>
      </w:r>
    </w:p>
    <w:p w:rsidR="00121AD8" w:rsidRPr="00ED38E9" w:rsidRDefault="00E46D4B" w:rsidP="00783869">
      <w:pPr>
        <w:spacing w:before="120"/>
        <w:rPr>
          <w:rFonts w:cs="Arial"/>
        </w:rPr>
      </w:pPr>
      <w:r w:rsidRPr="00ED38E9">
        <w:rPr>
          <w:rFonts w:cs="Arial"/>
        </w:rPr>
        <w:t>Dále pak v</w:t>
      </w:r>
      <w:r w:rsidR="00821C10" w:rsidRPr="00ED38E9">
        <w:rPr>
          <w:rFonts w:cs="Arial"/>
        </w:rPr>
        <w:t> některých p</w:t>
      </w:r>
      <w:r w:rsidRPr="00ED38E9">
        <w:rPr>
          <w:rFonts w:cs="Arial"/>
        </w:rPr>
        <w:t>řípadech ministerstvo nedisponuje potřebnými daty a tak jsou dopady uvedeny slovně nebo kvantifikovaně, ale pouze k jednomu subjektu.</w:t>
      </w:r>
    </w:p>
    <w:p w:rsidR="00C97DCD" w:rsidRPr="00ED38E9" w:rsidRDefault="008106B7" w:rsidP="00783869">
      <w:pPr>
        <w:spacing w:before="120"/>
        <w:rPr>
          <w:rFonts w:cs="Arial"/>
        </w:rPr>
      </w:pPr>
      <w:r w:rsidRPr="00ED38E9">
        <w:rPr>
          <w:rFonts w:cs="Arial"/>
        </w:rPr>
        <w:t>Administrativní zátěž podnikatelských subjektů a státní správy vychází z Metodiky měření a přeměřování administrativní zátěže podnikatelů a z Metodiky stanovení plánovaných nákladů na výkon státní správy a hodinových nákladů stanovených ministerstvem ke dni 1. 1. 2015.</w:t>
      </w:r>
    </w:p>
    <w:p w:rsidR="00121AD8" w:rsidRPr="00ED38E9" w:rsidRDefault="00121AD8" w:rsidP="005D660F">
      <w:pPr>
        <w:pStyle w:val="Nadpis3"/>
      </w:pPr>
      <w:r w:rsidRPr="00ED38E9">
        <w:t>Vyhodnocení nákladů a přínosů</w:t>
      </w:r>
    </w:p>
    <w:p w:rsidR="00542100" w:rsidRPr="00ED38E9" w:rsidRDefault="00542100" w:rsidP="00783869">
      <w:pPr>
        <w:rPr>
          <w:rFonts w:cs="Arial"/>
          <w:b/>
          <w:bCs/>
          <w:i/>
          <w:szCs w:val="26"/>
        </w:rPr>
      </w:pPr>
      <w:r w:rsidRPr="00ED38E9">
        <w:rPr>
          <w:rFonts w:cs="Arial"/>
        </w:rPr>
        <w:t>U některých identifikovaných dopadů není zpracovatel RIA schopen kvantifikovat předpokládané dopady z důvodu nedostupnosti relevantních dat anebo nemožnosti odhadnout a vyčíslit budoucí chování dotčených subjektů. V takové situaci závěrečná zpráva tyto dopady vyhodnocuje kvalitativně formou slovního popisu a odstupňování</w:t>
      </w:r>
      <w:r w:rsidR="005D660F">
        <w:rPr>
          <w:rFonts w:cs="Arial"/>
        </w:rPr>
        <w:t>m</w:t>
      </w:r>
      <w:r w:rsidR="00F94CE8">
        <w:rPr>
          <w:rFonts w:cs="Arial"/>
        </w:rPr>
        <w:t xml:space="preserve"> předpokládané a </w:t>
      </w:r>
      <w:r w:rsidRPr="00ED38E9">
        <w:rPr>
          <w:rFonts w:cs="Arial"/>
        </w:rPr>
        <w:t>konzultované míry dopadu pomocí ordinální škály v tabulce, která je pouze zjednodušeným souhrnem. Symboly označují předpokládanou míru dopadu</w:t>
      </w:r>
      <w:r w:rsidR="00F94CE8">
        <w:rPr>
          <w:rFonts w:cs="Arial"/>
        </w:rPr>
        <w:t xml:space="preserve"> navrhované změny, která byla v </w:t>
      </w:r>
      <w:r w:rsidRPr="00ED38E9">
        <w:rPr>
          <w:rFonts w:cs="Arial"/>
        </w:rPr>
        <w:t xml:space="preserve">procesu konzultací vyhodnocena v míře od velmi nízkého očekávaného dopadu (*) po velmi vysoký (*****). </w:t>
      </w:r>
    </w:p>
    <w:p w:rsidR="00154C69" w:rsidRPr="00ED38E9" w:rsidRDefault="00154C69" w:rsidP="005D660F">
      <w:pPr>
        <w:pStyle w:val="Nadpis1"/>
      </w:pPr>
      <w:bookmarkStart w:id="319" w:name="_Toc441759977"/>
      <w:bookmarkStart w:id="320" w:name="_Toc441760211"/>
      <w:r w:rsidRPr="00ED38E9">
        <w:t>Kontakt na zpracovatele RIA</w:t>
      </w:r>
      <w:bookmarkEnd w:id="319"/>
      <w:bookmarkEnd w:id="320"/>
    </w:p>
    <w:p w:rsidR="00154C69" w:rsidRPr="00ED38E9" w:rsidRDefault="00154C69" w:rsidP="00783869">
      <w:pPr>
        <w:keepNext/>
        <w:rPr>
          <w:rFonts w:cs="Arial"/>
          <w:noProof w:val="0"/>
        </w:rPr>
      </w:pPr>
      <w:r w:rsidRPr="00ED38E9">
        <w:rPr>
          <w:rFonts w:cs="Arial"/>
          <w:noProof w:val="0"/>
        </w:rPr>
        <w:t>Ing. Martina Píšková</w:t>
      </w:r>
    </w:p>
    <w:p w:rsidR="00154C69" w:rsidRPr="00ED38E9" w:rsidRDefault="00154C69" w:rsidP="00783869">
      <w:pPr>
        <w:keepNext/>
        <w:rPr>
          <w:rFonts w:cs="Arial"/>
          <w:noProof w:val="0"/>
        </w:rPr>
      </w:pPr>
      <w:r w:rsidRPr="00ED38E9">
        <w:rPr>
          <w:rFonts w:cs="Arial"/>
          <w:noProof w:val="0"/>
        </w:rPr>
        <w:t>Odbor ekonomi</w:t>
      </w:r>
      <w:r w:rsidR="00A16646" w:rsidRPr="00ED38E9">
        <w:rPr>
          <w:rFonts w:cs="Arial"/>
          <w:noProof w:val="0"/>
        </w:rPr>
        <w:t>ky životního prostředí</w:t>
      </w:r>
    </w:p>
    <w:p w:rsidR="00154C69" w:rsidRPr="00ED38E9" w:rsidRDefault="00154C69" w:rsidP="00783869">
      <w:pPr>
        <w:keepNext/>
        <w:rPr>
          <w:rFonts w:cs="Arial"/>
          <w:noProof w:val="0"/>
        </w:rPr>
      </w:pPr>
      <w:r w:rsidRPr="00ED38E9">
        <w:rPr>
          <w:rFonts w:cs="Arial"/>
          <w:noProof w:val="0"/>
        </w:rPr>
        <w:t>Ministerstvo životního prostředí</w:t>
      </w:r>
    </w:p>
    <w:p w:rsidR="00154C69" w:rsidRPr="00ED38E9" w:rsidRDefault="00154C69" w:rsidP="00783869">
      <w:pPr>
        <w:keepNext/>
        <w:rPr>
          <w:rFonts w:cs="Arial"/>
          <w:noProof w:val="0"/>
        </w:rPr>
      </w:pPr>
      <w:r w:rsidRPr="00ED38E9">
        <w:rPr>
          <w:rFonts w:cs="Arial"/>
          <w:noProof w:val="0"/>
        </w:rPr>
        <w:t>Vršovická 65, Praha 10, 100 10</w:t>
      </w:r>
    </w:p>
    <w:p w:rsidR="00154C69" w:rsidRPr="00ED38E9" w:rsidRDefault="00154C69" w:rsidP="00783869">
      <w:pPr>
        <w:keepNext/>
        <w:rPr>
          <w:rFonts w:cs="Arial"/>
          <w:noProof w:val="0"/>
        </w:rPr>
      </w:pPr>
      <w:r w:rsidRPr="00ED38E9">
        <w:rPr>
          <w:rFonts w:cs="Arial"/>
          <w:noProof w:val="0"/>
        </w:rPr>
        <w:t>email: martina.piskova@mzp.cz</w:t>
      </w:r>
    </w:p>
    <w:p w:rsidR="00154C69" w:rsidRDefault="00154C69" w:rsidP="00154C69">
      <w:pPr>
        <w:rPr>
          <w:rFonts w:cs="Arial"/>
          <w:noProof w:val="0"/>
        </w:rPr>
      </w:pPr>
      <w:r w:rsidRPr="00ED38E9">
        <w:rPr>
          <w:rFonts w:cs="Arial"/>
          <w:noProof w:val="0"/>
        </w:rPr>
        <w:t>tel: +420 267 122</w:t>
      </w:r>
      <w:r w:rsidR="00D060AC">
        <w:rPr>
          <w:rFonts w:cs="Arial"/>
          <w:noProof w:val="0"/>
        </w:rPr>
        <w:t> </w:t>
      </w:r>
      <w:r w:rsidRPr="00ED38E9">
        <w:rPr>
          <w:rFonts w:cs="Arial"/>
          <w:noProof w:val="0"/>
        </w:rPr>
        <w:t>151</w:t>
      </w:r>
    </w:p>
    <w:p w:rsidR="00D060AC" w:rsidRDefault="00D060AC" w:rsidP="00154C69">
      <w:pPr>
        <w:rPr>
          <w:rFonts w:cs="Arial"/>
          <w:noProof w:val="0"/>
        </w:rPr>
      </w:pPr>
    </w:p>
    <w:p w:rsidR="00D060AC" w:rsidRPr="00ED38E9" w:rsidRDefault="00D060AC" w:rsidP="00D060AC">
      <w:pPr>
        <w:keepNext/>
        <w:rPr>
          <w:rFonts w:cs="Arial"/>
          <w:noProof w:val="0"/>
        </w:rPr>
      </w:pPr>
      <w:proofErr w:type="spellStart"/>
      <w:r>
        <w:rPr>
          <w:rFonts w:cs="Arial"/>
          <w:noProof w:val="0"/>
        </w:rPr>
        <w:lastRenderedPageBreak/>
        <w:t>Alica</w:t>
      </w:r>
      <w:proofErr w:type="spellEnd"/>
      <w:r>
        <w:rPr>
          <w:rFonts w:cs="Arial"/>
          <w:noProof w:val="0"/>
        </w:rPr>
        <w:t xml:space="preserve"> Tóthov</w:t>
      </w:r>
      <w:r w:rsidRPr="00ED38E9">
        <w:rPr>
          <w:rFonts w:cs="Arial"/>
          <w:noProof w:val="0"/>
        </w:rPr>
        <w:t>á</w:t>
      </w:r>
    </w:p>
    <w:p w:rsidR="00D060AC" w:rsidRPr="00ED38E9" w:rsidRDefault="00D060AC" w:rsidP="00D060AC">
      <w:pPr>
        <w:keepNext/>
        <w:rPr>
          <w:rFonts w:cs="Arial"/>
          <w:noProof w:val="0"/>
        </w:rPr>
      </w:pPr>
      <w:r w:rsidRPr="00ED38E9">
        <w:rPr>
          <w:rFonts w:cs="Arial"/>
          <w:noProof w:val="0"/>
        </w:rPr>
        <w:t>Odbor ekonomiky životního prostředí</w:t>
      </w:r>
    </w:p>
    <w:p w:rsidR="00D060AC" w:rsidRPr="00ED38E9" w:rsidRDefault="00D060AC" w:rsidP="00D060AC">
      <w:pPr>
        <w:keepNext/>
        <w:rPr>
          <w:rFonts w:cs="Arial"/>
          <w:noProof w:val="0"/>
        </w:rPr>
      </w:pPr>
      <w:r w:rsidRPr="00ED38E9">
        <w:rPr>
          <w:rFonts w:cs="Arial"/>
          <w:noProof w:val="0"/>
        </w:rPr>
        <w:t>Ministerstvo životního prostředí</w:t>
      </w:r>
    </w:p>
    <w:p w:rsidR="00D060AC" w:rsidRPr="00ED38E9" w:rsidRDefault="00D060AC" w:rsidP="00D060AC">
      <w:pPr>
        <w:keepNext/>
        <w:rPr>
          <w:rFonts w:cs="Arial"/>
          <w:noProof w:val="0"/>
        </w:rPr>
      </w:pPr>
      <w:r w:rsidRPr="00ED38E9">
        <w:rPr>
          <w:rFonts w:cs="Arial"/>
          <w:noProof w:val="0"/>
        </w:rPr>
        <w:t>Vršovická 65, Praha 10, 100 10</w:t>
      </w:r>
    </w:p>
    <w:p w:rsidR="00D060AC" w:rsidRPr="00ED38E9" w:rsidRDefault="00D060AC" w:rsidP="00D060AC">
      <w:pPr>
        <w:keepNext/>
        <w:rPr>
          <w:rFonts w:cs="Arial"/>
          <w:noProof w:val="0"/>
        </w:rPr>
      </w:pPr>
      <w:r>
        <w:rPr>
          <w:rFonts w:cs="Arial"/>
          <w:noProof w:val="0"/>
        </w:rPr>
        <w:t xml:space="preserve">email: </w:t>
      </w:r>
      <w:r w:rsidRPr="00ED38E9">
        <w:rPr>
          <w:rFonts w:cs="Arial"/>
          <w:noProof w:val="0"/>
        </w:rPr>
        <w:t>a</w:t>
      </w:r>
      <w:r>
        <w:rPr>
          <w:rFonts w:cs="Arial"/>
          <w:noProof w:val="0"/>
        </w:rPr>
        <w:t>lica.tothov</w:t>
      </w:r>
      <w:r w:rsidRPr="00ED38E9">
        <w:rPr>
          <w:rFonts w:cs="Arial"/>
          <w:noProof w:val="0"/>
        </w:rPr>
        <w:t>a@mzp.cz</w:t>
      </w:r>
    </w:p>
    <w:p w:rsidR="00D060AC" w:rsidRPr="00ED38E9" w:rsidRDefault="00D060AC" w:rsidP="00D060AC">
      <w:pPr>
        <w:rPr>
          <w:rFonts w:cs="Arial"/>
          <w:noProof w:val="0"/>
        </w:rPr>
      </w:pPr>
      <w:r w:rsidRPr="00ED38E9">
        <w:rPr>
          <w:rFonts w:cs="Arial"/>
          <w:noProof w:val="0"/>
        </w:rPr>
        <w:t>tel: +420 267 122</w:t>
      </w:r>
      <w:r>
        <w:rPr>
          <w:rFonts w:cs="Arial"/>
          <w:noProof w:val="0"/>
        </w:rPr>
        <w:t> 642</w:t>
      </w:r>
    </w:p>
    <w:p w:rsidR="00D060AC" w:rsidRPr="00ED38E9" w:rsidRDefault="00D060AC" w:rsidP="00154C69">
      <w:pPr>
        <w:rPr>
          <w:rFonts w:cs="Arial"/>
          <w:noProof w:val="0"/>
        </w:rPr>
      </w:pPr>
    </w:p>
    <w:p w:rsidR="007B24D3" w:rsidRDefault="007B24D3">
      <w:pPr>
        <w:spacing w:line="240" w:lineRule="auto"/>
        <w:jc w:val="left"/>
        <w:rPr>
          <w:rFonts w:cs="Arial"/>
          <w:lang w:eastAsia="cs-CZ"/>
        </w:rPr>
      </w:pPr>
      <w:r>
        <w:rPr>
          <w:rFonts w:cs="Arial"/>
          <w:lang w:eastAsia="cs-CZ"/>
        </w:rPr>
        <w:br w:type="page"/>
      </w:r>
    </w:p>
    <w:p w:rsidR="007B24D3" w:rsidRPr="007B71CF" w:rsidRDefault="007B24D3" w:rsidP="007B24D3">
      <w:pPr>
        <w:pStyle w:val="Nzev"/>
        <w:keepNext/>
        <w:jc w:val="both"/>
        <w:rPr>
          <w:rFonts w:cs="Arial"/>
          <w:sz w:val="28"/>
          <w:szCs w:val="28"/>
        </w:rPr>
      </w:pPr>
      <w:bookmarkStart w:id="321" w:name="_Toc441759978"/>
      <w:bookmarkStart w:id="322" w:name="_Toc441760212"/>
      <w:r w:rsidRPr="007B71CF">
        <w:rPr>
          <w:rFonts w:cs="Arial"/>
          <w:sz w:val="28"/>
          <w:szCs w:val="28"/>
        </w:rPr>
        <w:lastRenderedPageBreak/>
        <w:t>Příloha</w:t>
      </w:r>
      <w:bookmarkEnd w:id="321"/>
      <w:r w:rsidR="007B71CF" w:rsidRPr="007B71CF">
        <w:rPr>
          <w:rFonts w:cs="Arial"/>
          <w:sz w:val="28"/>
          <w:szCs w:val="28"/>
        </w:rPr>
        <w:t xml:space="preserve">: </w:t>
      </w:r>
      <w:bookmarkStart w:id="323" w:name="_Toc441759979"/>
      <w:r w:rsidRPr="007B71CF">
        <w:rPr>
          <w:rFonts w:cs="Arial"/>
          <w:sz w:val="28"/>
          <w:szCs w:val="28"/>
        </w:rPr>
        <w:t>Úroveň soutěže mezi KS a její dopady na hospodářskou soutěž</w:t>
      </w:r>
      <w:bookmarkEnd w:id="322"/>
      <w:bookmarkEnd w:id="323"/>
    </w:p>
    <w:p w:rsidR="007B71CF" w:rsidRDefault="007B71CF" w:rsidP="007B24D3">
      <w:pPr>
        <w:spacing w:before="120" w:after="120"/>
        <w:rPr>
          <w:rFonts w:eastAsia="Calibri" w:cs="Arial"/>
          <w:noProof w:val="0"/>
          <w:szCs w:val="22"/>
          <w:lang w:bidi="ar-SA"/>
        </w:rPr>
      </w:pP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t>Z hlediska hospodářské soutěže připadají v rámci zpětného odběru elektrozařízení v úvahu tři scénáře:</w:t>
      </w:r>
    </w:p>
    <w:p w:rsidR="007B24D3" w:rsidRPr="007D3FCB" w:rsidRDefault="007B24D3" w:rsidP="002D66F0">
      <w:pPr>
        <w:numPr>
          <w:ilvl w:val="0"/>
          <w:numId w:val="63"/>
        </w:numPr>
        <w:spacing w:before="120" w:after="120" w:line="240" w:lineRule="auto"/>
        <w:contextualSpacing/>
        <w:rPr>
          <w:rFonts w:eastAsia="Calibri" w:cs="Arial"/>
          <w:noProof w:val="0"/>
          <w:szCs w:val="22"/>
          <w:lang w:bidi="ar-SA"/>
        </w:rPr>
      </w:pPr>
      <w:r w:rsidRPr="007D3FCB">
        <w:rPr>
          <w:rFonts w:eastAsia="Calibri" w:cs="Arial"/>
          <w:noProof w:val="0"/>
          <w:szCs w:val="22"/>
          <w:lang w:bidi="ar-SA"/>
        </w:rPr>
        <w:t xml:space="preserve">Existence dokonalé konkurence </w:t>
      </w:r>
    </w:p>
    <w:p w:rsidR="007B24D3" w:rsidRPr="007D3FCB" w:rsidRDefault="007B24D3" w:rsidP="002D66F0">
      <w:pPr>
        <w:numPr>
          <w:ilvl w:val="0"/>
          <w:numId w:val="63"/>
        </w:numPr>
        <w:spacing w:before="120" w:after="120" w:line="240" w:lineRule="auto"/>
        <w:contextualSpacing/>
        <w:rPr>
          <w:rFonts w:eastAsia="Calibri" w:cs="Arial"/>
          <w:noProof w:val="0"/>
          <w:szCs w:val="22"/>
          <w:lang w:bidi="ar-SA"/>
        </w:rPr>
      </w:pPr>
      <w:r w:rsidRPr="007D3FCB">
        <w:rPr>
          <w:rFonts w:eastAsia="Calibri" w:cs="Arial"/>
          <w:noProof w:val="0"/>
          <w:szCs w:val="22"/>
          <w:lang w:bidi="ar-SA"/>
        </w:rPr>
        <w:t>Existence monopolu</w:t>
      </w:r>
    </w:p>
    <w:p w:rsidR="007B24D3" w:rsidRPr="007D3FCB" w:rsidRDefault="007B24D3" w:rsidP="002D66F0">
      <w:pPr>
        <w:numPr>
          <w:ilvl w:val="0"/>
          <w:numId w:val="63"/>
        </w:numPr>
        <w:spacing w:before="120" w:after="120" w:line="240" w:lineRule="auto"/>
        <w:contextualSpacing/>
        <w:rPr>
          <w:rFonts w:eastAsia="Calibri" w:cs="Arial"/>
          <w:noProof w:val="0"/>
          <w:szCs w:val="22"/>
          <w:lang w:bidi="ar-SA"/>
        </w:rPr>
      </w:pPr>
      <w:r w:rsidRPr="007D3FCB">
        <w:rPr>
          <w:rFonts w:eastAsia="Calibri" w:cs="Arial"/>
          <w:noProof w:val="0"/>
          <w:szCs w:val="22"/>
          <w:lang w:bidi="ar-SA"/>
        </w:rPr>
        <w:t>Existence monopolistické konkurence</w:t>
      </w:r>
    </w:p>
    <w:p w:rsidR="007B24D3" w:rsidRPr="007D3FCB" w:rsidRDefault="007B24D3" w:rsidP="007B24D3">
      <w:pPr>
        <w:keepNext/>
        <w:spacing w:before="360" w:after="120"/>
        <w:rPr>
          <w:rFonts w:eastAsia="Calibri" w:cs="Arial"/>
          <w:i/>
          <w:noProof w:val="0"/>
          <w:szCs w:val="22"/>
          <w:lang w:bidi="ar-SA"/>
        </w:rPr>
      </w:pPr>
      <w:r w:rsidRPr="007D3FCB">
        <w:rPr>
          <w:rFonts w:eastAsia="Calibri" w:cs="Arial"/>
          <w:i/>
          <w:noProof w:val="0"/>
          <w:szCs w:val="22"/>
          <w:lang w:bidi="ar-SA"/>
        </w:rPr>
        <w:t>Případ první – Dokonale konkurenční prostředí na trhu se zpětným odběrem</w:t>
      </w: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t>Základní charakteristikou dokonale konkurenčního prostředí je nemožnost jednotlivé firmy ovlivnit celkovou tržní nabídku, resp. tržní cenu. V takovém případě můžeme cenu na trhu pro jednotlivou firmu považovat za objektivní, neboť se nemění v závislosti na výši produkce dané firmy. Z toho vyplývá., že pro danou firmu platí následující rovnost: mezní příjem = průměrný příjem = tržní ceně (MR=AR=P). Z hlediska efektivity firmy je pak žádoucí dosáhnout stavu, kdy mezní náklady se rovnají mezním příjmům (MC = MR). Z výše uvedeného pak vyplývá následující podmínka rovnovážného vztahu pro firmy v dlouhém období:</w:t>
      </w:r>
    </w:p>
    <w:p w:rsidR="007B24D3" w:rsidRPr="007D3FCB" w:rsidRDefault="007B24D3" w:rsidP="007B24D3">
      <w:pPr>
        <w:spacing w:before="120" w:after="120"/>
        <w:jc w:val="center"/>
        <w:rPr>
          <w:rFonts w:eastAsia="Calibri" w:cs="Arial"/>
          <w:noProof w:val="0"/>
          <w:szCs w:val="22"/>
          <w:lang w:bidi="ar-SA"/>
        </w:rPr>
      </w:pPr>
      <w:r w:rsidRPr="007D3FCB">
        <w:rPr>
          <w:rFonts w:eastAsia="Calibri" w:cs="Arial"/>
          <w:noProof w:val="0"/>
          <w:szCs w:val="22"/>
          <w:lang w:bidi="ar-SA"/>
        </w:rPr>
        <w:t>MC = MR = P = AR = AC</w:t>
      </w: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t>Grafické znázornění rovnovážného stavu v dokonalé konkurenci zobrazuje</w:t>
      </w:r>
      <w:r w:rsidR="008469AA">
        <w:rPr>
          <w:rFonts w:eastAsia="Calibri" w:cs="Arial"/>
          <w:noProof w:val="0"/>
          <w:szCs w:val="22"/>
          <w:lang w:bidi="ar-SA"/>
        </w:rPr>
        <w:t xml:space="preserve"> obrázek 8.</w:t>
      </w:r>
      <w:r w:rsidRPr="007D3FCB">
        <w:rPr>
          <w:rFonts w:eastAsia="Calibri" w:cs="Arial"/>
          <w:noProof w:val="0"/>
          <w:szCs w:val="22"/>
          <w:lang w:bidi="ar-SA"/>
        </w:rPr>
        <w:t xml:space="preserve"> V rámci dokonalé konkurence jednotlivé firmy nemohou v dlouhém období realizovat abnormální zisk, neboť tržní cena se rovná mezním nákladům (P = MC). Nevzniká tak žádná ztráta z mrtvé váhy spojené s existencí neefektivity.</w:t>
      </w:r>
    </w:p>
    <w:p w:rsidR="007B24D3" w:rsidRPr="007D3FCB" w:rsidRDefault="007B24D3" w:rsidP="007B24D3">
      <w:pPr>
        <w:pStyle w:val="Titulek"/>
        <w:rPr>
          <w:rFonts w:cs="Arial"/>
          <w:lang w:eastAsia="cs-CZ" w:bidi="ar-SA"/>
        </w:rPr>
      </w:pPr>
      <w:r w:rsidRPr="007D3FCB">
        <w:rPr>
          <w:rFonts w:cs="Arial"/>
          <w:lang w:eastAsia="cs-CZ" w:bidi="ar-SA"/>
        </w:rPr>
        <w:t xml:space="preserve">Obrázek </w:t>
      </w:r>
      <w:r w:rsidR="00381FB7" w:rsidRPr="007D3FCB">
        <w:rPr>
          <w:rFonts w:cs="Arial"/>
          <w:lang w:eastAsia="cs-CZ" w:bidi="ar-SA"/>
        </w:rPr>
        <w:fldChar w:fldCharType="begin"/>
      </w:r>
      <w:r w:rsidRPr="007D3FCB">
        <w:rPr>
          <w:rFonts w:cs="Arial"/>
          <w:lang w:eastAsia="cs-CZ" w:bidi="ar-SA"/>
        </w:rPr>
        <w:instrText xml:space="preserve"> SEQ Obrázek \* ARABIC </w:instrText>
      </w:r>
      <w:r w:rsidR="00381FB7" w:rsidRPr="007D3FCB">
        <w:rPr>
          <w:rFonts w:cs="Arial"/>
          <w:lang w:eastAsia="cs-CZ" w:bidi="ar-SA"/>
        </w:rPr>
        <w:fldChar w:fldCharType="separate"/>
      </w:r>
      <w:r w:rsidRPr="007D3FCB">
        <w:rPr>
          <w:rFonts w:cs="Arial"/>
          <w:lang w:eastAsia="cs-CZ" w:bidi="ar-SA"/>
        </w:rPr>
        <w:t>8</w:t>
      </w:r>
      <w:r w:rsidR="00381FB7" w:rsidRPr="007D3FCB">
        <w:rPr>
          <w:rFonts w:cs="Arial"/>
          <w:lang w:eastAsia="cs-CZ" w:bidi="ar-SA"/>
        </w:rPr>
        <w:fldChar w:fldCharType="end"/>
      </w:r>
      <w:r w:rsidRPr="007D3FCB">
        <w:rPr>
          <w:rFonts w:cs="Arial"/>
          <w:lang w:eastAsia="cs-CZ" w:bidi="ar-SA"/>
        </w:rPr>
        <w:t>: Rovnováha firmy v případě dokonalé konkurence</w:t>
      </w:r>
    </w:p>
    <w:p w:rsidR="007B24D3" w:rsidRPr="007D3FCB" w:rsidRDefault="007B24D3" w:rsidP="007B24D3">
      <w:pPr>
        <w:spacing w:before="120" w:after="120"/>
        <w:rPr>
          <w:rFonts w:eastAsia="Calibri" w:cs="Arial"/>
          <w:noProof w:val="0"/>
          <w:szCs w:val="22"/>
          <w:lang w:bidi="ar-SA"/>
        </w:rPr>
      </w:pPr>
      <w:r w:rsidRPr="007D3FCB">
        <w:rPr>
          <w:rFonts w:eastAsia="Calibri" w:cs="Arial"/>
          <w:szCs w:val="22"/>
          <w:lang w:eastAsia="cs-CZ" w:bidi="ar-SA"/>
        </w:rPr>
        <w:drawing>
          <wp:inline distT="0" distB="0" distL="0" distR="0" wp14:anchorId="6DE6EFA4" wp14:editId="4F845AB7">
            <wp:extent cx="3436620" cy="2827020"/>
            <wp:effectExtent l="19050" t="19050" r="11430" b="1143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36620" cy="2827020"/>
                    </a:xfrm>
                    <a:prstGeom prst="rect">
                      <a:avLst/>
                    </a:prstGeom>
                    <a:noFill/>
                    <a:ln>
                      <a:solidFill>
                        <a:sysClr val="windowText" lastClr="000000"/>
                      </a:solidFill>
                    </a:ln>
                  </pic:spPr>
                </pic:pic>
              </a:graphicData>
            </a:graphic>
          </wp:inline>
        </w:drawing>
      </w:r>
    </w:p>
    <w:p w:rsidR="007B24D3" w:rsidRPr="007D3FCB" w:rsidRDefault="007B24D3" w:rsidP="007B24D3">
      <w:pPr>
        <w:widowControl w:val="0"/>
        <w:spacing w:before="120" w:after="240" w:line="240" w:lineRule="auto"/>
        <w:rPr>
          <w:rFonts w:cs="Arial"/>
          <w:i/>
          <w:iCs/>
          <w:noProof w:val="0"/>
          <w:color w:val="000000"/>
          <w:sz w:val="20"/>
          <w:szCs w:val="20"/>
          <w:lang w:eastAsia="cs-CZ" w:bidi="ar-SA"/>
        </w:rPr>
      </w:pPr>
      <w:r w:rsidRPr="007D3FCB">
        <w:rPr>
          <w:rFonts w:cs="Arial"/>
          <w:i/>
          <w:iCs/>
          <w:noProof w:val="0"/>
          <w:color w:val="000000"/>
          <w:sz w:val="20"/>
          <w:szCs w:val="20"/>
          <w:lang w:eastAsia="cs-CZ" w:bidi="ar-SA"/>
        </w:rPr>
        <w:t>Zdroj: Mikroekonomie, Fuchs, Masarykova univerzita v Brně, Ekonomicko-správní fakulta</w:t>
      </w:r>
    </w:p>
    <w:p w:rsidR="007B24D3" w:rsidRPr="007D3FCB" w:rsidRDefault="007B24D3" w:rsidP="007B24D3">
      <w:pPr>
        <w:keepNext/>
        <w:spacing w:before="120" w:after="120"/>
        <w:rPr>
          <w:rFonts w:eastAsia="Calibri" w:cs="Arial"/>
          <w:i/>
          <w:noProof w:val="0"/>
          <w:szCs w:val="22"/>
          <w:lang w:bidi="ar-SA"/>
        </w:rPr>
      </w:pPr>
      <w:r w:rsidRPr="007D3FCB">
        <w:rPr>
          <w:rFonts w:eastAsia="Calibri" w:cs="Arial"/>
          <w:i/>
          <w:noProof w:val="0"/>
          <w:szCs w:val="22"/>
          <w:lang w:bidi="ar-SA"/>
        </w:rPr>
        <w:lastRenderedPageBreak/>
        <w:t>Případ druhý – Monopolní situace na trhu se zpětným odběrem</w:t>
      </w: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t xml:space="preserve">V této první části popisujeme situaci, kdy na trhu zpětného odběru existuje monopolní postavení. Je zde také potřeba brát na vědomí, že subjekt, který maximalizuje zisk, není přímo oprávněná společnost, ale jsou to nepřímo povinné osoby v ní sdružené. Provozování kolektivního systému je ze zákona sice neziskovou činností, což ovšem neznamená, že kolektivní systém nemůže dosahovat zisku. Je-li při činnosti provozovatele kolektivního systému generován zisk, nesmí být rozdělen mezi akcionáře, členy orgánů nebo zaměstnance provozovatele kolektivního systému, ale musí být reinvestován zpět do kolektivního systému. Povinné subjekty tedy mají zájem buď přímo, nebo prostřednictvím kolektivního systému maximalizovat zisk, respektive minimalizovat náklady na činnosti vyplývající z povinnosti zpětného odběru. </w:t>
      </w: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t xml:space="preserve">V případě, že by na trhu zpětného odběru existovalo monopolní postavení (nedokonalá konkurence), povinný subjekt zodpovědný za zpětný odběr je svým chováním schopen měnit tržní situaci a tak případně negativně ovlivňovat další hráče na trhu (zpracovatele, svozové společnosti, místa zpětného odběru apod.). Kolektivní systém v případě nedokonalé konkurence svým chováním do určité míry může například ovlivňovat ceny za zpracování, nebo cenu odkupu výrobku od posledního uživatele (ta samozřejmě musí být podle zákona nezáporná, nicméně pokud má výrobek hodnotu, cena je pozitivní a povinná osoba si určuje cenovou politiku odkupů vyřazených výrobků). </w:t>
      </w:r>
    </w:p>
    <w:p w:rsidR="007B24D3" w:rsidRPr="007D3FCB" w:rsidRDefault="008469AA" w:rsidP="007B24D3">
      <w:pPr>
        <w:spacing w:before="120" w:after="120"/>
        <w:rPr>
          <w:rFonts w:eastAsia="Calibri" w:cs="Arial"/>
          <w:noProof w:val="0"/>
          <w:szCs w:val="22"/>
          <w:lang w:bidi="ar-SA"/>
        </w:rPr>
      </w:pPr>
      <w:r>
        <w:rPr>
          <w:rFonts w:eastAsia="Calibri" w:cs="Arial"/>
          <w:noProof w:val="0"/>
          <w:szCs w:val="22"/>
          <w:lang w:bidi="ar-SA"/>
        </w:rPr>
        <w:t xml:space="preserve">Obrázek 9 </w:t>
      </w:r>
      <w:r w:rsidR="007B24D3" w:rsidRPr="007D3FCB">
        <w:rPr>
          <w:rFonts w:eastAsia="Calibri" w:cs="Arial"/>
          <w:noProof w:val="0"/>
          <w:szCs w:val="22"/>
          <w:lang w:bidi="ar-SA"/>
        </w:rPr>
        <w:t xml:space="preserve">graficky znázorňuje rovnovážný stav pro monopol. V podmínkách nedokonalé konkurence platí, že mezní příjem (MR) je klesající, neboť firma je schopna realizovat vyšší množství produkce pouze za předpokladu nižší ceny. Zároveň průměrný příjem (AR) je taktéž klesající s rostoucím množstvím produkce. V případě monopolu tak křivka průměrných nákladů současně představuje poptávkovou křivku (D). Stanovená optimální produkce pro firmu je situace, kdy dojde k vyrovnání mezních nákladů s mezními příjmy (MC = MR). Jedná se o rovnovážný stav, neboť při vyšší produkci nebo při nižší produkci než optimální by nedošlo k maximalizaci zisku. Oproti dokonalé konkurenci v případě nedokonalé konkurence dochází k projevu tržní síly monopolu ve formě realizace za cenu zabezpečující monopolní zisk. Monopol se tak ve vztahu k ceně stává cenovým tvůrcem. Díky koupěschopné poptávce je tak monopol schopen realizovat množství </w:t>
      </w:r>
      <w:proofErr w:type="spellStart"/>
      <w:r w:rsidR="007B24D3" w:rsidRPr="007D3FCB">
        <w:rPr>
          <w:rFonts w:eastAsia="Calibri" w:cs="Arial"/>
          <w:noProof w:val="0"/>
          <w:szCs w:val="22"/>
          <w:lang w:bidi="ar-SA"/>
        </w:rPr>
        <w:t>q</w:t>
      </w:r>
      <w:r w:rsidR="007B24D3" w:rsidRPr="007D3FCB">
        <w:rPr>
          <w:rFonts w:eastAsia="Calibri" w:cs="Arial"/>
          <w:noProof w:val="0"/>
          <w:szCs w:val="22"/>
          <w:vertAlign w:val="subscript"/>
          <w:lang w:bidi="ar-SA"/>
        </w:rPr>
        <w:t>M</w:t>
      </w:r>
      <w:proofErr w:type="spellEnd"/>
      <w:r w:rsidR="007B24D3" w:rsidRPr="007D3FCB">
        <w:rPr>
          <w:rFonts w:eastAsia="Calibri" w:cs="Arial"/>
          <w:noProof w:val="0"/>
          <w:szCs w:val="22"/>
          <w:lang w:bidi="ar-SA"/>
        </w:rPr>
        <w:t xml:space="preserve"> za cenu vyšší (P</w:t>
      </w:r>
      <w:r w:rsidR="007B24D3" w:rsidRPr="007D3FCB">
        <w:rPr>
          <w:rFonts w:eastAsia="Calibri" w:cs="Arial"/>
          <w:noProof w:val="0"/>
          <w:szCs w:val="22"/>
          <w:vertAlign w:val="subscript"/>
          <w:lang w:bidi="ar-SA"/>
        </w:rPr>
        <w:t>M</w:t>
      </w:r>
      <w:r w:rsidR="007B24D3" w:rsidRPr="007D3FCB">
        <w:rPr>
          <w:rFonts w:eastAsia="Calibri" w:cs="Arial"/>
          <w:noProof w:val="0"/>
          <w:szCs w:val="22"/>
          <w:lang w:bidi="ar-SA"/>
        </w:rPr>
        <w:t>) než je cena (P</w:t>
      </w:r>
      <w:r w:rsidR="007B24D3" w:rsidRPr="007D3FCB">
        <w:rPr>
          <w:rFonts w:eastAsia="Calibri" w:cs="Arial"/>
          <w:noProof w:val="0"/>
          <w:szCs w:val="22"/>
          <w:vertAlign w:val="subscript"/>
          <w:lang w:bidi="ar-SA"/>
        </w:rPr>
        <w:t>A</w:t>
      </w:r>
      <w:r w:rsidR="007B24D3" w:rsidRPr="007D3FCB">
        <w:rPr>
          <w:rFonts w:eastAsia="Calibri" w:cs="Arial"/>
          <w:noProof w:val="0"/>
          <w:szCs w:val="22"/>
          <w:lang w:bidi="ar-SA"/>
        </w:rPr>
        <w:t xml:space="preserve">) odpovídající průměrným nákladům produkci </w:t>
      </w:r>
      <w:proofErr w:type="spellStart"/>
      <w:r w:rsidR="007B24D3" w:rsidRPr="007D3FCB">
        <w:rPr>
          <w:rFonts w:eastAsia="Calibri" w:cs="Arial"/>
          <w:noProof w:val="0"/>
          <w:szCs w:val="22"/>
          <w:lang w:bidi="ar-SA"/>
        </w:rPr>
        <w:t>q</w:t>
      </w:r>
      <w:r w:rsidR="007B24D3" w:rsidRPr="007D3FCB">
        <w:rPr>
          <w:rFonts w:eastAsia="Calibri" w:cs="Arial"/>
          <w:noProof w:val="0"/>
          <w:szCs w:val="22"/>
          <w:vertAlign w:val="subscript"/>
          <w:lang w:bidi="ar-SA"/>
        </w:rPr>
        <w:t>M</w:t>
      </w:r>
      <w:proofErr w:type="spellEnd"/>
      <w:r w:rsidR="007B24D3" w:rsidRPr="007D3FCB">
        <w:rPr>
          <w:rFonts w:eastAsia="Calibri" w:cs="Arial"/>
          <w:noProof w:val="0"/>
          <w:szCs w:val="22"/>
          <w:lang w:bidi="ar-SA"/>
        </w:rPr>
        <w:t xml:space="preserve">. Monopolní zisk je pak na </w:t>
      </w:r>
      <w:r>
        <w:rPr>
          <w:rFonts w:eastAsia="Calibri" w:cs="Arial"/>
          <w:noProof w:val="0"/>
          <w:szCs w:val="22"/>
          <w:lang w:bidi="ar-SA"/>
        </w:rPr>
        <w:t xml:space="preserve">obrázku 9 </w:t>
      </w:r>
      <w:r w:rsidR="007B24D3" w:rsidRPr="007D3FCB">
        <w:rPr>
          <w:rFonts w:eastAsia="Calibri" w:cs="Arial"/>
          <w:noProof w:val="0"/>
          <w:szCs w:val="22"/>
          <w:lang w:bidi="ar-SA"/>
        </w:rPr>
        <w:t>znázorněn jako obsah obdélníku s vrcholy P</w:t>
      </w:r>
      <w:r w:rsidR="007B24D3" w:rsidRPr="007D3FCB">
        <w:rPr>
          <w:rFonts w:eastAsia="Calibri" w:cs="Arial"/>
          <w:noProof w:val="0"/>
          <w:szCs w:val="22"/>
          <w:vertAlign w:val="subscript"/>
          <w:lang w:bidi="ar-SA"/>
        </w:rPr>
        <w:t>A</w:t>
      </w:r>
      <w:r w:rsidR="007B24D3" w:rsidRPr="007D3FCB">
        <w:rPr>
          <w:rFonts w:eastAsia="Calibri" w:cs="Arial"/>
          <w:noProof w:val="0"/>
          <w:szCs w:val="22"/>
          <w:lang w:bidi="ar-SA"/>
        </w:rPr>
        <w:t>, P</w:t>
      </w:r>
      <w:r w:rsidR="007B24D3" w:rsidRPr="007D3FCB">
        <w:rPr>
          <w:rFonts w:eastAsia="Calibri" w:cs="Arial"/>
          <w:noProof w:val="0"/>
          <w:szCs w:val="22"/>
          <w:vertAlign w:val="subscript"/>
          <w:lang w:bidi="ar-SA"/>
        </w:rPr>
        <w:t>M</w:t>
      </w:r>
      <w:r w:rsidR="007B24D3" w:rsidRPr="007D3FCB">
        <w:rPr>
          <w:rFonts w:eastAsia="Calibri" w:cs="Arial"/>
          <w:noProof w:val="0"/>
          <w:szCs w:val="22"/>
          <w:lang w:bidi="ar-SA"/>
        </w:rPr>
        <w:t>, E</w:t>
      </w:r>
      <w:r w:rsidR="007B24D3" w:rsidRPr="007D3FCB">
        <w:rPr>
          <w:rFonts w:eastAsia="Calibri" w:cs="Arial"/>
          <w:noProof w:val="0"/>
          <w:szCs w:val="22"/>
          <w:vertAlign w:val="subscript"/>
          <w:lang w:bidi="ar-SA"/>
        </w:rPr>
        <w:t>M</w:t>
      </w:r>
      <w:r w:rsidR="007B24D3" w:rsidRPr="007D3FCB">
        <w:rPr>
          <w:rFonts w:eastAsia="Calibri" w:cs="Arial"/>
          <w:noProof w:val="0"/>
          <w:szCs w:val="22"/>
          <w:lang w:bidi="ar-SA"/>
        </w:rPr>
        <w:t>, A.</w:t>
      </w:r>
    </w:p>
    <w:p w:rsidR="007B24D3" w:rsidRPr="007D3FCB" w:rsidRDefault="007B24D3" w:rsidP="007B24D3">
      <w:pPr>
        <w:pStyle w:val="Titulek"/>
        <w:rPr>
          <w:rFonts w:cs="Arial"/>
          <w:lang w:eastAsia="cs-CZ" w:bidi="ar-SA"/>
        </w:rPr>
      </w:pPr>
      <w:r w:rsidRPr="007D3FCB">
        <w:rPr>
          <w:rFonts w:cs="Arial"/>
          <w:lang w:eastAsia="cs-CZ" w:bidi="ar-SA"/>
        </w:rPr>
        <w:lastRenderedPageBreak/>
        <w:t xml:space="preserve">Obrázek </w:t>
      </w:r>
      <w:r w:rsidR="00381FB7" w:rsidRPr="007D3FCB">
        <w:rPr>
          <w:rFonts w:cs="Arial"/>
          <w:lang w:eastAsia="cs-CZ" w:bidi="ar-SA"/>
        </w:rPr>
        <w:fldChar w:fldCharType="begin"/>
      </w:r>
      <w:r w:rsidRPr="007D3FCB">
        <w:rPr>
          <w:rFonts w:cs="Arial"/>
          <w:lang w:eastAsia="cs-CZ" w:bidi="ar-SA"/>
        </w:rPr>
        <w:instrText xml:space="preserve"> SEQ Obrázek \* ARABIC </w:instrText>
      </w:r>
      <w:r w:rsidR="00381FB7" w:rsidRPr="007D3FCB">
        <w:rPr>
          <w:rFonts w:cs="Arial"/>
          <w:lang w:eastAsia="cs-CZ" w:bidi="ar-SA"/>
        </w:rPr>
        <w:fldChar w:fldCharType="separate"/>
      </w:r>
      <w:r w:rsidRPr="007D3FCB">
        <w:rPr>
          <w:rFonts w:cs="Arial"/>
          <w:lang w:eastAsia="cs-CZ" w:bidi="ar-SA"/>
        </w:rPr>
        <w:t>9</w:t>
      </w:r>
      <w:r w:rsidR="00381FB7" w:rsidRPr="007D3FCB">
        <w:rPr>
          <w:rFonts w:cs="Arial"/>
          <w:lang w:eastAsia="cs-CZ" w:bidi="ar-SA"/>
        </w:rPr>
        <w:fldChar w:fldCharType="end"/>
      </w:r>
      <w:r w:rsidRPr="007D3FCB">
        <w:rPr>
          <w:rFonts w:cs="Arial"/>
          <w:lang w:eastAsia="cs-CZ" w:bidi="ar-SA"/>
        </w:rPr>
        <w:t xml:space="preserve">: Rovnováha </w:t>
      </w:r>
      <w:r w:rsidRPr="007D3FCB">
        <w:rPr>
          <w:rFonts w:cs="Arial"/>
        </w:rPr>
        <w:t>monopolu</w:t>
      </w:r>
    </w:p>
    <w:p w:rsidR="007B24D3" w:rsidRPr="007D3FCB" w:rsidRDefault="007B24D3" w:rsidP="007B24D3">
      <w:pPr>
        <w:spacing w:before="120" w:after="120"/>
        <w:rPr>
          <w:rFonts w:eastAsia="Calibri" w:cs="Arial"/>
          <w:noProof w:val="0"/>
          <w:szCs w:val="22"/>
          <w:lang w:bidi="ar-SA"/>
        </w:rPr>
      </w:pPr>
      <w:r w:rsidRPr="007D3FCB">
        <w:rPr>
          <w:rFonts w:eastAsia="Calibri" w:cs="Arial"/>
          <w:szCs w:val="22"/>
          <w:lang w:eastAsia="cs-CZ" w:bidi="ar-SA"/>
        </w:rPr>
        <w:drawing>
          <wp:inline distT="0" distB="0" distL="0" distR="0" wp14:anchorId="23990D27" wp14:editId="419A4F82">
            <wp:extent cx="3985260" cy="2979420"/>
            <wp:effectExtent l="19050" t="19050" r="15240" b="1143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85260" cy="2979420"/>
                    </a:xfrm>
                    <a:prstGeom prst="rect">
                      <a:avLst/>
                    </a:prstGeom>
                    <a:noFill/>
                    <a:ln>
                      <a:solidFill>
                        <a:sysClr val="windowText" lastClr="000000"/>
                      </a:solidFill>
                    </a:ln>
                  </pic:spPr>
                </pic:pic>
              </a:graphicData>
            </a:graphic>
          </wp:inline>
        </w:drawing>
      </w:r>
    </w:p>
    <w:p w:rsidR="007B24D3" w:rsidRPr="007D3FCB" w:rsidRDefault="007B24D3" w:rsidP="007B24D3">
      <w:pPr>
        <w:widowControl w:val="0"/>
        <w:spacing w:before="120" w:after="240" w:line="240" w:lineRule="auto"/>
        <w:rPr>
          <w:rFonts w:cs="Arial"/>
          <w:i/>
          <w:iCs/>
          <w:noProof w:val="0"/>
          <w:color w:val="000000"/>
          <w:sz w:val="20"/>
          <w:szCs w:val="20"/>
          <w:lang w:eastAsia="cs-CZ" w:bidi="ar-SA"/>
        </w:rPr>
      </w:pPr>
      <w:r w:rsidRPr="007D3FCB">
        <w:rPr>
          <w:rFonts w:cs="Arial"/>
          <w:i/>
          <w:iCs/>
          <w:noProof w:val="0"/>
          <w:color w:val="000000"/>
          <w:sz w:val="20"/>
          <w:szCs w:val="20"/>
          <w:lang w:eastAsia="cs-CZ" w:bidi="ar-SA"/>
        </w:rPr>
        <w:t>Zdroj: Mikroekonomie, Fuchs, Masarykova univerzita v Brně, Ekonomicko-správní fakulta</w:t>
      </w: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t>Existence monopolního zisku pak v případě nedokonalé konkurence obecně vytváří obecně ekonomickou neefektivitu, v ekonomické teorii označovanou jako náklady mrtvé váhy (</w:t>
      </w:r>
      <w:r w:rsidRPr="007D3FCB">
        <w:rPr>
          <w:rFonts w:eastAsia="Calibri" w:cs="Arial"/>
          <w:i/>
          <w:noProof w:val="0"/>
          <w:szCs w:val="22"/>
          <w:lang w:bidi="ar-SA"/>
        </w:rPr>
        <w:t xml:space="preserve">angl. </w:t>
      </w:r>
      <w:proofErr w:type="spellStart"/>
      <w:r w:rsidRPr="007D3FCB">
        <w:rPr>
          <w:rFonts w:eastAsia="Calibri" w:cs="Arial"/>
          <w:i/>
          <w:noProof w:val="0"/>
          <w:szCs w:val="22"/>
          <w:lang w:bidi="ar-SA"/>
        </w:rPr>
        <w:t>dead</w:t>
      </w:r>
      <w:proofErr w:type="spellEnd"/>
      <w:r w:rsidRPr="007D3FCB">
        <w:rPr>
          <w:rFonts w:eastAsia="Calibri" w:cs="Arial"/>
          <w:i/>
          <w:noProof w:val="0"/>
          <w:szCs w:val="22"/>
          <w:lang w:bidi="ar-SA"/>
        </w:rPr>
        <w:t xml:space="preserve"> </w:t>
      </w:r>
      <w:proofErr w:type="spellStart"/>
      <w:r w:rsidRPr="007D3FCB">
        <w:rPr>
          <w:rFonts w:eastAsia="Calibri" w:cs="Arial"/>
          <w:i/>
          <w:noProof w:val="0"/>
          <w:szCs w:val="22"/>
          <w:lang w:bidi="ar-SA"/>
        </w:rPr>
        <w:t>weight</w:t>
      </w:r>
      <w:proofErr w:type="spellEnd"/>
      <w:r w:rsidRPr="007D3FCB">
        <w:rPr>
          <w:rFonts w:eastAsia="Calibri" w:cs="Arial"/>
          <w:i/>
          <w:noProof w:val="0"/>
          <w:szCs w:val="22"/>
          <w:lang w:bidi="ar-SA"/>
        </w:rPr>
        <w:t xml:space="preserve"> </w:t>
      </w:r>
      <w:proofErr w:type="spellStart"/>
      <w:r w:rsidRPr="007D3FCB">
        <w:rPr>
          <w:rFonts w:eastAsia="Calibri" w:cs="Arial"/>
          <w:i/>
          <w:noProof w:val="0"/>
          <w:szCs w:val="22"/>
          <w:lang w:bidi="ar-SA"/>
        </w:rPr>
        <w:t>loss</w:t>
      </w:r>
      <w:proofErr w:type="spellEnd"/>
      <w:r w:rsidRPr="007D3FCB">
        <w:rPr>
          <w:rFonts w:eastAsia="Calibri" w:cs="Arial"/>
          <w:noProof w:val="0"/>
          <w:szCs w:val="22"/>
          <w:lang w:bidi="ar-SA"/>
        </w:rPr>
        <w:t xml:space="preserve">), což znamená, že monopol nabízí méně služeb za vyšší ceny. Monopolní situace je znázorněna na </w:t>
      </w:r>
      <w:r w:rsidR="008469AA">
        <w:rPr>
          <w:rFonts w:eastAsia="Calibri" w:cs="Arial"/>
          <w:noProof w:val="0"/>
          <w:szCs w:val="22"/>
          <w:lang w:bidi="ar-SA"/>
        </w:rPr>
        <w:t xml:space="preserve">obrázku 10 </w:t>
      </w:r>
      <w:r w:rsidRPr="007D3FCB">
        <w:rPr>
          <w:rFonts w:eastAsia="Calibri" w:cs="Arial"/>
          <w:noProof w:val="0"/>
          <w:szCs w:val="22"/>
          <w:lang w:bidi="ar-SA"/>
        </w:rPr>
        <w:t>níže, kdy jsou znázorněny náklady mrtvé váhy monopolu oproti dokonalé konkurenci.</w:t>
      </w:r>
    </w:p>
    <w:p w:rsidR="007B24D3" w:rsidRPr="007D3FCB" w:rsidRDefault="007B24D3" w:rsidP="007B24D3">
      <w:pPr>
        <w:pStyle w:val="Titulek"/>
        <w:rPr>
          <w:rFonts w:cs="Arial"/>
          <w:lang w:eastAsia="cs-CZ" w:bidi="ar-SA"/>
        </w:rPr>
      </w:pPr>
      <w:r w:rsidRPr="007D3FCB">
        <w:rPr>
          <w:rFonts w:cs="Arial"/>
          <w:lang w:eastAsia="cs-CZ" w:bidi="ar-SA"/>
        </w:rPr>
        <w:t xml:space="preserve">Obrázek </w:t>
      </w:r>
      <w:r w:rsidR="00381FB7" w:rsidRPr="007D3FCB">
        <w:rPr>
          <w:rFonts w:cs="Arial"/>
          <w:lang w:eastAsia="cs-CZ" w:bidi="ar-SA"/>
        </w:rPr>
        <w:fldChar w:fldCharType="begin"/>
      </w:r>
      <w:r w:rsidRPr="007D3FCB">
        <w:rPr>
          <w:rFonts w:cs="Arial"/>
          <w:lang w:eastAsia="cs-CZ" w:bidi="ar-SA"/>
        </w:rPr>
        <w:instrText xml:space="preserve"> SEQ Obrázek \* ARABIC </w:instrText>
      </w:r>
      <w:r w:rsidR="00381FB7" w:rsidRPr="007D3FCB">
        <w:rPr>
          <w:rFonts w:cs="Arial"/>
          <w:lang w:eastAsia="cs-CZ" w:bidi="ar-SA"/>
        </w:rPr>
        <w:fldChar w:fldCharType="separate"/>
      </w:r>
      <w:r w:rsidRPr="007D3FCB">
        <w:rPr>
          <w:rFonts w:cs="Arial"/>
          <w:lang w:eastAsia="cs-CZ" w:bidi="ar-SA"/>
        </w:rPr>
        <w:t>10</w:t>
      </w:r>
      <w:r w:rsidR="00381FB7" w:rsidRPr="007D3FCB">
        <w:rPr>
          <w:rFonts w:cs="Arial"/>
          <w:lang w:eastAsia="cs-CZ" w:bidi="ar-SA"/>
        </w:rPr>
        <w:fldChar w:fldCharType="end"/>
      </w:r>
      <w:r w:rsidRPr="007D3FCB">
        <w:rPr>
          <w:rFonts w:cs="Arial"/>
          <w:lang w:eastAsia="cs-CZ" w:bidi="ar-SA"/>
        </w:rPr>
        <w:t>: Alokační neefektivnost monopolu</w:t>
      </w:r>
    </w:p>
    <w:p w:rsidR="007B24D3" w:rsidRPr="007D3FCB" w:rsidRDefault="007B24D3" w:rsidP="007B24D3">
      <w:pPr>
        <w:spacing w:before="120" w:after="120"/>
        <w:rPr>
          <w:rFonts w:eastAsia="Calibri" w:cs="Arial"/>
          <w:noProof w:val="0"/>
          <w:szCs w:val="22"/>
          <w:lang w:bidi="ar-SA"/>
        </w:rPr>
      </w:pPr>
      <w:r w:rsidRPr="007D3FCB">
        <w:rPr>
          <w:rFonts w:eastAsia="Calibri" w:cs="Arial"/>
          <w:szCs w:val="22"/>
          <w:lang w:eastAsia="cs-CZ" w:bidi="ar-SA"/>
        </w:rPr>
        <w:drawing>
          <wp:inline distT="0" distB="0" distL="0" distR="0" wp14:anchorId="57E90CDC" wp14:editId="229F3D93">
            <wp:extent cx="4137660" cy="2926080"/>
            <wp:effectExtent l="19050" t="19050" r="15240" b="2667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137660" cy="2926080"/>
                    </a:xfrm>
                    <a:prstGeom prst="rect">
                      <a:avLst/>
                    </a:prstGeom>
                    <a:noFill/>
                    <a:ln>
                      <a:solidFill>
                        <a:sysClr val="windowText" lastClr="000000"/>
                      </a:solidFill>
                    </a:ln>
                  </pic:spPr>
                </pic:pic>
              </a:graphicData>
            </a:graphic>
          </wp:inline>
        </w:drawing>
      </w:r>
    </w:p>
    <w:p w:rsidR="007B24D3" w:rsidRPr="007D3FCB" w:rsidRDefault="007B24D3" w:rsidP="007B24D3">
      <w:pPr>
        <w:widowControl w:val="0"/>
        <w:spacing w:before="120" w:after="240" w:line="240" w:lineRule="auto"/>
        <w:rPr>
          <w:rFonts w:cs="Arial"/>
          <w:i/>
          <w:iCs/>
          <w:noProof w:val="0"/>
          <w:color w:val="000000"/>
          <w:sz w:val="20"/>
          <w:szCs w:val="20"/>
          <w:lang w:eastAsia="cs-CZ" w:bidi="ar-SA"/>
        </w:rPr>
      </w:pPr>
      <w:r w:rsidRPr="007D3FCB">
        <w:rPr>
          <w:rFonts w:cs="Arial"/>
          <w:i/>
          <w:iCs/>
          <w:noProof w:val="0"/>
          <w:color w:val="000000"/>
          <w:sz w:val="20"/>
          <w:szCs w:val="20"/>
          <w:lang w:eastAsia="cs-CZ" w:bidi="ar-SA"/>
        </w:rPr>
        <w:t>Zdroj: Mikroekonomie, Fuchs, Masarykova univerzita v Brně, Ekonomicko-správní fakulta</w:t>
      </w: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t xml:space="preserve">Vzhledem k výše zmíněné neefektivitě monopolních situací (v případě oligopolu je situace obdobná s tím, že ztráty mrtvé váhy jsou menší) je vhodné podporovat konkurenci v odvětví, </w:t>
      </w:r>
      <w:r w:rsidRPr="007D3FCB">
        <w:rPr>
          <w:rFonts w:eastAsia="Calibri" w:cs="Arial"/>
          <w:noProof w:val="0"/>
          <w:szCs w:val="22"/>
          <w:lang w:bidi="ar-SA"/>
        </w:rPr>
        <w:lastRenderedPageBreak/>
        <w:t>byť by se jednalo o konkurenci okrajovou. V případě zpětného odběru odpadů by pak situace mohla vést k tzv. monopolistické konkurenci.</w:t>
      </w:r>
    </w:p>
    <w:p w:rsidR="007B24D3" w:rsidRPr="007D3FCB" w:rsidRDefault="007B24D3" w:rsidP="007B24D3">
      <w:pPr>
        <w:keepNext/>
        <w:spacing w:before="120" w:after="120"/>
        <w:rPr>
          <w:rFonts w:eastAsia="Calibri" w:cs="Arial"/>
          <w:i/>
          <w:noProof w:val="0"/>
          <w:szCs w:val="22"/>
          <w:lang w:bidi="ar-SA"/>
        </w:rPr>
      </w:pPr>
      <w:r w:rsidRPr="007D3FCB">
        <w:rPr>
          <w:rFonts w:eastAsia="Calibri" w:cs="Arial"/>
          <w:i/>
          <w:noProof w:val="0"/>
          <w:szCs w:val="22"/>
          <w:lang w:bidi="ar-SA"/>
        </w:rPr>
        <w:t>Případ třetí – Monopolistická konkurence na trhu se zpětným odběrem</w:t>
      </w: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t>Jinou formou nedokonalé konkurence je tzv. monopolistická konkurence neboli konkurence velké skupiny. Oproti dokonalé konkurenci spočívá nedokonalost této formy ve skutečnosti, že produkce jednotlivých firem není identická, produkt je tak diferencovatelný. Trh navíc ovlivňují i další faktory (např. značka, reklama, tradice a zvyky spotřebitelů apod.), které ve spojitosti s </w:t>
      </w:r>
      <w:proofErr w:type="spellStart"/>
      <w:r w:rsidRPr="007D3FCB">
        <w:rPr>
          <w:rFonts w:eastAsia="Calibri" w:cs="Arial"/>
          <w:noProof w:val="0"/>
          <w:szCs w:val="22"/>
          <w:lang w:bidi="ar-SA"/>
        </w:rPr>
        <w:t>diferencovatelností</w:t>
      </w:r>
      <w:proofErr w:type="spellEnd"/>
      <w:r w:rsidRPr="007D3FCB">
        <w:rPr>
          <w:rFonts w:eastAsia="Calibri" w:cs="Arial"/>
          <w:noProof w:val="0"/>
          <w:szCs w:val="22"/>
          <w:lang w:bidi="ar-SA"/>
        </w:rPr>
        <w:t xml:space="preserve"> produktů rozkládají celkovou poptávku. Rozklad celkové poptávky umožňuje jednotlivým firmám existence „svého“ dočasně stabilizovaného trhu. Z toho vyplývá, že ačkoliv je firma krátkodobě na „svém“ trhu v postavení monopolu, nemůže monopolní výhody realizovat jako dlouhodobě stabilizovaný zisk, který je výrazně vyšší než úroveň průměrných nákladů.</w:t>
      </w:r>
    </w:p>
    <w:p w:rsidR="007B24D3" w:rsidRPr="007D3FCB" w:rsidRDefault="008469AA" w:rsidP="007B24D3">
      <w:pPr>
        <w:spacing w:before="120" w:after="120"/>
        <w:rPr>
          <w:rFonts w:eastAsia="Calibri" w:cs="Arial"/>
          <w:noProof w:val="0"/>
          <w:szCs w:val="22"/>
          <w:lang w:bidi="ar-SA"/>
        </w:rPr>
      </w:pPr>
      <w:r>
        <w:rPr>
          <w:rFonts w:eastAsia="Calibri" w:cs="Arial"/>
          <w:noProof w:val="0"/>
          <w:szCs w:val="22"/>
          <w:lang w:bidi="ar-SA"/>
        </w:rPr>
        <w:t xml:space="preserve">Obrázek 11 </w:t>
      </w:r>
      <w:bookmarkStart w:id="324" w:name="_GoBack"/>
      <w:bookmarkEnd w:id="324"/>
      <w:r w:rsidR="007B24D3" w:rsidRPr="007D3FCB">
        <w:rPr>
          <w:rFonts w:eastAsia="Calibri" w:cs="Arial"/>
          <w:noProof w:val="0"/>
          <w:szCs w:val="22"/>
          <w:lang w:bidi="ar-SA"/>
        </w:rPr>
        <w:t>graficky znázorňuje rovnovážný stav pro monopolistickou konkurenci. Firma začíná na „svém“ trhu v postavení monopolu a realizuje tak množství q</w:t>
      </w:r>
      <w:r w:rsidR="007B24D3" w:rsidRPr="007D3FCB">
        <w:rPr>
          <w:rFonts w:eastAsia="Calibri" w:cs="Arial"/>
          <w:noProof w:val="0"/>
          <w:szCs w:val="22"/>
          <w:vertAlign w:val="subscript"/>
          <w:lang w:bidi="ar-SA"/>
        </w:rPr>
        <w:t>1</w:t>
      </w:r>
      <w:r w:rsidR="007B24D3" w:rsidRPr="007D3FCB">
        <w:rPr>
          <w:rFonts w:eastAsia="Calibri" w:cs="Arial"/>
          <w:noProof w:val="0"/>
          <w:szCs w:val="22"/>
          <w:lang w:bidi="ar-SA"/>
        </w:rPr>
        <w:t xml:space="preserve">  při cenách P</w:t>
      </w:r>
      <w:r w:rsidR="007B24D3" w:rsidRPr="007D3FCB">
        <w:rPr>
          <w:rFonts w:eastAsia="Calibri" w:cs="Arial"/>
          <w:noProof w:val="0"/>
          <w:szCs w:val="22"/>
          <w:vertAlign w:val="subscript"/>
          <w:lang w:bidi="ar-SA"/>
        </w:rPr>
        <w:t>1</w:t>
      </w:r>
      <w:r w:rsidR="007B24D3" w:rsidRPr="007D3FCB">
        <w:rPr>
          <w:rFonts w:eastAsia="Calibri" w:cs="Arial"/>
          <w:noProof w:val="0"/>
          <w:szCs w:val="22"/>
          <w:lang w:bidi="ar-SA"/>
        </w:rPr>
        <w:t>. Realizace za cenu P</w:t>
      </w:r>
      <w:r w:rsidR="007B24D3" w:rsidRPr="007D3FCB">
        <w:rPr>
          <w:rFonts w:eastAsia="Calibri" w:cs="Arial"/>
          <w:noProof w:val="0"/>
          <w:szCs w:val="22"/>
          <w:vertAlign w:val="subscript"/>
          <w:lang w:bidi="ar-SA"/>
        </w:rPr>
        <w:t>1</w:t>
      </w:r>
      <w:r w:rsidR="007B24D3" w:rsidRPr="007D3FCB">
        <w:rPr>
          <w:rFonts w:eastAsia="Calibri" w:cs="Arial"/>
          <w:noProof w:val="0"/>
          <w:szCs w:val="22"/>
          <w:lang w:bidi="ar-SA"/>
        </w:rPr>
        <w:t xml:space="preserve"> ovšem vytváří abnormální zisk (obdobně jako v případě monopolu), čímž dojde k přilákání dalších producentů. Vyšší konkurence na trhu povede k nárůstu nabídky. V důsledku nárůstu celkové nabídky dojde k poklesu poptávky po produkci dříve monopolní firmy (D</w:t>
      </w:r>
      <w:r w:rsidR="007B24D3" w:rsidRPr="007D3FCB">
        <w:rPr>
          <w:rFonts w:eastAsia="Calibri" w:cs="Arial"/>
          <w:noProof w:val="0"/>
          <w:szCs w:val="22"/>
          <w:vertAlign w:val="subscript"/>
          <w:lang w:bidi="ar-SA"/>
        </w:rPr>
        <w:t>1</w:t>
      </w:r>
      <w:r w:rsidR="007B24D3" w:rsidRPr="007D3FCB">
        <w:rPr>
          <w:rFonts w:eastAsia="Calibri" w:cs="Arial"/>
          <w:noProof w:val="0"/>
          <w:szCs w:val="22"/>
          <w:lang w:bidi="ar-SA"/>
        </w:rPr>
        <w:t xml:space="preserve"> → D</w:t>
      </w:r>
      <w:r w:rsidR="007B24D3" w:rsidRPr="007D3FCB">
        <w:rPr>
          <w:rFonts w:eastAsia="Calibri" w:cs="Arial"/>
          <w:noProof w:val="0"/>
          <w:szCs w:val="22"/>
          <w:vertAlign w:val="subscript"/>
          <w:lang w:bidi="ar-SA"/>
        </w:rPr>
        <w:t>2</w:t>
      </w:r>
      <w:r w:rsidR="007B24D3" w:rsidRPr="007D3FCB">
        <w:rPr>
          <w:rFonts w:eastAsia="Calibri" w:cs="Arial"/>
          <w:noProof w:val="0"/>
          <w:szCs w:val="22"/>
          <w:lang w:bidi="ar-SA"/>
        </w:rPr>
        <w:t>) a tím pádem i poklesu mezního příjmu (MR</w:t>
      </w:r>
      <w:r w:rsidR="007B24D3" w:rsidRPr="007D3FCB">
        <w:rPr>
          <w:rFonts w:eastAsia="Calibri" w:cs="Arial"/>
          <w:noProof w:val="0"/>
          <w:szCs w:val="22"/>
          <w:vertAlign w:val="subscript"/>
          <w:lang w:bidi="ar-SA"/>
        </w:rPr>
        <w:t>1</w:t>
      </w:r>
      <w:r w:rsidR="007B24D3" w:rsidRPr="007D3FCB">
        <w:rPr>
          <w:rFonts w:eastAsia="Calibri" w:cs="Arial"/>
          <w:noProof w:val="0"/>
          <w:szCs w:val="22"/>
          <w:lang w:bidi="ar-SA"/>
        </w:rPr>
        <w:t xml:space="preserve"> → MR</w:t>
      </w:r>
      <w:r w:rsidR="007B24D3" w:rsidRPr="007D3FCB">
        <w:rPr>
          <w:rFonts w:eastAsia="Calibri" w:cs="Arial"/>
          <w:noProof w:val="0"/>
          <w:szCs w:val="22"/>
          <w:vertAlign w:val="subscript"/>
          <w:lang w:bidi="ar-SA"/>
        </w:rPr>
        <w:t>2</w:t>
      </w:r>
      <w:r w:rsidR="007B24D3" w:rsidRPr="007D3FCB">
        <w:rPr>
          <w:rFonts w:eastAsia="Calibri" w:cs="Arial"/>
          <w:noProof w:val="0"/>
          <w:szCs w:val="22"/>
          <w:lang w:bidi="ar-SA"/>
        </w:rPr>
        <w:t>). Rovnovážný stave MC = MR</w:t>
      </w:r>
      <w:r w:rsidR="007B24D3" w:rsidRPr="007D3FCB">
        <w:rPr>
          <w:rFonts w:eastAsia="Calibri" w:cs="Arial"/>
          <w:noProof w:val="0"/>
          <w:szCs w:val="22"/>
          <w:vertAlign w:val="subscript"/>
          <w:lang w:bidi="ar-SA"/>
        </w:rPr>
        <w:t>2</w:t>
      </w:r>
      <w:r w:rsidR="007B24D3" w:rsidRPr="007D3FCB">
        <w:rPr>
          <w:rFonts w:eastAsia="Calibri" w:cs="Arial"/>
          <w:noProof w:val="0"/>
          <w:szCs w:val="22"/>
          <w:lang w:bidi="ar-SA"/>
        </w:rPr>
        <w:t xml:space="preserve"> ta nastane při úrovni množství q</w:t>
      </w:r>
      <w:r w:rsidR="007B24D3" w:rsidRPr="007D3FCB">
        <w:rPr>
          <w:rFonts w:eastAsia="Calibri" w:cs="Arial"/>
          <w:noProof w:val="0"/>
          <w:szCs w:val="22"/>
          <w:vertAlign w:val="subscript"/>
          <w:lang w:bidi="ar-SA"/>
        </w:rPr>
        <w:t>2</w:t>
      </w:r>
      <w:r w:rsidR="007B24D3" w:rsidRPr="007D3FCB">
        <w:rPr>
          <w:rFonts w:eastAsia="Calibri" w:cs="Arial"/>
          <w:noProof w:val="0"/>
          <w:szCs w:val="22"/>
          <w:lang w:bidi="ar-SA"/>
        </w:rPr>
        <w:t xml:space="preserve"> a ceně P</w:t>
      </w:r>
      <w:r w:rsidR="007B24D3" w:rsidRPr="007D3FCB">
        <w:rPr>
          <w:rFonts w:eastAsia="Calibri" w:cs="Arial"/>
          <w:noProof w:val="0"/>
          <w:szCs w:val="22"/>
          <w:vertAlign w:val="subscript"/>
          <w:lang w:bidi="ar-SA"/>
        </w:rPr>
        <w:t>2</w:t>
      </w:r>
      <w:r w:rsidR="007B24D3" w:rsidRPr="007D3FCB">
        <w:rPr>
          <w:rFonts w:eastAsia="Calibri" w:cs="Arial"/>
          <w:noProof w:val="0"/>
          <w:szCs w:val="22"/>
          <w:lang w:bidi="ar-SA"/>
        </w:rPr>
        <w:t>. Původně monopolní společnost tak v důsledku monopolistické konkurence byla nucena snížit svůj abnormální zisk. V souladu s podmínkami dokonalé konkurence tak nová tržní cena (P</w:t>
      </w:r>
      <w:r w:rsidR="007B24D3" w:rsidRPr="007D3FCB">
        <w:rPr>
          <w:rFonts w:eastAsia="Calibri" w:cs="Arial"/>
          <w:noProof w:val="0"/>
          <w:szCs w:val="22"/>
          <w:vertAlign w:val="subscript"/>
          <w:lang w:bidi="ar-SA"/>
        </w:rPr>
        <w:t>2</w:t>
      </w:r>
      <w:r w:rsidR="007B24D3" w:rsidRPr="007D3FCB">
        <w:rPr>
          <w:rFonts w:eastAsia="Calibri" w:cs="Arial"/>
          <w:noProof w:val="0"/>
          <w:szCs w:val="22"/>
          <w:lang w:bidi="ar-SA"/>
        </w:rPr>
        <w:t>) odpovídá průměrným nákladům (AC</w:t>
      </w:r>
      <w:r w:rsidR="007B24D3" w:rsidRPr="007D3FCB">
        <w:rPr>
          <w:rFonts w:eastAsia="Calibri" w:cs="Arial"/>
          <w:noProof w:val="0"/>
          <w:szCs w:val="22"/>
          <w:vertAlign w:val="subscript"/>
          <w:lang w:bidi="ar-SA"/>
        </w:rPr>
        <w:t>2</w:t>
      </w:r>
      <w:r w:rsidR="007B24D3" w:rsidRPr="007D3FCB">
        <w:rPr>
          <w:rFonts w:eastAsia="Calibri" w:cs="Arial"/>
          <w:noProof w:val="0"/>
          <w:szCs w:val="22"/>
          <w:lang w:bidi="ar-SA"/>
        </w:rPr>
        <w:t>). Zároveň však tržní cena stále představuje situaci, kdy průměrné náklady jsou stále ještě vyšší než náklady mezní (AC&gt;MC). Dochází tak k situaci charakteristické pro nedokonalou konkurenci, že tržní cena je vyšší než mezní náklady (P&gt;MC) což umožnuje dosažení abnormálního zisku.</w:t>
      </w:r>
    </w:p>
    <w:p w:rsidR="007B24D3" w:rsidRPr="007D3FCB" w:rsidRDefault="007B24D3" w:rsidP="007B24D3">
      <w:pPr>
        <w:keepNext/>
        <w:spacing w:before="120" w:line="240" w:lineRule="auto"/>
        <w:rPr>
          <w:rFonts w:cs="Arial"/>
          <w:b/>
          <w:bCs/>
          <w:noProof w:val="0"/>
          <w:color w:val="000000"/>
          <w:sz w:val="20"/>
          <w:szCs w:val="20"/>
          <w:lang w:eastAsia="cs-CZ" w:bidi="ar-SA"/>
        </w:rPr>
      </w:pPr>
      <w:r w:rsidRPr="007D3FCB">
        <w:rPr>
          <w:rFonts w:cs="Arial"/>
          <w:b/>
          <w:bCs/>
          <w:noProof w:val="0"/>
          <w:color w:val="000000"/>
          <w:sz w:val="20"/>
          <w:szCs w:val="20"/>
          <w:lang w:eastAsia="cs-CZ" w:bidi="ar-SA"/>
        </w:rPr>
        <w:t xml:space="preserve">Obrázek </w:t>
      </w:r>
      <w:r w:rsidR="00381FB7" w:rsidRPr="007D3FCB">
        <w:rPr>
          <w:rFonts w:cs="Arial"/>
          <w:b/>
          <w:bCs/>
          <w:noProof w:val="0"/>
          <w:color w:val="000000"/>
          <w:sz w:val="20"/>
          <w:szCs w:val="20"/>
          <w:lang w:eastAsia="cs-CZ" w:bidi="ar-SA"/>
        </w:rPr>
        <w:fldChar w:fldCharType="begin"/>
      </w:r>
      <w:r w:rsidRPr="007D3FCB">
        <w:rPr>
          <w:rFonts w:cs="Arial"/>
          <w:b/>
          <w:bCs/>
          <w:noProof w:val="0"/>
          <w:color w:val="000000"/>
          <w:sz w:val="20"/>
          <w:szCs w:val="20"/>
          <w:lang w:eastAsia="cs-CZ" w:bidi="ar-SA"/>
        </w:rPr>
        <w:instrText xml:space="preserve"> SEQ Obrázek \* ARABIC </w:instrText>
      </w:r>
      <w:r w:rsidR="00381FB7" w:rsidRPr="007D3FCB">
        <w:rPr>
          <w:rFonts w:cs="Arial"/>
          <w:b/>
          <w:bCs/>
          <w:noProof w:val="0"/>
          <w:color w:val="000000"/>
          <w:sz w:val="20"/>
          <w:szCs w:val="20"/>
          <w:lang w:eastAsia="cs-CZ" w:bidi="ar-SA"/>
        </w:rPr>
        <w:fldChar w:fldCharType="separate"/>
      </w:r>
      <w:r w:rsidRPr="007D3FCB">
        <w:rPr>
          <w:rFonts w:cs="Arial"/>
          <w:b/>
          <w:bCs/>
          <w:color w:val="000000"/>
          <w:sz w:val="20"/>
          <w:szCs w:val="20"/>
          <w:lang w:eastAsia="cs-CZ" w:bidi="ar-SA"/>
        </w:rPr>
        <w:t>11</w:t>
      </w:r>
      <w:r w:rsidR="00381FB7" w:rsidRPr="007D3FCB">
        <w:rPr>
          <w:rFonts w:cs="Arial"/>
          <w:b/>
          <w:bCs/>
          <w:color w:val="000000"/>
          <w:sz w:val="20"/>
          <w:szCs w:val="20"/>
          <w:lang w:eastAsia="cs-CZ" w:bidi="ar-SA"/>
        </w:rPr>
        <w:fldChar w:fldCharType="end"/>
      </w:r>
      <w:r w:rsidRPr="007D3FCB">
        <w:rPr>
          <w:rFonts w:cs="Arial"/>
          <w:b/>
          <w:bCs/>
          <w:noProof w:val="0"/>
          <w:color w:val="000000"/>
          <w:sz w:val="20"/>
          <w:szCs w:val="20"/>
          <w:lang w:eastAsia="cs-CZ" w:bidi="ar-SA"/>
        </w:rPr>
        <w:t>: Rovnováha firmy v podmínkách monopolistické konkurence</w:t>
      </w:r>
    </w:p>
    <w:p w:rsidR="007B24D3" w:rsidRPr="007D3FCB" w:rsidRDefault="007B24D3" w:rsidP="007B24D3">
      <w:pPr>
        <w:spacing w:before="120" w:after="120"/>
        <w:rPr>
          <w:rFonts w:eastAsia="Calibri" w:cs="Arial"/>
          <w:noProof w:val="0"/>
          <w:szCs w:val="22"/>
          <w:lang w:bidi="ar-SA"/>
        </w:rPr>
      </w:pPr>
      <w:r w:rsidRPr="007D3FCB">
        <w:rPr>
          <w:rFonts w:eastAsia="Calibri" w:cs="Arial"/>
          <w:szCs w:val="22"/>
          <w:lang w:eastAsia="cs-CZ" w:bidi="ar-SA"/>
        </w:rPr>
        <w:drawing>
          <wp:inline distT="0" distB="0" distL="0" distR="0" wp14:anchorId="5209E839" wp14:editId="611EB8E8">
            <wp:extent cx="4290060" cy="2887980"/>
            <wp:effectExtent l="19050" t="19050" r="15240" b="2667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90060" cy="2887980"/>
                    </a:xfrm>
                    <a:prstGeom prst="rect">
                      <a:avLst/>
                    </a:prstGeom>
                    <a:noFill/>
                    <a:ln>
                      <a:solidFill>
                        <a:sysClr val="windowText" lastClr="000000"/>
                      </a:solidFill>
                    </a:ln>
                  </pic:spPr>
                </pic:pic>
              </a:graphicData>
            </a:graphic>
          </wp:inline>
        </w:drawing>
      </w:r>
    </w:p>
    <w:p w:rsidR="007B24D3" w:rsidRPr="007D3FCB" w:rsidRDefault="007B24D3" w:rsidP="007B24D3">
      <w:pPr>
        <w:widowControl w:val="0"/>
        <w:spacing w:before="120" w:after="240" w:line="240" w:lineRule="auto"/>
        <w:rPr>
          <w:rFonts w:cs="Arial"/>
          <w:i/>
          <w:iCs/>
          <w:noProof w:val="0"/>
          <w:color w:val="000000"/>
          <w:sz w:val="20"/>
          <w:szCs w:val="20"/>
          <w:lang w:eastAsia="cs-CZ" w:bidi="ar-SA"/>
        </w:rPr>
      </w:pPr>
      <w:r w:rsidRPr="007D3FCB">
        <w:rPr>
          <w:rFonts w:cs="Arial"/>
          <w:i/>
          <w:iCs/>
          <w:noProof w:val="0"/>
          <w:color w:val="000000"/>
          <w:sz w:val="20"/>
          <w:szCs w:val="20"/>
          <w:lang w:eastAsia="cs-CZ" w:bidi="ar-SA"/>
        </w:rPr>
        <w:t>Zdroj: Mikroekonomie, Fuchs, Masarykova univerzita v Brně, Ekonomicko-správní fakulta</w:t>
      </w:r>
    </w:p>
    <w:p w:rsidR="007B24D3" w:rsidRPr="007D3FCB" w:rsidRDefault="007B24D3" w:rsidP="007B24D3">
      <w:pPr>
        <w:spacing w:before="120" w:after="120"/>
        <w:rPr>
          <w:rFonts w:eastAsia="Calibri" w:cs="Arial"/>
          <w:noProof w:val="0"/>
          <w:szCs w:val="22"/>
          <w:lang w:bidi="ar-SA"/>
        </w:rPr>
      </w:pPr>
      <w:r w:rsidRPr="007D3FCB">
        <w:rPr>
          <w:rFonts w:eastAsia="Calibri" w:cs="Arial"/>
          <w:noProof w:val="0"/>
          <w:szCs w:val="22"/>
          <w:lang w:bidi="ar-SA"/>
        </w:rPr>
        <w:lastRenderedPageBreak/>
        <w:t>Dosahovaný abnormální zisk v případě monopolistické konkurence je však menší (tím menší, čím větší je počet producentů na daném trhu) než v případě monopolního zisku. Obdobně dochází ke snižování neefektivity plynoucí z nedokonalé konkurence a redukci ztráty z mrtvé váhy.</w:t>
      </w:r>
    </w:p>
    <w:p w:rsidR="00953B2F" w:rsidRDefault="007B24D3" w:rsidP="00953B2F">
      <w:pPr>
        <w:spacing w:line="240" w:lineRule="auto"/>
        <w:jc w:val="left"/>
        <w:rPr>
          <w:rFonts w:eastAsia="Calibri" w:cs="Arial"/>
          <w:noProof w:val="0"/>
          <w:szCs w:val="22"/>
          <w:lang w:bidi="ar-SA"/>
        </w:rPr>
      </w:pPr>
      <w:r w:rsidRPr="007D3FCB">
        <w:rPr>
          <w:rFonts w:eastAsia="Calibri" w:cs="Arial"/>
          <w:noProof w:val="0"/>
          <w:szCs w:val="22"/>
          <w:lang w:bidi="ar-SA"/>
        </w:rPr>
        <w:br w:type="page"/>
      </w:r>
    </w:p>
    <w:p w:rsidR="007B71CF" w:rsidRPr="007B71CF" w:rsidRDefault="007B71CF">
      <w:pPr>
        <w:pStyle w:val="Obsah1"/>
        <w:tabs>
          <w:tab w:val="right" w:leader="dot" w:pos="9062"/>
        </w:tabs>
        <w:rPr>
          <w:rFonts w:ascii="Times New Roman" w:hAnsi="Times New Roman"/>
          <w:lang w:eastAsia="cs-CZ"/>
        </w:rPr>
      </w:pPr>
      <w:r w:rsidRPr="007B71CF">
        <w:rPr>
          <w:rFonts w:ascii="Times New Roman" w:hAnsi="Times New Roman"/>
          <w:lang w:eastAsia="cs-CZ"/>
        </w:rPr>
        <w:lastRenderedPageBreak/>
        <w:t>Obsah</w:t>
      </w:r>
    </w:p>
    <w:p w:rsidR="007B71CF" w:rsidRPr="00962E44" w:rsidRDefault="00866938">
      <w:pPr>
        <w:pStyle w:val="Obsah1"/>
        <w:tabs>
          <w:tab w:val="right" w:leader="dot" w:pos="9062"/>
        </w:tabs>
        <w:rPr>
          <w:rFonts w:ascii="Times New Roman" w:eastAsiaTheme="minorEastAsia" w:hAnsi="Times New Roman"/>
          <w:b w:val="0"/>
          <w:bCs w:val="0"/>
          <w:caps w:val="0"/>
          <w:sz w:val="22"/>
          <w:szCs w:val="22"/>
          <w:lang w:eastAsia="cs-CZ" w:bidi="ar-SA"/>
        </w:rPr>
      </w:pPr>
      <w:r w:rsidRPr="00962E44">
        <w:rPr>
          <w:rFonts w:ascii="Times New Roman" w:hAnsi="Times New Roman"/>
          <w:b w:val="0"/>
          <w:lang w:eastAsia="cs-CZ"/>
        </w:rPr>
        <w:fldChar w:fldCharType="begin"/>
      </w:r>
      <w:r w:rsidRPr="00962E44">
        <w:rPr>
          <w:rFonts w:ascii="Times New Roman" w:hAnsi="Times New Roman"/>
          <w:b w:val="0"/>
          <w:lang w:eastAsia="cs-CZ"/>
        </w:rPr>
        <w:instrText xml:space="preserve"> TOC \o "1-1" \h \z \u </w:instrText>
      </w:r>
      <w:r w:rsidRPr="00962E44">
        <w:rPr>
          <w:rFonts w:ascii="Times New Roman" w:hAnsi="Times New Roman"/>
          <w:b w:val="0"/>
          <w:lang w:eastAsia="cs-CZ"/>
        </w:rPr>
        <w:fldChar w:fldCharType="separate"/>
      </w:r>
      <w:hyperlink w:anchor="_Toc441760176" w:history="1">
        <w:r w:rsidR="007B71CF" w:rsidRPr="00962E44">
          <w:rPr>
            <w:rStyle w:val="Hypertextovodkaz"/>
            <w:rFonts w:ascii="Times New Roman" w:hAnsi="Times New Roman"/>
            <w:b w:val="0"/>
          </w:rPr>
          <w:t>SHRNUTÍ ZÁVĚREČNÉ ZPRÁVY RIA</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_Toc441760176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77" w:history="1">
        <w:r w:rsidR="007B71CF" w:rsidRPr="00962E44">
          <w:rPr>
            <w:rStyle w:val="Hypertextovodkaz"/>
            <w:rFonts w:ascii="Times New Roman" w:hAnsi="Times New Roman"/>
            <w:b w:val="0"/>
          </w:rPr>
          <w:t>1</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Zjednodušený odpadový režim</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_Toc441760177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- 5 -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78" w:history="1">
        <w:r w:rsidR="007B71CF" w:rsidRPr="00962E44">
          <w:rPr>
            <w:rStyle w:val="Hypertextovodkaz"/>
            <w:rFonts w:ascii="Times New Roman" w:hAnsi="Times New Roman"/>
            <w:b w:val="0"/>
          </w:rPr>
          <w:t>2</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Registr míst zpětného odběru</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_Toc441760178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- 11 -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79" w:history="1">
        <w:r w:rsidR="007B71CF" w:rsidRPr="00962E44">
          <w:rPr>
            <w:rStyle w:val="Hypertextovodkaz"/>
            <w:rFonts w:ascii="Times New Roman" w:hAnsi="Times New Roman"/>
            <w:b w:val="0"/>
          </w:rPr>
          <w:t>3</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Oprávnění k provozování kolektivního systému</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_Toc441760179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- 15 -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80" w:history="1">
        <w:r w:rsidR="007B71CF" w:rsidRPr="00962E44">
          <w:rPr>
            <w:rStyle w:val="Hypertextovodkaz"/>
            <w:rFonts w:ascii="Times New Roman" w:hAnsi="Times New Roman"/>
            <w:b w:val="0"/>
          </w:rPr>
          <w:t>4</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Nastavení cílů sběru pro specifické skupiny EEZ</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_Toc441760180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- 25 -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81" w:history="1">
        <w:r w:rsidR="007B71CF" w:rsidRPr="00962E44">
          <w:rPr>
            <w:rStyle w:val="Hypertextovodkaz"/>
            <w:rFonts w:ascii="Times New Roman" w:hAnsi="Times New Roman"/>
            <w:b w:val="0"/>
          </w:rPr>
          <w:t>5</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Koordinační centrum</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_Toc441760181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- 39 -</w:t>
        </w:r>
        <w:r w:rsidR="007B71CF" w:rsidRPr="00962E44">
          <w:rPr>
            <w:rFonts w:ascii="Times New Roman" w:hAnsi="Times New Roman"/>
            <w:b w:val="0"/>
            <w:webHidden/>
          </w:rPr>
          <w:fldChar w:fldCharType="end"/>
        </w:r>
      </w:hyperlink>
    </w:p>
    <w:p w:rsidR="007B71CF" w:rsidRPr="00962E44" w:rsidRDefault="00FA5A62" w:rsidP="007B71CF">
      <w:pPr>
        <w:pStyle w:val="Obsah1"/>
        <w:tabs>
          <w:tab w:val="left" w:pos="480"/>
          <w:tab w:val="right" w:leader="dot" w:pos="9062"/>
        </w:tabs>
        <w:ind w:left="480" w:hanging="480"/>
        <w:rPr>
          <w:rFonts w:ascii="Times New Roman" w:eastAsiaTheme="minorEastAsia" w:hAnsi="Times New Roman"/>
          <w:b w:val="0"/>
          <w:bCs w:val="0"/>
          <w:caps w:val="0"/>
          <w:sz w:val="22"/>
          <w:szCs w:val="22"/>
          <w:lang w:eastAsia="cs-CZ" w:bidi="ar-SA"/>
        </w:rPr>
      </w:pPr>
      <w:hyperlink w:anchor="_Toc441760182" w:history="1">
        <w:r w:rsidR="007B71CF" w:rsidRPr="00962E44">
          <w:rPr>
            <w:rStyle w:val="Hypertextovodkaz"/>
            <w:rFonts w:ascii="Times New Roman" w:hAnsi="Times New Roman"/>
            <w:b w:val="0"/>
          </w:rPr>
          <w:t>6</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Kolektivní systémy -  způsob výběru zpracovatele výrobků s ukončenou životností</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_Toc441760182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- 48 -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83" w:history="1">
        <w:r w:rsidR="007B71CF" w:rsidRPr="00962E44">
          <w:rPr>
            <w:rStyle w:val="Hypertextovodkaz"/>
            <w:rFonts w:ascii="Times New Roman" w:eastAsia="Calibri" w:hAnsi="Times New Roman"/>
            <w:b w:val="0"/>
          </w:rPr>
          <w:t>7</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Zpětný odběr –odpadních elektrozařízení</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_Toc441760183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- 54 -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84" w:history="1">
        <w:r w:rsidR="007B71CF" w:rsidRPr="00962E44">
          <w:rPr>
            <w:rStyle w:val="Hypertextovodkaz"/>
            <w:rFonts w:ascii="Times New Roman" w:hAnsi="Times New Roman"/>
            <w:b w:val="0"/>
          </w:rPr>
          <w:t>8</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Oprávnění k provozování kolektivního systému v případě stávajících KS</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_Toc441760184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- 82 -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85" w:history="1">
        <w:r w:rsidR="007B71CF" w:rsidRPr="00962E44">
          <w:rPr>
            <w:rStyle w:val="Hypertextovodkaz"/>
            <w:rFonts w:ascii="Times New Roman" w:hAnsi="Times New Roman"/>
            <w:b w:val="0"/>
          </w:rPr>
          <w:t>9</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Odebrání oprávnění k provozování KS</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_Toc441760185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- 85 -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86" w:history="1">
        <w:r w:rsidR="007B71CF" w:rsidRPr="00962E44">
          <w:rPr>
            <w:rStyle w:val="Hypertextovodkaz"/>
            <w:rFonts w:ascii="Times New Roman" w:hAnsi="Times New Roman"/>
            <w:b w:val="0"/>
          </w:rPr>
          <w:t>10</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Právní forma kolektivního systému</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_Toc441760186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- 90 -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87" w:history="1">
        <w:r w:rsidR="007B71CF" w:rsidRPr="00962E44">
          <w:rPr>
            <w:rStyle w:val="Hypertextovodkaz"/>
            <w:rFonts w:ascii="Times New Roman" w:hAnsi="Times New Roman"/>
            <w:b w:val="0"/>
          </w:rPr>
          <w:t>11</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Způsob financování činností KS</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_Toc441760187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- 93 -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88" w:history="1">
        <w:r w:rsidR="007B71CF" w:rsidRPr="00962E44">
          <w:rPr>
            <w:rStyle w:val="Hypertextovodkaz"/>
            <w:rFonts w:ascii="Times New Roman" w:hAnsi="Times New Roman"/>
            <w:b w:val="0"/>
          </w:rPr>
          <w:t>12</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Předmět činnosti KS</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_Toc441760188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- 95 -</w:t>
        </w:r>
        <w:r w:rsidR="007B71CF" w:rsidRPr="00962E44">
          <w:rPr>
            <w:rFonts w:ascii="Times New Roman" w:hAnsi="Times New Roman"/>
            <w:b w:val="0"/>
            <w:webHidden/>
          </w:rPr>
          <w:fldChar w:fldCharType="end"/>
        </w:r>
      </w:hyperlink>
    </w:p>
    <w:p w:rsidR="007B71CF" w:rsidRPr="00962E44" w:rsidRDefault="00FA5A62" w:rsidP="00962E44">
      <w:pPr>
        <w:pStyle w:val="Obsah1"/>
        <w:tabs>
          <w:tab w:val="left" w:pos="480"/>
          <w:tab w:val="right" w:leader="dot" w:pos="9062"/>
        </w:tabs>
        <w:ind w:left="480" w:hanging="480"/>
        <w:rPr>
          <w:rFonts w:ascii="Times New Roman" w:eastAsiaTheme="minorEastAsia" w:hAnsi="Times New Roman"/>
          <w:b w:val="0"/>
          <w:bCs w:val="0"/>
          <w:caps w:val="0"/>
          <w:sz w:val="22"/>
          <w:szCs w:val="22"/>
          <w:lang w:eastAsia="cs-CZ" w:bidi="ar-SA"/>
        </w:rPr>
      </w:pPr>
      <w:hyperlink w:anchor="_Toc441760189" w:history="1">
        <w:r w:rsidR="007B71CF" w:rsidRPr="00962E44">
          <w:rPr>
            <w:rStyle w:val="Hypertextovodkaz"/>
            <w:rFonts w:ascii="Times New Roman" w:hAnsi="Times New Roman"/>
            <w:b w:val="0"/>
          </w:rPr>
          <w:t>13</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Prokázání dostatečných záruk o schopnosti dlouhodobého financování projektu při žádosti o udělení oprávnění k provozování KS</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_Toc441760189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- 98 -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90" w:history="1">
        <w:r w:rsidR="007B71CF" w:rsidRPr="00962E44">
          <w:rPr>
            <w:rStyle w:val="Hypertextovodkaz"/>
            <w:rFonts w:ascii="Times New Roman" w:hAnsi="Times New Roman"/>
            <w:b w:val="0"/>
          </w:rPr>
          <w:t>14</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Spolupráce mezi KS</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_Toc441760190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- 100 -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91" w:history="1">
        <w:r w:rsidR="007B71CF" w:rsidRPr="00962E44">
          <w:rPr>
            <w:rStyle w:val="Hypertextovodkaz"/>
            <w:rFonts w:ascii="Times New Roman" w:hAnsi="Times New Roman"/>
            <w:b w:val="0"/>
          </w:rPr>
          <w:t>15</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Propagační a osvětová činnost</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_Toc441760191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- 102 -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92" w:history="1">
        <w:r w:rsidR="007B71CF" w:rsidRPr="00962E44">
          <w:rPr>
            <w:rStyle w:val="Hypertextovodkaz"/>
            <w:rFonts w:ascii="Times New Roman" w:hAnsi="Times New Roman"/>
            <w:b w:val="0"/>
          </w:rPr>
          <w:t>16</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Oprávnění sbírat OEEZ</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_Toc441760192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- 107 -</w:t>
        </w:r>
        <w:r w:rsidR="007B71CF" w:rsidRPr="00962E44">
          <w:rPr>
            <w:rFonts w:ascii="Times New Roman" w:hAnsi="Times New Roman"/>
            <w:b w:val="0"/>
            <w:webHidden/>
          </w:rPr>
          <w:fldChar w:fldCharType="end"/>
        </w:r>
      </w:hyperlink>
    </w:p>
    <w:p w:rsidR="007B71CF" w:rsidRPr="00962E44" w:rsidRDefault="00FA5A62" w:rsidP="00962E44">
      <w:pPr>
        <w:pStyle w:val="Obsah1"/>
        <w:tabs>
          <w:tab w:val="left" w:pos="480"/>
          <w:tab w:val="right" w:leader="dot" w:pos="9062"/>
        </w:tabs>
        <w:ind w:left="480" w:hanging="480"/>
        <w:rPr>
          <w:rFonts w:ascii="Times New Roman" w:eastAsiaTheme="minorEastAsia" w:hAnsi="Times New Roman"/>
          <w:b w:val="0"/>
          <w:bCs w:val="0"/>
          <w:caps w:val="0"/>
          <w:sz w:val="22"/>
          <w:szCs w:val="22"/>
          <w:lang w:eastAsia="cs-CZ" w:bidi="ar-SA"/>
        </w:rPr>
      </w:pPr>
      <w:hyperlink w:anchor="_Toc441760193" w:history="1">
        <w:r w:rsidR="007B71CF" w:rsidRPr="00962E44">
          <w:rPr>
            <w:rStyle w:val="Hypertextovodkaz"/>
            <w:rFonts w:ascii="Times New Roman" w:hAnsi="Times New Roman"/>
            <w:b w:val="0"/>
          </w:rPr>
          <w:t>17</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Omezení plnění povinností výrobců v rámci více kolektivních systémů pro stejnou skupinu elektrozařízení</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_Toc441760193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- 116 -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94" w:history="1">
        <w:r w:rsidR="007B71CF" w:rsidRPr="00962E44">
          <w:rPr>
            <w:rStyle w:val="Hypertextovodkaz"/>
            <w:rFonts w:ascii="Times New Roman" w:hAnsi="Times New Roman"/>
            <w:b w:val="0"/>
          </w:rPr>
          <w:t>18</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Hustota sběrné sítě pro OEEZ pocházející z domácností</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_Toc441760194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- 119 -</w:t>
        </w:r>
        <w:r w:rsidR="007B71CF" w:rsidRPr="00962E44">
          <w:rPr>
            <w:rFonts w:ascii="Times New Roman" w:hAnsi="Times New Roman"/>
            <w:b w:val="0"/>
            <w:webHidden/>
          </w:rPr>
          <w:fldChar w:fldCharType="end"/>
        </w:r>
      </w:hyperlink>
    </w:p>
    <w:p w:rsidR="007B71CF" w:rsidRPr="00962E44" w:rsidRDefault="00FA5A62" w:rsidP="00962E44">
      <w:pPr>
        <w:pStyle w:val="Obsah1"/>
        <w:tabs>
          <w:tab w:val="left" w:pos="480"/>
          <w:tab w:val="right" w:leader="dot" w:pos="9062"/>
        </w:tabs>
        <w:ind w:left="480" w:hanging="480"/>
        <w:rPr>
          <w:rFonts w:ascii="Times New Roman" w:eastAsiaTheme="minorEastAsia" w:hAnsi="Times New Roman"/>
          <w:b w:val="0"/>
          <w:bCs w:val="0"/>
          <w:caps w:val="0"/>
          <w:sz w:val="22"/>
          <w:szCs w:val="22"/>
          <w:lang w:eastAsia="cs-CZ" w:bidi="ar-SA"/>
        </w:rPr>
      </w:pPr>
      <w:hyperlink w:anchor="_Toc441760195" w:history="1">
        <w:r w:rsidR="007B71CF" w:rsidRPr="00962E44">
          <w:rPr>
            <w:rStyle w:val="Hypertextovodkaz"/>
            <w:rFonts w:ascii="Times New Roman" w:hAnsi="Times New Roman"/>
            <w:b w:val="0"/>
          </w:rPr>
          <w:t>19</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Zapojení Ministerstva průmyslu a obchodu do řízení ve věcech oprávnění k provozování KS</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_Toc441760195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- 124 -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96" w:history="1">
        <w:r w:rsidR="007B71CF" w:rsidRPr="00962E44">
          <w:rPr>
            <w:rStyle w:val="Hypertextovodkaz"/>
            <w:rFonts w:ascii="Times New Roman" w:hAnsi="Times New Roman"/>
            <w:b w:val="0"/>
          </w:rPr>
          <w:t>20</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Evidence a roční zprávy</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_Toc441760196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- 126 -</w:t>
        </w:r>
        <w:r w:rsidR="007B71CF" w:rsidRPr="00962E44">
          <w:rPr>
            <w:rFonts w:ascii="Times New Roman" w:hAnsi="Times New Roman"/>
            <w:b w:val="0"/>
            <w:webHidden/>
          </w:rPr>
          <w:fldChar w:fldCharType="end"/>
        </w:r>
      </w:hyperlink>
    </w:p>
    <w:p w:rsidR="007B71CF" w:rsidRPr="00962E44" w:rsidRDefault="00FA5A62" w:rsidP="00962E44">
      <w:pPr>
        <w:pStyle w:val="Obsah1"/>
        <w:tabs>
          <w:tab w:val="left" w:pos="480"/>
          <w:tab w:val="right" w:leader="dot" w:pos="9062"/>
        </w:tabs>
        <w:ind w:left="480" w:hanging="480"/>
        <w:rPr>
          <w:rFonts w:ascii="Times New Roman" w:eastAsiaTheme="minorEastAsia" w:hAnsi="Times New Roman"/>
          <w:b w:val="0"/>
          <w:bCs w:val="0"/>
          <w:caps w:val="0"/>
          <w:sz w:val="22"/>
          <w:szCs w:val="22"/>
          <w:lang w:eastAsia="cs-CZ" w:bidi="ar-SA"/>
        </w:rPr>
      </w:pPr>
      <w:hyperlink w:anchor="_Toc441760197" w:history="1">
        <w:r w:rsidR="007B71CF" w:rsidRPr="00962E44">
          <w:rPr>
            <w:rStyle w:val="Hypertextovodkaz"/>
            <w:rFonts w:ascii="Times New Roman" w:hAnsi="Times New Roman"/>
            <w:b w:val="0"/>
          </w:rPr>
          <w:t>21</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Výrobce a systém toku příspěvků na zpětný odběr a zpracování odpadních pneumatik</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_Toc441760197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- 130 -</w:t>
        </w:r>
        <w:r w:rsidR="007B71CF" w:rsidRPr="00962E44">
          <w:rPr>
            <w:rFonts w:ascii="Times New Roman" w:hAnsi="Times New Roman"/>
            <w:b w:val="0"/>
            <w:webHidden/>
          </w:rPr>
          <w:fldChar w:fldCharType="end"/>
        </w:r>
      </w:hyperlink>
    </w:p>
    <w:p w:rsidR="007B71CF" w:rsidRPr="00962E44" w:rsidRDefault="00FA5A62" w:rsidP="00962E44">
      <w:pPr>
        <w:pStyle w:val="Obsah1"/>
        <w:tabs>
          <w:tab w:val="left" w:pos="480"/>
          <w:tab w:val="right" w:leader="dot" w:pos="9062"/>
        </w:tabs>
        <w:ind w:left="480" w:hanging="480"/>
        <w:rPr>
          <w:rFonts w:ascii="Times New Roman" w:eastAsiaTheme="minorEastAsia" w:hAnsi="Times New Roman"/>
          <w:b w:val="0"/>
          <w:bCs w:val="0"/>
          <w:caps w:val="0"/>
          <w:sz w:val="22"/>
          <w:szCs w:val="22"/>
          <w:lang w:eastAsia="cs-CZ" w:bidi="ar-SA"/>
        </w:rPr>
      </w:pPr>
      <w:hyperlink w:anchor="_Toc441760198" w:history="1">
        <w:r w:rsidR="007B71CF" w:rsidRPr="00962E44">
          <w:rPr>
            <w:rStyle w:val="Hypertextovodkaz"/>
            <w:rFonts w:ascii="Times New Roman" w:hAnsi="Times New Roman"/>
            <w:b w:val="0"/>
          </w:rPr>
          <w:t>22</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Povinnost kolektivních systémů provádět audit prostřednictvím nezávislého auditora s příslušnou odbornou způsobilostí</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_Toc441760198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- 137 -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199" w:history="1">
        <w:r w:rsidR="007B71CF" w:rsidRPr="00962E44">
          <w:rPr>
            <w:rStyle w:val="Hypertextovodkaz"/>
            <w:rFonts w:ascii="Times New Roman" w:hAnsi="Times New Roman"/>
            <w:b w:val="0"/>
          </w:rPr>
          <w:t>23</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Povinná úroveň zpětného odběru odpadních pneumatik</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_Toc441760199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- 138 -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0" w:history="1">
        <w:r w:rsidR="007B71CF" w:rsidRPr="00962E44">
          <w:rPr>
            <w:rStyle w:val="Hypertextovodkaz"/>
            <w:rFonts w:ascii="Times New Roman" w:hAnsi="Times New Roman"/>
            <w:b w:val="0"/>
          </w:rPr>
          <w:t>24</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Povolení pro zařízení ke sběru a zpracování vozidel s ukončenou životností</w:t>
        </w:r>
        <w:r w:rsidR="00962E44">
          <w:rPr>
            <w:rStyle w:val="Hypertextovodkaz"/>
            <w:rFonts w:ascii="Times New Roman" w:hAnsi="Times New Roman"/>
            <w:b w:val="0"/>
          </w:rPr>
          <w:tab/>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_Toc441760200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- 142 -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1" w:history="1">
        <w:r w:rsidR="007B71CF" w:rsidRPr="00962E44">
          <w:rPr>
            <w:rStyle w:val="Hypertextovodkaz"/>
            <w:rFonts w:ascii="Times New Roman" w:hAnsi="Times New Roman"/>
            <w:b w:val="0"/>
          </w:rPr>
          <w:t>25</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Poplatek za registraci vozidla dle plnění emisních norem</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_Toc441760201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- 147 -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2" w:history="1">
        <w:r w:rsidR="007B71CF" w:rsidRPr="00962E44">
          <w:rPr>
            <w:rStyle w:val="Hypertextovodkaz"/>
            <w:rFonts w:ascii="Times New Roman" w:hAnsi="Times New Roman"/>
            <w:b w:val="0"/>
          </w:rPr>
          <w:t>26</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Povinnosti výrobců a akreditovaných zástupců – roční zprávy</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_Toc441760202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- 152 -</w:t>
        </w:r>
        <w:r w:rsidR="007B71CF" w:rsidRPr="00962E44">
          <w:rPr>
            <w:rFonts w:ascii="Times New Roman" w:hAnsi="Times New Roman"/>
            <w:b w:val="0"/>
            <w:webHidden/>
          </w:rPr>
          <w:fldChar w:fldCharType="end"/>
        </w:r>
      </w:hyperlink>
    </w:p>
    <w:p w:rsidR="007B71CF" w:rsidRPr="00962E44" w:rsidRDefault="00FA5A62" w:rsidP="00962E44">
      <w:pPr>
        <w:pStyle w:val="Obsah1"/>
        <w:tabs>
          <w:tab w:val="left" w:pos="480"/>
          <w:tab w:val="right" w:leader="dot" w:pos="9062"/>
        </w:tabs>
        <w:ind w:left="480" w:hanging="480"/>
        <w:rPr>
          <w:rFonts w:ascii="Times New Roman" w:eastAsiaTheme="minorEastAsia" w:hAnsi="Times New Roman"/>
          <w:b w:val="0"/>
          <w:bCs w:val="0"/>
          <w:caps w:val="0"/>
          <w:sz w:val="22"/>
          <w:szCs w:val="22"/>
          <w:lang w:eastAsia="cs-CZ" w:bidi="ar-SA"/>
        </w:rPr>
      </w:pPr>
      <w:hyperlink w:anchor="_Toc441760203" w:history="1">
        <w:r w:rsidR="007B71CF" w:rsidRPr="00962E44">
          <w:rPr>
            <w:rStyle w:val="Hypertextovodkaz"/>
            <w:rFonts w:ascii="Times New Roman" w:hAnsi="Times New Roman"/>
            <w:b w:val="0"/>
          </w:rPr>
          <w:t>27</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Informační systém pro vedení informací o vozidlech s ukončenou životností</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_Toc441760203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- 155 -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4" w:history="1">
        <w:r w:rsidR="007B71CF" w:rsidRPr="00962E44">
          <w:rPr>
            <w:rStyle w:val="Hypertextovodkaz"/>
            <w:rFonts w:ascii="Times New Roman" w:hAnsi="Times New Roman"/>
            <w:b w:val="0"/>
          </w:rPr>
          <w:t>28</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Rozšíření působnosti ČOI</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_Toc441760204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- 160 -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5" w:history="1">
        <w:r w:rsidR="007B71CF" w:rsidRPr="00962E44">
          <w:rPr>
            <w:rStyle w:val="Hypertextovodkaz"/>
            <w:rFonts w:ascii="Times New Roman" w:hAnsi="Times New Roman"/>
            <w:b w:val="0"/>
          </w:rPr>
          <w:t>29</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Souhrn navrhovaných variant</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_Toc441760205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- 163 -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6" w:history="1">
        <w:r w:rsidR="007B71CF" w:rsidRPr="00962E44">
          <w:rPr>
            <w:rStyle w:val="Hypertextovodkaz"/>
            <w:rFonts w:ascii="Times New Roman" w:hAnsi="Times New Roman"/>
            <w:b w:val="0"/>
          </w:rPr>
          <w:t>30</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Implementace doporučené varianty a vynucování</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_Toc441760206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- 164 -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7" w:history="1">
        <w:r w:rsidR="007B71CF" w:rsidRPr="00962E44">
          <w:rPr>
            <w:rStyle w:val="Hypertextovodkaz"/>
            <w:rFonts w:ascii="Times New Roman" w:hAnsi="Times New Roman"/>
            <w:b w:val="0"/>
          </w:rPr>
          <w:t>31</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Přezkum účinnosti regulace</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_Toc441760207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- 167 -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8" w:history="1">
        <w:r w:rsidR="007B71CF" w:rsidRPr="00962E44">
          <w:rPr>
            <w:rStyle w:val="Hypertextovodkaz"/>
            <w:rFonts w:ascii="Times New Roman" w:hAnsi="Times New Roman"/>
            <w:b w:val="0"/>
          </w:rPr>
          <w:t>32</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Konzultace a zdroje dat</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_Toc441760208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- 167 -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09" w:history="1">
        <w:r w:rsidR="007B71CF" w:rsidRPr="00962E44">
          <w:rPr>
            <w:rStyle w:val="Hypertextovodkaz"/>
            <w:rFonts w:ascii="Times New Roman" w:hAnsi="Times New Roman"/>
            <w:b w:val="0"/>
          </w:rPr>
          <w:t>33</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Seznam použitých zkratek</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_Toc441760209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- 168 -</w:t>
        </w:r>
        <w:r w:rsidR="007B71CF" w:rsidRPr="00962E44">
          <w:rPr>
            <w:rFonts w:ascii="Times New Roman" w:hAnsi="Times New Roman"/>
            <w:b w:val="0"/>
            <w:webHidden/>
          </w:rPr>
          <w:fldChar w:fldCharType="end"/>
        </w:r>
      </w:hyperlink>
    </w:p>
    <w:p w:rsidR="007B71CF" w:rsidRPr="00962E44" w:rsidRDefault="00FA5A62" w:rsidP="00962E44">
      <w:pPr>
        <w:pStyle w:val="Obsah1"/>
        <w:tabs>
          <w:tab w:val="left" w:pos="480"/>
          <w:tab w:val="right" w:leader="dot" w:pos="9062"/>
        </w:tabs>
        <w:ind w:left="480" w:hanging="480"/>
        <w:rPr>
          <w:rFonts w:ascii="Times New Roman" w:eastAsiaTheme="minorEastAsia" w:hAnsi="Times New Roman"/>
          <w:b w:val="0"/>
          <w:bCs w:val="0"/>
          <w:caps w:val="0"/>
          <w:sz w:val="22"/>
          <w:szCs w:val="22"/>
          <w:lang w:eastAsia="cs-CZ" w:bidi="ar-SA"/>
        </w:rPr>
      </w:pPr>
      <w:hyperlink w:anchor="_Toc441760210" w:history="1">
        <w:r w:rsidR="007B71CF" w:rsidRPr="00962E44">
          <w:rPr>
            <w:rStyle w:val="Hypertextovodkaz"/>
            <w:rFonts w:ascii="Times New Roman" w:hAnsi="Times New Roman"/>
            <w:b w:val="0"/>
          </w:rPr>
          <w:t>34</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Vysvětlení k závěrečné zprávě z hodnocení dopadů regulace a jeho kapitolám</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_Toc441760210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- 170 -</w:t>
        </w:r>
        <w:r w:rsidR="007B71CF" w:rsidRPr="00962E44">
          <w:rPr>
            <w:rFonts w:ascii="Times New Roman" w:hAnsi="Times New Roman"/>
            <w:b w:val="0"/>
            <w:webHidden/>
          </w:rPr>
          <w:fldChar w:fldCharType="end"/>
        </w:r>
      </w:hyperlink>
    </w:p>
    <w:p w:rsidR="007B71CF" w:rsidRPr="00962E44" w:rsidRDefault="00FA5A62">
      <w:pPr>
        <w:pStyle w:val="Obsah1"/>
        <w:tabs>
          <w:tab w:val="left" w:pos="480"/>
          <w:tab w:val="right" w:leader="dot" w:pos="9062"/>
        </w:tabs>
        <w:rPr>
          <w:rFonts w:ascii="Times New Roman" w:eastAsiaTheme="minorEastAsia" w:hAnsi="Times New Roman"/>
          <w:b w:val="0"/>
          <w:bCs w:val="0"/>
          <w:caps w:val="0"/>
          <w:sz w:val="22"/>
          <w:szCs w:val="22"/>
          <w:lang w:eastAsia="cs-CZ" w:bidi="ar-SA"/>
        </w:rPr>
      </w:pPr>
      <w:hyperlink w:anchor="_Toc441760211" w:history="1">
        <w:r w:rsidR="007B71CF" w:rsidRPr="00962E44">
          <w:rPr>
            <w:rStyle w:val="Hypertextovodkaz"/>
            <w:rFonts w:ascii="Times New Roman" w:hAnsi="Times New Roman"/>
            <w:b w:val="0"/>
          </w:rPr>
          <w:t>35</w:t>
        </w:r>
        <w:r w:rsidR="007B71CF" w:rsidRPr="00962E44">
          <w:rPr>
            <w:rFonts w:ascii="Times New Roman" w:eastAsiaTheme="minorEastAsia" w:hAnsi="Times New Roman"/>
            <w:b w:val="0"/>
            <w:bCs w:val="0"/>
            <w:caps w:val="0"/>
            <w:sz w:val="22"/>
            <w:szCs w:val="22"/>
            <w:lang w:eastAsia="cs-CZ" w:bidi="ar-SA"/>
          </w:rPr>
          <w:tab/>
        </w:r>
        <w:r w:rsidR="007B71CF" w:rsidRPr="00962E44">
          <w:rPr>
            <w:rStyle w:val="Hypertextovodkaz"/>
            <w:rFonts w:ascii="Times New Roman" w:hAnsi="Times New Roman"/>
            <w:b w:val="0"/>
          </w:rPr>
          <w:t>Kontakt na zpracovatele RIA</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_Toc441760211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- 170 -</w:t>
        </w:r>
        <w:r w:rsidR="007B71CF" w:rsidRPr="00962E44">
          <w:rPr>
            <w:rFonts w:ascii="Times New Roman" w:hAnsi="Times New Roman"/>
            <w:b w:val="0"/>
            <w:webHidden/>
          </w:rPr>
          <w:fldChar w:fldCharType="end"/>
        </w:r>
      </w:hyperlink>
    </w:p>
    <w:p w:rsidR="007B71CF" w:rsidRPr="00962E44" w:rsidRDefault="00FA5A62">
      <w:pPr>
        <w:pStyle w:val="Obsah1"/>
        <w:tabs>
          <w:tab w:val="right" w:leader="dot" w:pos="9062"/>
        </w:tabs>
        <w:rPr>
          <w:rFonts w:ascii="Times New Roman" w:eastAsiaTheme="minorEastAsia" w:hAnsi="Times New Roman"/>
          <w:b w:val="0"/>
          <w:bCs w:val="0"/>
          <w:caps w:val="0"/>
          <w:sz w:val="22"/>
          <w:szCs w:val="22"/>
          <w:lang w:eastAsia="cs-CZ" w:bidi="ar-SA"/>
        </w:rPr>
      </w:pPr>
      <w:hyperlink w:anchor="_Toc441760212" w:history="1">
        <w:r w:rsidR="007B71CF" w:rsidRPr="00962E44">
          <w:rPr>
            <w:rStyle w:val="Hypertextovodkaz"/>
            <w:rFonts w:ascii="Times New Roman" w:hAnsi="Times New Roman"/>
            <w:b w:val="0"/>
          </w:rPr>
          <w:t>Příloha: Úroveň soutěže mezi KS a její dopady na hospodářskou soutěž</w:t>
        </w:r>
        <w:r w:rsidR="007B71CF" w:rsidRPr="00962E44">
          <w:rPr>
            <w:rFonts w:ascii="Times New Roman" w:hAnsi="Times New Roman"/>
            <w:b w:val="0"/>
            <w:webHidden/>
          </w:rPr>
          <w:tab/>
        </w:r>
        <w:r w:rsidR="007B71CF" w:rsidRPr="00962E44">
          <w:rPr>
            <w:rFonts w:ascii="Times New Roman" w:hAnsi="Times New Roman"/>
            <w:b w:val="0"/>
            <w:webHidden/>
          </w:rPr>
          <w:fldChar w:fldCharType="begin"/>
        </w:r>
        <w:r w:rsidR="007B71CF" w:rsidRPr="00962E44">
          <w:rPr>
            <w:rFonts w:ascii="Times New Roman" w:hAnsi="Times New Roman"/>
            <w:b w:val="0"/>
            <w:webHidden/>
          </w:rPr>
          <w:instrText xml:space="preserve"> PAGEREF _Toc441760212 \h </w:instrText>
        </w:r>
        <w:r w:rsidR="007B71CF" w:rsidRPr="00962E44">
          <w:rPr>
            <w:rFonts w:ascii="Times New Roman" w:hAnsi="Times New Roman"/>
            <w:b w:val="0"/>
            <w:webHidden/>
          </w:rPr>
        </w:r>
        <w:r w:rsidR="007B71CF" w:rsidRPr="00962E44">
          <w:rPr>
            <w:rFonts w:ascii="Times New Roman" w:hAnsi="Times New Roman"/>
            <w:b w:val="0"/>
            <w:webHidden/>
          </w:rPr>
          <w:fldChar w:fldCharType="separate"/>
        </w:r>
        <w:r w:rsidR="00D62CB8">
          <w:rPr>
            <w:rFonts w:ascii="Times New Roman" w:hAnsi="Times New Roman"/>
            <w:b w:val="0"/>
            <w:webHidden/>
          </w:rPr>
          <w:t>- 172 -</w:t>
        </w:r>
        <w:r w:rsidR="007B71CF" w:rsidRPr="00962E44">
          <w:rPr>
            <w:rFonts w:ascii="Times New Roman" w:hAnsi="Times New Roman"/>
            <w:b w:val="0"/>
            <w:webHidden/>
          </w:rPr>
          <w:fldChar w:fldCharType="end"/>
        </w:r>
      </w:hyperlink>
    </w:p>
    <w:p w:rsidR="000074D9" w:rsidRDefault="00866938" w:rsidP="00783869">
      <w:pPr>
        <w:rPr>
          <w:lang w:eastAsia="cs-CZ"/>
        </w:rPr>
      </w:pPr>
      <w:r w:rsidRPr="00962E44">
        <w:rPr>
          <w:lang w:eastAsia="cs-CZ"/>
        </w:rPr>
        <w:fldChar w:fldCharType="end"/>
      </w:r>
    </w:p>
    <w:p w:rsidR="00D62CB8" w:rsidRDefault="00D62CB8">
      <w:pPr>
        <w:spacing w:line="240" w:lineRule="auto"/>
        <w:jc w:val="left"/>
        <w:rPr>
          <w:lang w:eastAsia="cs-CZ"/>
        </w:rPr>
      </w:pPr>
      <w:r>
        <w:rPr>
          <w:lang w:eastAsia="cs-CZ"/>
        </w:rPr>
        <w:br w:type="page"/>
      </w:r>
    </w:p>
    <w:p w:rsidR="00CC0F90" w:rsidRPr="003D4FF4" w:rsidRDefault="00CC0F90" w:rsidP="002D66F0">
      <w:pPr>
        <w:keepNext/>
        <w:numPr>
          <w:ilvl w:val="0"/>
          <w:numId w:val="125"/>
        </w:numPr>
        <w:spacing w:line="240" w:lineRule="auto"/>
        <w:ind w:left="425" w:hanging="425"/>
        <w:rPr>
          <w:b/>
        </w:rPr>
      </w:pPr>
      <w:r w:rsidRPr="003D4FF4">
        <w:rPr>
          <w:b/>
        </w:rPr>
        <w:lastRenderedPageBreak/>
        <w:t>Zhodnocení souladu navrhované právní úpravy s ústavním pořádkem České republiky</w:t>
      </w:r>
    </w:p>
    <w:p w:rsidR="00CC0F90" w:rsidRPr="003D4FF4" w:rsidRDefault="00CC0F90" w:rsidP="00CC0F90">
      <w:pPr>
        <w:spacing w:before="240"/>
      </w:pPr>
      <w:r w:rsidRPr="003D4FF4">
        <w:t>Navrhovaná právní úprava je v souladu s ústavním pořádkem České republiky a vychází ze zásad uvedených v Ústavě České republiky a v Listině základních práv a svobod. Jedná se zejména o zásady uplatňování státní moci pouze v případech, v mezích a způsoby, které stanoví zákon (čl. 2 odst. 3 Ústavy České republiky a čl. 2 odst. 2 Listiny základních práv a svobod) a ukládání povinností jen na základě zákona a v jeho mezích a při zachování základních práv a svobod (čl. 4 Listiny základních práv a svobod).</w:t>
      </w:r>
    </w:p>
    <w:p w:rsidR="00CC0F90" w:rsidRPr="003D4FF4" w:rsidRDefault="00CC0F90" w:rsidP="00CC0F90">
      <w:pPr>
        <w:spacing w:before="240"/>
      </w:pPr>
      <w:r w:rsidRPr="003D4FF4">
        <w:t>Navrhovaná právní úprava se dále dotýká práva podnikat a provozovat jinou hospodářskou činnost zakotveného v čl. 26 Listiny základních práv a svobod a práva na příznivé životní prostředí podle čl. 35 Listiny základních práv a svobod. Návrh</w:t>
      </w:r>
      <w:r>
        <w:t xml:space="preserve"> zákona stanoví v souladu s čl. </w:t>
      </w:r>
      <w:r w:rsidRPr="003D4FF4">
        <w:t>26 odst. 2 Listiny základních práv a svobod podmínky a omezení pro výkon určitých činností, a to právě s ohledem na ústavně garantovanou ochranu životního prostředí a zdraví lidí. Čl. 35 odst. 3 Listiny základních práv a svobod stranoví, že při výkonu svých práv nikdo nesmí ohrožovat ani poškozovat životní prostředí, přírodní zdro</w:t>
      </w:r>
      <w:r>
        <w:t>je, druhové bohatství přírody a </w:t>
      </w:r>
      <w:r w:rsidRPr="003D4FF4">
        <w:t>kulturní památky nad míru stanovenou zákonem. Navrhovaným zákonem je především omezována činnost výrobců při uvádění vybraných výrobků na trh a jsou jim ukládány povinnosti zajistit za stanovených podmínek zejména zpětný odběr a zpracování výrobků s ukončenou životností. Dále jsou navrhovaným zákonem upraveny podmínky pro kolektivní plnění povinností výrobců a vznik a fungování kolektivních systémů tak, aby nedocházelo k neplnění či obcházení těchto povinností nebo ke zneužívání kolektivních systémů ve prospěch některých výrobců na úkor ostatních. Podmínky a omezení jsou dále kladeny na osoby nakládající s výrobky s ukončenou životností (zejm. provozovatele míst zpětného odběru, zpracovatele a provozovatele zařízení ke sběru nebo zpracování vozidel s ukončenou životností), provozovatele solárních elektráren, některé povinnosti navrhovaný zákon ukládá rovněž posledním prodejcům vybraných výrobků s cílem zvýšit úroveň zpětného odběru a tím přispět k vyšší ochraně životního prostředí.</w:t>
      </w:r>
    </w:p>
    <w:p w:rsidR="00CC0F90" w:rsidRPr="003D4FF4" w:rsidRDefault="00CC0F90" w:rsidP="00CC0F90">
      <w:pPr>
        <w:spacing w:before="240"/>
      </w:pPr>
      <w:r w:rsidRPr="003D4FF4">
        <w:t>Navrhovaná právní úprava podmínek a omezení pro výkon uvedených činností splňuje ústavní požadavek úpravy na úrovni zákona a vyhovuje též zásadám pro stanovení mezí základních práv a svobod podle čl. 4 Listiny základních práv a svobod.</w:t>
      </w:r>
    </w:p>
    <w:p w:rsidR="00CC0F90" w:rsidRPr="003D4FF4" w:rsidRDefault="00CC0F90" w:rsidP="00CC0F90"/>
    <w:p w:rsidR="00CC0F90" w:rsidRPr="003D4FF4" w:rsidRDefault="00CC0F90" w:rsidP="002D66F0">
      <w:pPr>
        <w:keepNext/>
        <w:numPr>
          <w:ilvl w:val="0"/>
          <w:numId w:val="125"/>
        </w:numPr>
        <w:spacing w:line="240" w:lineRule="auto"/>
        <w:ind w:left="425" w:hanging="425"/>
        <w:rPr>
          <w:b/>
        </w:rPr>
      </w:pPr>
      <w:r w:rsidRPr="003D4FF4">
        <w:rPr>
          <w:b/>
        </w:rPr>
        <w:t>Zhodnocení souladu navrhované právní úpra</w:t>
      </w:r>
      <w:r>
        <w:rPr>
          <w:b/>
        </w:rPr>
        <w:t>vy s předpisy Evropské unie a s </w:t>
      </w:r>
      <w:r w:rsidRPr="003D4FF4">
        <w:rPr>
          <w:b/>
        </w:rPr>
        <w:t>mezinárodními smlouvami, jimiž je Česká republika vázána</w:t>
      </w:r>
    </w:p>
    <w:p w:rsidR="00CC0F90" w:rsidRPr="003D4FF4" w:rsidRDefault="00CC0F90" w:rsidP="00CC0F90">
      <w:pPr>
        <w:spacing w:before="240"/>
      </w:pPr>
      <w:r w:rsidRPr="003D4FF4">
        <w:t>Navrhovaný zákon obsahuje právní úpravu, kterou budou do vnitrostátního právního řádu České republiky (znovu) transponovány některé směrnice EU a zajištěna adaptace na některá unijní nařízení. Jde o tyto předpisy EU:</w:t>
      </w:r>
    </w:p>
    <w:p w:rsidR="00CC0F90" w:rsidRPr="003D4FF4" w:rsidRDefault="00CC0F90" w:rsidP="002D66F0">
      <w:pPr>
        <w:numPr>
          <w:ilvl w:val="0"/>
          <w:numId w:val="126"/>
        </w:numPr>
        <w:spacing w:before="240" w:line="240" w:lineRule="auto"/>
        <w:ind w:left="714" w:hanging="357"/>
      </w:pPr>
      <w:r w:rsidRPr="003D4FF4">
        <w:t>směrnice Evropského parlamentu a Rady 2008/98</w:t>
      </w:r>
      <w:r>
        <w:t>/ES ze dne 19. listopadu 2008 o </w:t>
      </w:r>
      <w:r w:rsidRPr="003D4FF4">
        <w:t>odpadech a o zrušení některých směrnic</w:t>
      </w:r>
      <w:r w:rsidRPr="003D4FF4">
        <w:rPr>
          <w:vertAlign w:val="superscript"/>
        </w:rPr>
        <w:footnoteReference w:id="14"/>
      </w:r>
      <w:r w:rsidRPr="003D4FF4">
        <w:t xml:space="preserve"> (dále jen „rámcová směrnice o odpadech“),</w:t>
      </w:r>
    </w:p>
    <w:p w:rsidR="00CC0F90" w:rsidRPr="003D4FF4" w:rsidRDefault="00CC0F90" w:rsidP="002D66F0">
      <w:pPr>
        <w:numPr>
          <w:ilvl w:val="0"/>
          <w:numId w:val="126"/>
        </w:numPr>
        <w:spacing w:before="240" w:line="240" w:lineRule="auto"/>
        <w:ind w:left="714" w:hanging="357"/>
        <w:rPr>
          <w:bCs/>
        </w:rPr>
      </w:pPr>
      <w:r w:rsidRPr="003D4FF4">
        <w:lastRenderedPageBreak/>
        <w:t xml:space="preserve">směrnice Evropského parlamentu a Rady 2012/19/EU </w:t>
      </w:r>
      <w:r>
        <w:rPr>
          <w:bCs/>
        </w:rPr>
        <w:t>ze dne 4. července 2012 o </w:t>
      </w:r>
      <w:r w:rsidRPr="003D4FF4">
        <w:rPr>
          <w:bCs/>
        </w:rPr>
        <w:t>odpadních elektrických a elektronických zařízeních (OEEZ),</w:t>
      </w:r>
      <w:r w:rsidRPr="003D4FF4">
        <w:rPr>
          <w:bCs/>
          <w:vertAlign w:val="superscript"/>
        </w:rPr>
        <w:footnoteReference w:id="15"/>
      </w:r>
    </w:p>
    <w:p w:rsidR="00CC0F90" w:rsidRPr="003D4FF4" w:rsidRDefault="00CC0F90" w:rsidP="002D66F0">
      <w:pPr>
        <w:numPr>
          <w:ilvl w:val="0"/>
          <w:numId w:val="126"/>
        </w:numPr>
        <w:spacing w:before="240" w:line="240" w:lineRule="auto"/>
        <w:ind w:left="714" w:hanging="357"/>
        <w:rPr>
          <w:bCs/>
        </w:rPr>
      </w:pPr>
      <w:r w:rsidRPr="003D4FF4">
        <w:t>směrnice Evropského parlamentu a Rady 2006/66/ES ze dne 6. září 2006 o ba</w:t>
      </w:r>
      <w:r>
        <w:t>teriích a </w:t>
      </w:r>
      <w:r w:rsidRPr="003D4FF4">
        <w:t xml:space="preserve">akumulátorech a odpadních bateriích a akumulátorech a o zrušení směrnice 91/175/EHS, ve znění směrnice </w:t>
      </w:r>
      <w:r w:rsidRPr="003D4FF4">
        <w:rPr>
          <w:bCs/>
        </w:rPr>
        <w:t>2013/56/EU,</w:t>
      </w:r>
      <w:r w:rsidRPr="003D4FF4">
        <w:rPr>
          <w:bCs/>
          <w:vertAlign w:val="superscript"/>
        </w:rPr>
        <w:footnoteReference w:id="16"/>
      </w:r>
    </w:p>
    <w:p w:rsidR="00CC0F90" w:rsidRPr="003D4FF4" w:rsidRDefault="00CC0F90" w:rsidP="002D66F0">
      <w:pPr>
        <w:numPr>
          <w:ilvl w:val="0"/>
          <w:numId w:val="126"/>
        </w:numPr>
        <w:spacing w:before="240" w:line="240" w:lineRule="auto"/>
        <w:ind w:left="714" w:hanging="357"/>
      </w:pPr>
      <w:r w:rsidRPr="003D4FF4">
        <w:t>směrnice Evropského parlamentu a Rady 2000/53/ES ze dne 18. září 2000 o vozidlech s ukončenou životností,</w:t>
      </w:r>
      <w:r w:rsidRPr="003D4FF4">
        <w:rPr>
          <w:vertAlign w:val="superscript"/>
        </w:rPr>
        <w:footnoteReference w:id="17"/>
      </w:r>
    </w:p>
    <w:p w:rsidR="00CC0F90" w:rsidRPr="003D4FF4" w:rsidRDefault="00CC0F90" w:rsidP="002D66F0">
      <w:pPr>
        <w:numPr>
          <w:ilvl w:val="0"/>
          <w:numId w:val="126"/>
        </w:numPr>
        <w:spacing w:before="240" w:line="240" w:lineRule="auto"/>
        <w:ind w:left="714" w:hanging="357"/>
        <w:rPr>
          <w:bCs/>
        </w:rPr>
      </w:pPr>
      <w:r w:rsidRPr="003D4FF4">
        <w:rPr>
          <w:bCs/>
        </w:rPr>
        <w:t>nařízení Komise (EU) č. 493/2012 ze dne 11. června 2012, kterým se stanoví prováděcí pravidla pro výpočet recyklační účinnosti procesů recyklace odpadních baterií a akumulátorů podle směrnice Evropského parlamentu a Rady 2006/66/ES,</w:t>
      </w:r>
      <w:r w:rsidRPr="003D4FF4">
        <w:rPr>
          <w:bCs/>
          <w:vertAlign w:val="superscript"/>
        </w:rPr>
        <w:footnoteReference w:id="18"/>
      </w:r>
    </w:p>
    <w:p w:rsidR="00CC0F90" w:rsidRPr="003D4FF4" w:rsidRDefault="00CC0F90" w:rsidP="002D66F0">
      <w:pPr>
        <w:numPr>
          <w:ilvl w:val="0"/>
          <w:numId w:val="126"/>
        </w:numPr>
        <w:spacing w:before="240" w:line="240" w:lineRule="auto"/>
        <w:ind w:left="714" w:hanging="357"/>
        <w:rPr>
          <w:bCs/>
        </w:rPr>
      </w:pPr>
      <w:r w:rsidRPr="003D4FF4">
        <w:rPr>
          <w:bCs/>
        </w:rPr>
        <w:t>nařízení Evropského parlamentu a Rady č. 517/</w:t>
      </w:r>
      <w:r>
        <w:rPr>
          <w:bCs/>
        </w:rPr>
        <w:t>2014/EU ze dne 16. dubna 2014 o </w:t>
      </w:r>
      <w:r w:rsidRPr="003D4FF4">
        <w:rPr>
          <w:bCs/>
        </w:rPr>
        <w:t>fluorovaných skleníkových plynech a o zrušení na</w:t>
      </w:r>
      <w:r w:rsidRPr="003D4FF4">
        <w:rPr>
          <w:rFonts w:hint="eastAsia"/>
          <w:bCs/>
        </w:rPr>
        <w:t>ř</w:t>
      </w:r>
      <w:r w:rsidRPr="003D4FF4">
        <w:rPr>
          <w:bCs/>
        </w:rPr>
        <w:t xml:space="preserve">ízení (ES) </w:t>
      </w:r>
      <w:r w:rsidRPr="003D4FF4">
        <w:rPr>
          <w:rFonts w:hint="eastAsia"/>
          <w:bCs/>
        </w:rPr>
        <w:t>č</w:t>
      </w:r>
      <w:r w:rsidRPr="003D4FF4">
        <w:rPr>
          <w:bCs/>
        </w:rPr>
        <w:t>. 842/2006.</w:t>
      </w:r>
      <w:r w:rsidRPr="003D4FF4">
        <w:rPr>
          <w:bCs/>
          <w:vertAlign w:val="superscript"/>
        </w:rPr>
        <w:footnoteReference w:id="19"/>
      </w:r>
    </w:p>
    <w:p w:rsidR="00CC0F90" w:rsidRPr="003D4FF4" w:rsidRDefault="00CC0F90" w:rsidP="00CC0F90">
      <w:pPr>
        <w:spacing w:before="240"/>
      </w:pPr>
      <w:r w:rsidRPr="003D4FF4">
        <w:t xml:space="preserve">Uvedené předpisy EU byly dosud implementovány dosavadním zákonem o odpadech, s výjimkou nařízení </w:t>
      </w:r>
      <w:r w:rsidRPr="00F64482">
        <w:t xml:space="preserve">o fluorovaných skleníkových plynech. </w:t>
      </w:r>
      <w:r w:rsidRPr="003D4FF4">
        <w:t xml:space="preserve">Toto nařízení je navrhovaným zákonem implementováno pouze zčásti, a to v rozsahu, v jakém se dotýká působnosti tohoto zákona. Zajištěna je konkrétně implementace článku 9 nařízení, podle kterého mají členské státy podporovat vytvoření režimů odpovědnosti výrobce, pokud jde o znovuzískávání fluorovaných skleníkových plynů a jejich recyklaci, regeneraci nebo zneškodnění (§ 87 odst. 1 písm. d) návrhu zákona). </w:t>
      </w:r>
    </w:p>
    <w:p w:rsidR="00CC0F90" w:rsidRPr="003D4FF4" w:rsidRDefault="00CC0F90" w:rsidP="00CC0F90">
      <w:pPr>
        <w:spacing w:before="240"/>
      </w:pPr>
      <w:r w:rsidRPr="003D4FF4">
        <w:t xml:space="preserve">V případě rámcové směrnice o odpadech je hlavním </w:t>
      </w:r>
      <w:r>
        <w:t>transpozičním předpisem zákon o </w:t>
      </w:r>
      <w:r w:rsidRPr="003D4FF4">
        <w:t>odpadech, nicméně tato směrnice se dotýká oblasti regulované navrhovanou právní úpravou, která z ní v některých ustanoveních vychází. Týká se to zejména použití některých definic pojmů (čl. 3; např. zpracování, využití, odstranění, opětovné použití aj.), podpory opětovného použití a recyklace (čl. 11), podmínek pro vydávání povolení a registraci (čl. 23 a 26) nebo vedení záznamů (čl. 35). Oporu v rámcové směrnici o odpadech má rovněž navrhovaná právní úprava zpětného odběru odpadních pneumatik. Tato oblast, na rozdíl od ostatních odpadních toků z vybraných výrobků (odpadní elektrozařízení, odpadní baterie a akumulátory a vozidla s ukončenou životností), není na úrovni EU přímo upravena žádným speciálním předpisem. Právní úprava zpětného odběru odpadních pneumatik proto vychází zejména z čl. 8 rámcové směrnice o odpadech, který členským státům umožňuje přijímat opatření, na základě kterých budou výrobci odpovídat za sběr a další nakládání s odpady z výrobků, které uvedli na trh (zásada rozšířené odpovědnosti výrobce).</w:t>
      </w:r>
    </w:p>
    <w:p w:rsidR="00CC0F90" w:rsidRPr="003D4FF4" w:rsidRDefault="00CC0F90" w:rsidP="00CC0F90">
      <w:pPr>
        <w:spacing w:before="240"/>
      </w:pPr>
      <w:r w:rsidRPr="003D4FF4">
        <w:t>Ostatní výše uvedené předpisy EU v oblastech odpadních elekt</w:t>
      </w:r>
      <w:r>
        <w:t>rozařízení, odpadních baterií a </w:t>
      </w:r>
      <w:r w:rsidRPr="003D4FF4">
        <w:t>akumulátorů a vozidel s ukončenou životností jsou navrhovaným zákonem implementovány plně, s výjimkou ustanovení, která budou do právního řádu ČR promítnuta prováděcími předpisy vydanými k jeho provedení.</w:t>
      </w:r>
    </w:p>
    <w:p w:rsidR="00CC0F90" w:rsidRPr="003D4FF4" w:rsidRDefault="00CC0F90" w:rsidP="00CC0F90">
      <w:pPr>
        <w:spacing w:before="240"/>
      </w:pPr>
      <w:r w:rsidRPr="003D4FF4">
        <w:lastRenderedPageBreak/>
        <w:t>Navrhovaná právní úprava ponechává v platnosti odpovědnost provozovatele solární elektrárny za financování nakládání s odpadními solárními panely uvedenými na trh do dne 1. ledna 2013, která vychází ze zásady „znečišťovatel platí“ zakotvené v čl. 14 odst. 1 rámcové směrnice o odpadech. Jelikož solární panely před přijetím směrnice 2012/19/EU nespadaly do rozsahu působnosti unijní legislativy pro nakládání s odpadními elektrozařízeními, nevztahují se na solární panely uvedené na trh před datem stanoveným pro transpozici této směrnice (tj. i na solární panely uvedené na trh do dne 1. ledna 2013), s</w:t>
      </w:r>
      <w:r>
        <w:t> </w:t>
      </w:r>
      <w:r w:rsidRPr="003D4FF4">
        <w:t>ohledem na zásadu zákazu retroaktivity, pravidla stanovená touto směrnicí pro financování nakládání s „nehistorickými“ odpadními elektrozařízeními (tj. uvedenými na trh po 13. srpnu 2005).</w:t>
      </w:r>
    </w:p>
    <w:p w:rsidR="00CC0F90" w:rsidRPr="003D4FF4" w:rsidRDefault="00CC0F90" w:rsidP="00CC0F90">
      <w:pPr>
        <w:spacing w:before="240"/>
      </w:pPr>
      <w:r w:rsidRPr="003D4FF4">
        <w:t xml:space="preserve">Na přeshraniční přepravu výrobků s ukončenou životností se vztahuje nařízení Evropského parlamentu a Rady </w:t>
      </w:r>
      <w:r w:rsidRPr="00F64482">
        <w:t>č. 1013/2006 ze dne 14. června 2006 o přepravě odpadů,</w:t>
      </w:r>
      <w:r w:rsidRPr="00F64482">
        <w:footnoteReference w:id="20"/>
      </w:r>
      <w:r w:rsidRPr="00F64482">
        <w:t xml:space="preserve"> které je přímo použitelným předpisem, a navazující ustanovení zákona o odpadech. Toto nařízení se použije i v případě přeshraniční přepravy použitých elektrozařízení nebo pneumatik, nebudou-li splněny podmínky stanovené v navrhovaném zákoně</w:t>
      </w:r>
      <w:r w:rsidRPr="003D4FF4">
        <w:t>. V takovém případě se bude jednat o nedovolenou přepravu odpadů podle citovaného nařízení.</w:t>
      </w:r>
    </w:p>
    <w:p w:rsidR="00CC0F90" w:rsidRPr="003D4FF4" w:rsidRDefault="00CC0F90" w:rsidP="00CC0F90">
      <w:pPr>
        <w:spacing w:before="240"/>
      </w:pPr>
      <w:r w:rsidRPr="003D4FF4">
        <w:t>Navrhovaná právní úprava se dále dotýká práva usazování podle čl. 49 Smlouvy o fungování Evropské unie, pokud jde o podmínky, za nichž lze získat oprávnění k provozování kolektivního systému. Žadatel o vydání tohoto oprávnění musí být společností s ručením omezeným nebo akciovou společností, může však být také právnickou osobou obdobné právní formy založenou podle práva jiného členského státu EU, případně smluvního státu Dohody o Evropském hospodářském prostoru. Rovněž podmínka sídla se</w:t>
      </w:r>
      <w:r>
        <w:t xml:space="preserve"> vztahuje k </w:t>
      </w:r>
      <w:r w:rsidRPr="003D4FF4">
        <w:t>členskému státu EU nebo smluvnímu státu EHP. Další podmínky pro získání oprávnění k provozování kolektivního systému nemají vazbu na stát usazení či státní příslušnost a platí bez rozdílu pro každého žadatele o vydání oprávnění a jeho společník</w:t>
      </w:r>
      <w:r>
        <w:t>y. Nezbytnost a </w:t>
      </w:r>
      <w:r w:rsidRPr="003D4FF4">
        <w:t>přiměřenost těchto podmínek je vysvětlena ve zvláštní části důvodové zprávy. Zásady práva usazování plynoucí ze Smlouvy o fungování Evropské unie na druhou stranu nelze aplikovat v případě koordinačního centra, neboť to bude zřizováno rozhodnutím ministerstva jako veřejnoprávní korporace.</w:t>
      </w:r>
    </w:p>
    <w:p w:rsidR="00CC0F90" w:rsidRPr="00F64482" w:rsidRDefault="00CC0F90" w:rsidP="00CC0F90">
      <w:pPr>
        <w:spacing w:before="240"/>
      </w:pPr>
      <w:r w:rsidRPr="003D4FF4">
        <w:t xml:space="preserve">Na základě uvedeného lze konstatovat, že navrhovaná právní úprava je </w:t>
      </w:r>
      <w:r w:rsidRPr="00F64482">
        <w:t>s uvedenými předpisy i s právem Evropské unie jako celkem plně v souladu.</w:t>
      </w:r>
    </w:p>
    <w:p w:rsidR="00CC0F90" w:rsidRPr="003D4FF4" w:rsidRDefault="00CC0F90" w:rsidP="00CC0F90">
      <w:pPr>
        <w:spacing w:before="240"/>
      </w:pPr>
      <w:r w:rsidRPr="003D4FF4">
        <w:t xml:space="preserve">Oblasti regulované navrhovanou právní úpravou se dotýká Basilejská úmluva o kontrole pohybu nebezpečných odpadů přes hranice států a jejich zneškodňování (vyhlášená sdělením Ministerstva zahraničních věcí č. 100/1994 Sb.), která je provedena právě výše citovaným nařízením </w:t>
      </w:r>
      <w:r w:rsidRPr="00F64482">
        <w:t xml:space="preserve">o přepravě odpadů. Navrhovaná právní úprava je s touto </w:t>
      </w:r>
      <w:r>
        <w:t>mezinárodní smlouvou v </w:t>
      </w:r>
      <w:r w:rsidRPr="003D4FF4">
        <w:t>souladu.</w:t>
      </w:r>
    </w:p>
    <w:p w:rsidR="00CC0F90" w:rsidRPr="003D4FF4" w:rsidRDefault="00CC0F90" w:rsidP="00CC0F90"/>
    <w:p w:rsidR="00CC0F90" w:rsidRPr="003D4FF4" w:rsidRDefault="00CC0F90" w:rsidP="002D66F0">
      <w:pPr>
        <w:keepNext/>
        <w:numPr>
          <w:ilvl w:val="0"/>
          <w:numId w:val="125"/>
        </w:numPr>
        <w:spacing w:line="240" w:lineRule="auto"/>
        <w:ind w:left="425" w:hanging="425"/>
        <w:rPr>
          <w:b/>
        </w:rPr>
      </w:pPr>
      <w:r w:rsidRPr="003D4FF4">
        <w:rPr>
          <w:b/>
        </w:rPr>
        <w:lastRenderedPageBreak/>
        <w:t>Sociální dopady navrhované právní úpravy</w:t>
      </w:r>
    </w:p>
    <w:p w:rsidR="00CC0F90" w:rsidRPr="003D4FF4" w:rsidRDefault="00CC0F90" w:rsidP="00CC0F90">
      <w:pPr>
        <w:spacing w:before="240"/>
      </w:pPr>
      <w:r w:rsidRPr="003D4FF4">
        <w:t>Navrhovaná právní úprava nebude mít žádné negativní sociální dopady, včetně dopadů na specifické skupiny obyvatel, zejména osoby sociálně slabé, osoby se zdravotním postižením a národnostní menšiny.</w:t>
      </w:r>
    </w:p>
    <w:p w:rsidR="00CC0F90" w:rsidRPr="003D4FF4" w:rsidRDefault="00CC0F90" w:rsidP="00CC0F90"/>
    <w:p w:rsidR="00CC0F90" w:rsidRPr="003D4FF4" w:rsidRDefault="00CC0F90" w:rsidP="002D66F0">
      <w:pPr>
        <w:keepNext/>
        <w:numPr>
          <w:ilvl w:val="0"/>
          <w:numId w:val="125"/>
        </w:numPr>
        <w:spacing w:line="240" w:lineRule="auto"/>
        <w:ind w:left="425" w:hanging="425"/>
        <w:rPr>
          <w:b/>
        </w:rPr>
      </w:pPr>
      <w:r w:rsidRPr="003D4FF4">
        <w:rPr>
          <w:b/>
        </w:rPr>
        <w:t>Zhodnocení dopadů navrhovaného řešení ve vztahu k zákazu diskriminace</w:t>
      </w:r>
    </w:p>
    <w:p w:rsidR="00CC0F90" w:rsidRPr="003D4FF4" w:rsidRDefault="00CC0F90" w:rsidP="00CC0F90">
      <w:pPr>
        <w:spacing w:before="240"/>
      </w:pPr>
      <w:r w:rsidRPr="003D4FF4">
        <w:t>Platná právní úprava v oblasti vybraných výrobků s ukončenou životností neupravuje vztahy, které by se dotýkaly zákazu diskriminace (ve smyslu antidiskriminačního zákona jde o</w:t>
      </w:r>
      <w:r>
        <w:t> </w:t>
      </w:r>
      <w:r w:rsidRPr="003D4FF4">
        <w:t>nerovné zacházení či znevýhodnění některé osoby z důvodu rasy, etnického původu, národnosti, pohlaví, sexuální orientace, věku, zdravotního postižení, náboženského vyznání, víry či světového názoru). Takové vztahy neupravuje ani navrhovaná právní úprava, proto lze konstatovat, že navrhované řešení nemá žádné dopady ve vztahu k zákazu diskriminace, včetně rovného postavení mužů a žen.</w:t>
      </w:r>
    </w:p>
    <w:p w:rsidR="00CC0F90" w:rsidRPr="003D4FF4" w:rsidRDefault="00CC0F90" w:rsidP="00CC0F90"/>
    <w:p w:rsidR="00CC0F90" w:rsidRPr="003D4FF4" w:rsidRDefault="00CC0F90" w:rsidP="002D66F0">
      <w:pPr>
        <w:keepNext/>
        <w:numPr>
          <w:ilvl w:val="0"/>
          <w:numId w:val="125"/>
        </w:numPr>
        <w:spacing w:line="240" w:lineRule="auto"/>
        <w:ind w:left="425" w:hanging="425"/>
        <w:rPr>
          <w:b/>
        </w:rPr>
      </w:pPr>
      <w:r w:rsidRPr="003D4FF4">
        <w:rPr>
          <w:b/>
        </w:rPr>
        <w:t>Zhodnocení dopadů navrhovaného řešení ve vztahu k ochraně soukromí a osobních údajů</w:t>
      </w:r>
    </w:p>
    <w:p w:rsidR="00CC0F90" w:rsidRPr="003D4FF4" w:rsidRDefault="00CC0F90" w:rsidP="00CC0F90">
      <w:pPr>
        <w:spacing w:before="240"/>
      </w:pPr>
      <w:r w:rsidRPr="003D4FF4">
        <w:t>Návrh zákona předpokládá shromažďování osobních údajů ministerstvem při vkládání údajů do registru míst zpětného odběru a do informačního systému pro vedení informací o vozidlech s ukončenou životností, přijímání a zpracování žádostí o zápis do Seznamu výrobců, žádostí o</w:t>
      </w:r>
      <w:r>
        <w:t> </w:t>
      </w:r>
      <w:r w:rsidRPr="003D4FF4">
        <w:t>vydání oprávnění k provozování kolektivního systému, ročních zpráv o výrobcích s ukončenou životností, zpráv o plnění povinností provozovatel</w:t>
      </w:r>
      <w:r>
        <w:t>ů solárních elektráren, zpráv o </w:t>
      </w:r>
      <w:r w:rsidRPr="003D4FF4">
        <w:t xml:space="preserve">ověření a závěrečných shrnutí o provedených auditech. Shromažďovány a zpracovávány jsou zejména tyto osobní údaje: jméno (ve smyslu § 77 odst. 1 občanského zákoníku), obchodní firma, adresa místa trvalého pobytu, adresa sídla, identifikační číslo osoby, daňové identifikační číslo a kontaktní údaje (telefon a elektronická adresa). </w:t>
      </w:r>
    </w:p>
    <w:p w:rsidR="00CC0F90" w:rsidRPr="003D4FF4" w:rsidRDefault="00CC0F90" w:rsidP="00CC0F90">
      <w:pPr>
        <w:spacing w:before="240"/>
      </w:pPr>
      <w:r w:rsidRPr="003D4FF4">
        <w:t>Účel zpracování uvedených osobních údajů je především identifikační, evidenční a kontrolní. Na základě žádosti o zápis do Seznamu je výrobce zapsán a veden v tomto seznamu po celou dobu, po kterou uvádí na trh v České republice vybrané výrobky. Údaje obsažené v žádosti</w:t>
      </w:r>
      <w:r>
        <w:t xml:space="preserve"> o </w:t>
      </w:r>
      <w:r w:rsidRPr="003D4FF4">
        <w:t>vydání oprávnění k provozování kolektivního systému slouží k vedení řízení o této žádosti a</w:t>
      </w:r>
      <w:r>
        <w:t> </w:t>
      </w:r>
      <w:r w:rsidRPr="003D4FF4">
        <w:t>k vydání rozhodnutí; ministerstvo dále vede pro účely dohledu seznam vydaných oprávnění k provozování kolektivního systému a rozhodnutí o jejich změnách nebo zrušení. Údaje obsažené v ročních zprávách o výrobcích s ukončenou životností a ve zprávách o plnění povinností provozovatelů solárních elektráren jsou nezbytné pro účely evidence a kontroly plnění zákonem stanovených povinností.</w:t>
      </w:r>
    </w:p>
    <w:p w:rsidR="00CC0F90" w:rsidRPr="003D4FF4" w:rsidRDefault="00CC0F90" w:rsidP="00CC0F90">
      <w:pPr>
        <w:spacing w:before="240"/>
      </w:pPr>
      <w:r w:rsidRPr="003D4FF4">
        <w:t>Ministerstvo zveřejňuje způsobem umožňujícím dálkový přístup a ve stanoveném rozsahu aktuální Seznam výrobců, registr míst zpětného odběru a informační systém pro vedení informací o vozidlech s ukončenou životností. Rozsah zveřejňovaných údajů je stanoven tak, aby nebyly zveřejňovány např. údaje o adrese místa trvalého pobytu nebo kontaktní údaje nepodnikajících fyzických osob. Podobně je zveřejňo</w:t>
      </w:r>
      <w:r>
        <w:t>ván seznam vydaných oprávnění k </w:t>
      </w:r>
      <w:r w:rsidRPr="003D4FF4">
        <w:t xml:space="preserve">provozování kolektivního systému a rozhodnutí o jejich změnách nebo zrušení, avšak vyjma </w:t>
      </w:r>
      <w:r w:rsidRPr="003D4FF4">
        <w:lastRenderedPageBreak/>
        <w:t>údajů, které jsou předmětem obchodního tajemství nebo na které se vztahuje zákon o ochraně osobních údajů. Jinak jsou osobní údaje zpracovávány neveřejně (zejm. veškeré údaje obsažené v ročních zprávách o výrobcích s ukončenou životností a ve zprávách o plnění povinností provozovatelů solárních elektráren). Osobní údaje nejsou zveřejňovány při zveřejňování souhrnných údajů získaných z ročních zpráv o výrobcích s ukončenou životností.</w:t>
      </w:r>
    </w:p>
    <w:p w:rsidR="00CC0F90" w:rsidRPr="003D4FF4" w:rsidRDefault="00CC0F90" w:rsidP="00CC0F90">
      <w:pPr>
        <w:spacing w:before="240"/>
      </w:pPr>
      <w:r w:rsidRPr="003D4FF4">
        <w:t>Údaje ze Seznamu výrobců, registru míst zpětného odběru a informačního systém pro vedení informací o vozidlech s ukončenou životností, které nejsou veřejně přístupné, poskytuje ministerstvo pouze zákonem stanoveným subjektům. Kromě správních úřadů vykonávajících státní správu na úseku upravovaném tímto zákonem jde o některé další správní orgány, které příslušné údaje potřebují k plnění svých zákonem svěřených úkolů (Policie České republiky, obecní úřady obcí s rozšířenou působností při zápisech skutečností do registru silničních vozidel a Státní fond životního prostředí České republiky). Ministerstvo vnitra a Policie České republiky pak poskytují správním úřadům vykonávajícím státní správu na úseku upravovaném tímto zákonem pro potřeby plnění jejich úkolů referenční údaje ze základního registru obyvatel, údaje z agendového informačního systému evidence obyvatel a údaje z agendového informačního systému cizinců.</w:t>
      </w:r>
    </w:p>
    <w:p w:rsidR="00CC0F90" w:rsidRPr="003D4FF4" w:rsidRDefault="00CC0F90" w:rsidP="00CC0F90">
      <w:pPr>
        <w:spacing w:before="240"/>
      </w:pPr>
      <w:r w:rsidRPr="003D4FF4">
        <w:t>Doba uchování osobních údajů se bude řídit platnými ustanoveními zákona č. 499/2004 Sb., o archivnictví a spisové službě a Spisovým a skartačním řádem ministerstva.</w:t>
      </w:r>
    </w:p>
    <w:p w:rsidR="00CC0F90" w:rsidRPr="003D4FF4" w:rsidRDefault="00CC0F90" w:rsidP="00CC0F90">
      <w:pPr>
        <w:spacing w:before="240"/>
      </w:pPr>
      <w:r w:rsidRPr="003D4FF4">
        <w:t>Každý subjekt, který by zjistil nebo se domníval, že zpracování jeho osobních údajů je prováděno v rozporu s ochranou soukromého nebo osobního života nebo v rozporu se zákonem, zejména pokud by zjistil, že jeho údaje jsou s ohledem na jejich zpracování nepřesné, bude moci požádat ministerstvo o vysvětlení nebo se domáhat nápravy tohoto stavu. Přístup subjektu údajů k informacím o zpracování svých osobních údajů bude jinak obecně řešen v souladu s § 12 zákona o ochraně osobních údajů.</w:t>
      </w:r>
    </w:p>
    <w:p w:rsidR="00CC0F90" w:rsidRPr="003D4FF4" w:rsidRDefault="00CC0F90" w:rsidP="00CC0F90"/>
    <w:p w:rsidR="00CC0F90" w:rsidRPr="003D4FF4" w:rsidRDefault="00CC0F90" w:rsidP="002D66F0">
      <w:pPr>
        <w:keepNext/>
        <w:numPr>
          <w:ilvl w:val="0"/>
          <w:numId w:val="125"/>
        </w:numPr>
        <w:spacing w:line="240" w:lineRule="auto"/>
        <w:ind w:left="425" w:hanging="425"/>
        <w:rPr>
          <w:b/>
        </w:rPr>
      </w:pPr>
      <w:r w:rsidRPr="003D4FF4">
        <w:rPr>
          <w:b/>
        </w:rPr>
        <w:t>Zhodnocení korupčních rizik</w:t>
      </w:r>
    </w:p>
    <w:p w:rsidR="00CC0F90" w:rsidRPr="003D4FF4" w:rsidRDefault="00CC0F90" w:rsidP="00CC0F90">
      <w:pPr>
        <w:spacing w:before="240"/>
      </w:pPr>
      <w:r w:rsidRPr="003D4FF4">
        <w:t>Oproti dosavadní právní úpravě se navrhovaným zákonem mění kompetence správních úřadů v některých oblastech včetně úpravy rozhodovacích postupů, v jiných oblastech jsou upravovány kompetence správních úřadů zcela nově.</w:t>
      </w:r>
    </w:p>
    <w:p w:rsidR="00CC0F90" w:rsidRPr="003D4FF4" w:rsidRDefault="00CC0F90" w:rsidP="00CC0F90">
      <w:pPr>
        <w:spacing w:before="240"/>
      </w:pPr>
      <w:r w:rsidRPr="003D4FF4">
        <w:t>Návrh zákona sjednocuje pravidla pro vedení Seznamu výrobců a zápisy do něj pro všechny druhy vybraných výrobků, které podléhají zpětnému odb</w:t>
      </w:r>
      <w:r>
        <w:t>ěru (elektrozařízení, baterie a </w:t>
      </w:r>
      <w:r w:rsidRPr="003D4FF4">
        <w:t>akumulátory a pneumatiky). Nová právní úprava Seznamu výrobců je postavena na principu, že ve správním řízení je ministerstvem rozhodováno o žádosti o zápis, o změnách zápisu nebo o vyřazení ze Seznamu jen tehdy, jestliže se nevyhovuje žádosti nebo se nepostupuje dle oznámení skutečností zapsanou osobou. Tím je rozhodovací proces zjednodušen, aniž by zároveň mohlo docházet k zásahům do zákonem chráněných práv dotčených osob. Je-li tedy například na základě žádosti proveden zápis výrobce do Seznamu (žádosti je vyhověno), rozhodnutí o tom se nevydává. Blíže k rozhodovacím procesům v případě Seznamu výrobců viz zvláštní část důvodové zprávy.</w:t>
      </w:r>
    </w:p>
    <w:p w:rsidR="00CC0F90" w:rsidRPr="003D4FF4" w:rsidRDefault="00CC0F90" w:rsidP="00CC0F90">
      <w:pPr>
        <w:spacing w:before="240"/>
      </w:pPr>
      <w:r w:rsidRPr="003D4FF4">
        <w:lastRenderedPageBreak/>
        <w:t xml:space="preserve">Ministerstvo dále po projednání s Ministerstvem průmyslu </w:t>
      </w:r>
      <w:r>
        <w:t>a obchodu rozhoduje o žádosti o </w:t>
      </w:r>
      <w:r w:rsidRPr="003D4FF4">
        <w:t>vydání oprávnění k provozování kolektivního systému, změnách a zrušení tohoto oprávnění a o souhlasu k přeměně provozovatele kolektivního systému fúzí nebo rozdělením, při nichž nedochází k jeho zrušení. Rozhodování o oprávnění k provozování kolektivního systému příslušelo ministerstvu již podle dosavadní právní úpravy, v případě elektrozařízení však mělo podobu rozhodnutí o zápisu provozovatele kolektivního systému do Seznamu výrobců. Oprávnění k provozování kolektivního systému bude vydáváno na základě žádosti, jejíž povinné náležitosti stanoví zákon. Žadatel musí doložit splnění podmínek stanovených zákonem pro vydání oprávnění a musí kromě jiného předložit ministerstvu s žádostí projekt zajišťování kolektivního plnění, který obsahuje zejména popis způsobu, jakým žadatel hodlá zajišťovat společné plnění povinností výrobců (zpětný odběr a zpracování výrobků s ukončenou životností atd.). Při splnění zákonem stanovených podmínek má žadatel na vydání oprávnění nárok. Oprávnění k provozování kolektivního systému ministerstvo zruší po projednání s Ministerstvem průmyslu a obchodu, nastane-li některý ze zákonem stanovených důvodů (bez možnosti správního uvážení). V případě zrušení oprávnění z důvodu porušení povinností provozovatele kolektivního systému jsou zkoum</w:t>
      </w:r>
      <w:r>
        <w:t>ány a vyhodnocovány okolnosti a </w:t>
      </w:r>
      <w:r w:rsidRPr="003D4FF4">
        <w:t xml:space="preserve">závažnost daného porušení s tím, že zákon stanoví pro tento postup konkrétní vodítka včetně demonstrativního výčtu závažných porušení povinností. Před samotným zrušením oprávnění, které je třeba považovat až za prostředek ultima ratio, musí ministerstvo poskytnout provozovateli kolektivního systému lhůtu ke zjednání nápravy. </w:t>
      </w:r>
    </w:p>
    <w:p w:rsidR="00CC0F90" w:rsidRPr="003D4FF4" w:rsidRDefault="00CC0F90" w:rsidP="00CC0F90">
      <w:pPr>
        <w:spacing w:before="240"/>
      </w:pPr>
      <w:r w:rsidRPr="003D4FF4">
        <w:t>Správní uvážení se uplatní pouze v případě rozhodování o souhlasu k přeměně provozovatele kolektivního systému fúzí nebo rozdělením a dále při rozhod</w:t>
      </w:r>
      <w:r>
        <w:t>ování ministerstva o souhlasu k </w:t>
      </w:r>
      <w:r w:rsidRPr="003D4FF4">
        <w:t>uzavření dohody o vzájemné spolupráci mezi provozovateli kolektivních systémů. V těchto případech by vzhledem k těžko předvídatelným okolnostem, které v praxi mohou nastat, bylo velmi obtížné, ne-li nemožné vymezit přesné podmínky pro udělení příslušného souhlasu, který je pojistkou proti možnému narušení schopnosti kolektivních systémů plnit řádně povinnosti stanovené tímto zákonem. Míra správního uvážení je zde přiměřená potřebě zajistit efektivní nástroje k vynucování zákonem stanovených povinností. Součástí souhlasu k uzavření dohody o sdílení míst zpětného odběru proto mohou být i podmínky nezbytné pro řádné vedení evidencí a provádění auditů.</w:t>
      </w:r>
    </w:p>
    <w:p w:rsidR="00CC0F90" w:rsidRPr="003D4FF4" w:rsidRDefault="00CC0F90" w:rsidP="00CC0F90">
      <w:pPr>
        <w:spacing w:before="240"/>
      </w:pPr>
      <w:r w:rsidRPr="003D4FF4">
        <w:t xml:space="preserve"> Ministerstvo dále rozhoduje na základě žádosti výrobce plnícího své povinnosti v individuálním systému o souhlasu k čerpání peněžních prostředků ze zvláštního vázaného účtu, který je výrobce povinen zřídit. V případě prokázání splnění stanovených podmínek má výrobce na udělení souhlasu nárok. Bez jakékoliv míry správního uvážení rozhoduje ministerstvo rovněž v případě ustavení a zrušení koordinačního centra, neboť rozhodnutí musí vydat, jsou-li splněny zákonem stanovené podmínky. Podle jasně stanoveného pravidla je určeno i to, který provozovatel kolektivního systému je při ustavení koordinačního centra pověřen svoláním ustavujícího jednání členské rady.</w:t>
      </w:r>
    </w:p>
    <w:p w:rsidR="00CC0F90" w:rsidRPr="003D4FF4" w:rsidRDefault="00CC0F90" w:rsidP="00CC0F90">
      <w:pPr>
        <w:spacing w:before="240"/>
      </w:pPr>
      <w:r w:rsidRPr="003D4FF4">
        <w:t xml:space="preserve">Pokud jde o povolení provozu zařízení ke sběru nebo zpracování vozidel s ukončenou životností, budou krajské úřady vydávat tato povolení podle zákona o odpadech s tím, že </w:t>
      </w:r>
      <w:r w:rsidRPr="003D4FF4">
        <w:lastRenderedPageBreak/>
        <w:t xml:space="preserve">zákon o vybraných výrobcích s ukončenou životností stanoví pouze některé speciální odchylky od obecného povolovacího režimu. </w:t>
      </w:r>
    </w:p>
    <w:p w:rsidR="00CC0F90" w:rsidRPr="003D4FF4" w:rsidRDefault="00CC0F90" w:rsidP="00CC0F90">
      <w:pPr>
        <w:spacing w:before="240"/>
      </w:pPr>
      <w:r w:rsidRPr="003D4FF4">
        <w:t>Kontrolní pravomoci svěřuje navrhovaný zákon ministerstvu, pokud jde o dohled nad činností provozovatelů kolektivních systémů a koordinačních center, a dále speciálním dozorovým orgánům, kterými jsou Česká inspekce životního prostředí (ČIŽP) a Česká obchodní inspekce (ČOI). Ty vykonávají kontrolní činnost v oblastech vymezených navrhovaným zákonem na základě již zavedených mechanismů. Při porušení povinností stanovených tímto zákonem budou ukládat osobám nápravná opatření a pokuty za přestupky, s výjimkou přestupků spáchaných nepodnikajícími fyzickými osobami, které projednávají v prvním stupni obecní úřady obcí s rozšířenou působností. Pravomoc zakázat uvádět na trh nebo do oběhu baterie nebo akumulátory, které nesplňují zákonem stanovené požadavky, a uložit výrobci povinnost zajistit stažení nevyhovujících baterií nebo akumulátorů z trhu, je zakotvena již v dosavadním zákoně o odpadech, navrhovaným zákonem je pouze přenesena z ČIŽP na ČOI. Splnění stanovených podmínek při dovozu vybraných výrobků do České republiky budou kontrolovat celní úřady. Lze konstatovat, že veřejná správa bude schopna plošně kontrolovat a vynucovat dodržování předmětné regulace.</w:t>
      </w:r>
    </w:p>
    <w:p w:rsidR="00CC0F90" w:rsidRPr="003D4FF4" w:rsidRDefault="00CC0F90" w:rsidP="00CC0F90">
      <w:pPr>
        <w:spacing w:before="240"/>
      </w:pPr>
      <w:r w:rsidRPr="003D4FF4">
        <w:t>Úpravu kompetencí příslušných správních úřadů a zejména rozhodovacích postupů lze považovat za přiměřenou množině vztahů, které navrhovaný zákon upravuje. Tyto kompetence nepřekračují rámec toho, co je nezbytné k zajištění efektivní kontroly a vymáhání zákonem stanovených povinností jednotlivých osob. Navrhovanou právní úpravou nedochází ani k nadměrnému soustředění pravomocí u někte</w:t>
      </w:r>
      <w:r>
        <w:t>rého správního úřadu, zejména u </w:t>
      </w:r>
      <w:r w:rsidRPr="003D4FF4">
        <w:t>ministerstva, jemuž návrh zákona svěřuje nejvíce kompetencí jakožto ústřednímu správnímu úřadu na daném úseku. Příslušné pravomoci jsou vždy svěřeny tomu správnímu úřadu, který je schopen je efektivně vykonávat s ohledem na dosava</w:t>
      </w:r>
      <w:r>
        <w:t>dní kompetence a rozsah věcné a </w:t>
      </w:r>
      <w:r w:rsidRPr="003D4FF4">
        <w:t>místní působnosti. Tak například rozhodování o vydání oprávnění k provozování kolektivního systému, jeho změnách a zrušení přísluší ministerstvu, neboť kolektivní systémy působí zpravidla na území celé ČR a jsou klíčovými subjekty pro plnění povinností výro</w:t>
      </w:r>
      <w:r>
        <w:t>bců a </w:t>
      </w:r>
      <w:r w:rsidRPr="003D4FF4">
        <w:t>závazků státu vyplývajících z příslušných předpisů EU (zejm. závazné cíle pro sběr odpadních elektrozařízení a odpadních baterií a akumulátorů). Na rozhodování ve věcech kolektivních systémů se bude nově podílet též Ministerstvo průmyslu a obchodu v souvislosti s jeho působností v oblastech surovinové politiky a výrobků obecně.</w:t>
      </w:r>
    </w:p>
    <w:p w:rsidR="00CC0F90" w:rsidRPr="003D4FF4" w:rsidRDefault="00CC0F90" w:rsidP="00CC0F90">
      <w:pPr>
        <w:spacing w:before="240"/>
      </w:pPr>
      <w:r w:rsidRPr="003D4FF4">
        <w:t>Z organizačního řádu ministerstva lze přesně určit útvar, který je příslušný k rozhodování ve věci, přičemž lze určit i osobu, která je odpovědná za konkrétní rozhodnutí. O prá</w:t>
      </w:r>
      <w:r>
        <w:t>vech a </w:t>
      </w:r>
      <w:r w:rsidRPr="003D4FF4">
        <w:t xml:space="preserve">povinnostech účastníků se rozhoduje ve správním řízení, proti rozhodnutí věcně příslušného útvaru ministerstva v prvním stupni může účastník řízení podat rozklad, o němž rozhoduje ministr životního prostředí na návrh rozkladové komise ministerstva. O odvolání proti rozhodnutí ČIŽP rozhoduje ministerstvo, o odvolání proti rozhodnutí ČOI rozhoduje její ústřední ředitel. Účastník se může také bránit již v průběhu řízení proti nesprávnému postupu orgánu veřejné správy, a to na základě § 175 správního řádu, dle něhož může uplatnit stížnost proti nevhodnému chování úředních osob nebo proti postupu správního orgánu. Správní řízení jsou zahajována na žádost účastníka, náležitosti žádostí jsou jednoznačně stanoveny zákonem. </w:t>
      </w:r>
      <w:r w:rsidRPr="003D4FF4">
        <w:lastRenderedPageBreak/>
        <w:t xml:space="preserve">Navrhovatel se rovněž může domáhat ochrany proti nečinnosti správního orgánu postupem podle § 80 správního řádu. Dále je mu poskytována ochrana na základě zákona č. 82/1998 Sb., o odpovědnosti za škodu způsobenou při výkonu veřejné moci rozhodnutím nebo nesprávným úředním postupem a o změně zákona České národní rady č. 358/1992 Sb., o notářích a jejich činnosti (notářský řád), ve znění pozdějších předpisů, kdy se může za stanovených podmínek domáhat náhrady škody způsobené nezákonným rozhodnutím, anebo nesprávným úředním postupem, jímž se rozumí též porušení povinnosti učinit úkon nebo vydat rozhodnutí v zákonem stanovené lhůtě. Právní předpis dostatečně jasným způsobem nastavuje systém odpovědnosti jednotlivých subjektů, kdy již existuje funkční systém vnitřní kontroly a přezkoumávání rozhodnutí.  </w:t>
      </w:r>
    </w:p>
    <w:p w:rsidR="00CC0F90" w:rsidRPr="003D4FF4" w:rsidRDefault="00CC0F90" w:rsidP="00CC0F90">
      <w:pPr>
        <w:spacing w:before="240"/>
      </w:pPr>
      <w:r w:rsidRPr="003D4FF4">
        <w:t>Navrhovaná právní úprava má pozitivní vliv na dostupnost informací. Ministerstvo bude zveřejňovat způsobem umožňujícím dálkový přístup informace ze Seznamu výrobců, registru míst zpětného odběru, informačního systému pro vedení informací o vozidlech s ukončenou životností, seznam vydaných oprávnění k provozování kole</w:t>
      </w:r>
      <w:r>
        <w:t>ktivního systému a rozhodnutí o </w:t>
      </w:r>
      <w:r w:rsidRPr="003D4FF4">
        <w:t xml:space="preserve">jejich změnách nebo zrušení a souhrnné údaje získané z ročních zpráv o výrobcích s ukončenou životností. </w:t>
      </w:r>
      <w:r w:rsidRPr="003E0B9F">
        <w:t>Návrh předpokládá omezení zpř</w:t>
      </w:r>
      <w:r>
        <w:t>ístupnění některých informací z </w:t>
      </w:r>
      <w:r w:rsidRPr="003E0B9F">
        <w:t>důvodu ochrany obchodního tajemství, avšak toto omezení je zcela v souladu s právní úpravou v zákoně o svobodném přístupu k informacím. Správní orgán posuzuje v každém jednotlivém případě, zda jsou dány podmínky, za nichž je obchodní tajemství chráněno (§ 504 občanského zákoníku).</w:t>
      </w:r>
    </w:p>
    <w:p w:rsidR="00CC0F90" w:rsidRPr="003D4FF4" w:rsidRDefault="00CC0F90" w:rsidP="00CC0F90">
      <w:pPr>
        <w:spacing w:before="240"/>
      </w:pPr>
      <w:r w:rsidRPr="003D4FF4">
        <w:t>Lze konstatovat, že prostor pro korupci je v případě navrhované právní úpravy zcela minimální, neboť veškeré kompetence a rozhodovací procesy jsou uskutečňovány dle jednoznačně nastavených pravidel, s možností uplatnění opravných prostředků a dalších prostředků nápravy, je minimalizována míra správního uvážení při rozhodování a jsou nastaveny účinné mechanismy kontroly. Korupční rizika jsou v dané oblasti zjišťována v souladu s úkoly stanoveným vnitřním předpisem ministerstva o systému řízení korupčních rizik.</w:t>
      </w:r>
    </w:p>
    <w:p w:rsidR="00D62CB8" w:rsidRDefault="00D62CB8" w:rsidP="00783869">
      <w:pPr>
        <w:rPr>
          <w:rFonts w:cs="Arial"/>
          <w:lang w:eastAsia="cs-CZ"/>
        </w:rPr>
      </w:pPr>
    </w:p>
    <w:p w:rsidR="00CC0F90" w:rsidRDefault="00CC0F90">
      <w:pPr>
        <w:spacing w:line="240" w:lineRule="auto"/>
        <w:jc w:val="left"/>
        <w:rPr>
          <w:rFonts w:cs="Arial"/>
          <w:b/>
          <w:lang w:eastAsia="cs-CZ"/>
        </w:rPr>
      </w:pPr>
      <w:r>
        <w:rPr>
          <w:rFonts w:cs="Arial"/>
          <w:b/>
          <w:lang w:eastAsia="cs-CZ"/>
        </w:rPr>
        <w:br w:type="page"/>
      </w:r>
    </w:p>
    <w:p w:rsidR="00CC0F90" w:rsidRDefault="00CC0F90" w:rsidP="00783869">
      <w:pPr>
        <w:rPr>
          <w:rFonts w:cs="Arial"/>
          <w:b/>
          <w:lang w:eastAsia="cs-CZ"/>
        </w:rPr>
      </w:pPr>
      <w:r>
        <w:rPr>
          <w:rFonts w:cs="Arial"/>
          <w:b/>
          <w:lang w:eastAsia="cs-CZ"/>
        </w:rPr>
        <w:lastRenderedPageBreak/>
        <w:t>ZVLÁŠTNÍ ČÁST</w:t>
      </w:r>
    </w:p>
    <w:p w:rsidR="00CC0F90" w:rsidRPr="00E958B8" w:rsidRDefault="00CC0F90" w:rsidP="00CC0F90">
      <w:pPr>
        <w:spacing w:before="240"/>
        <w:rPr>
          <w:b/>
        </w:rPr>
      </w:pPr>
      <w:r w:rsidRPr="00E958B8">
        <w:rPr>
          <w:b/>
        </w:rPr>
        <w:t>K </w:t>
      </w:r>
      <w:r>
        <w:rPr>
          <w:b/>
        </w:rPr>
        <w:t>§ 1</w:t>
      </w:r>
    </w:p>
    <w:p w:rsidR="00CC0F90" w:rsidRDefault="00CC0F90" w:rsidP="00CC0F90">
      <w:pPr>
        <w:spacing w:before="240"/>
      </w:pPr>
      <w:r w:rsidRPr="00F667A7">
        <w:t xml:space="preserve">V úvodním ustanovení </w:t>
      </w:r>
      <w:r>
        <w:t xml:space="preserve">zákona jsou vymezeny základní cíle a předmět navrhované právní úpravy a současně je odkazováno na předpisy Evropské unie, které jsou zákonem implementovány. </w:t>
      </w:r>
    </w:p>
    <w:p w:rsidR="00CC0F90" w:rsidRPr="00E958B8" w:rsidRDefault="00CC0F90" w:rsidP="00CC0F90">
      <w:pPr>
        <w:spacing w:before="240"/>
        <w:rPr>
          <w:b/>
        </w:rPr>
      </w:pPr>
      <w:r w:rsidRPr="00E958B8">
        <w:rPr>
          <w:b/>
        </w:rPr>
        <w:t>K </w:t>
      </w:r>
      <w:r>
        <w:rPr>
          <w:b/>
        </w:rPr>
        <w:t>§</w:t>
      </w:r>
      <w:r w:rsidRPr="00E958B8">
        <w:rPr>
          <w:b/>
        </w:rPr>
        <w:t xml:space="preserve"> </w:t>
      </w:r>
      <w:r>
        <w:rPr>
          <w:b/>
        </w:rPr>
        <w:t>2</w:t>
      </w:r>
    </w:p>
    <w:p w:rsidR="00CC0F90" w:rsidRDefault="00CC0F90" w:rsidP="00CC0F90">
      <w:pPr>
        <w:spacing w:before="240"/>
      </w:pPr>
      <w:r>
        <w:t xml:space="preserve">Ustanovení o působnosti zákona vymezuje jednak vybrané výrobky, na které se zákon vztahuje, a dále jeho vztah k současně předkládanému, novému zákonu o odpadech. </w:t>
      </w:r>
      <w:r w:rsidRPr="00097573">
        <w:t>Vybranými výrobky jsou</w:t>
      </w:r>
      <w:r>
        <w:t xml:space="preserve"> </w:t>
      </w:r>
      <w:r w:rsidRPr="00097573">
        <w:t>elektrická a</w:t>
      </w:r>
      <w:r>
        <w:t> </w:t>
      </w:r>
      <w:r w:rsidRPr="00097573">
        <w:t>elektronická zařízení (elektrozařízení)</w:t>
      </w:r>
      <w:r>
        <w:t>, b</w:t>
      </w:r>
      <w:r w:rsidRPr="00097573">
        <w:t>aterie a</w:t>
      </w:r>
      <w:r>
        <w:t> </w:t>
      </w:r>
      <w:r w:rsidRPr="00097573">
        <w:t>akumulátory</w:t>
      </w:r>
      <w:r>
        <w:t xml:space="preserve">, </w:t>
      </w:r>
      <w:r w:rsidRPr="00097573">
        <w:t>pneumatiky</w:t>
      </w:r>
      <w:r>
        <w:t xml:space="preserve"> a </w:t>
      </w:r>
      <w:r w:rsidRPr="00097573">
        <w:t>vozidla</w:t>
      </w:r>
      <w:r>
        <w:t xml:space="preserve">. Zákon se na ně vtahuje </w:t>
      </w:r>
      <w:r w:rsidRPr="00097573">
        <w:t>bez ohledu na jejich tvar, objem, hmotnost, materiálové složení, použití a</w:t>
      </w:r>
      <w:r>
        <w:t> </w:t>
      </w:r>
      <w:r w:rsidRPr="00097573">
        <w:t xml:space="preserve">značku a bez ohledu na to, zda jsou na trh uváděny samostatně nebo jako součást či příslušenství jiných výrobků, </w:t>
      </w:r>
      <w:r>
        <w:t xml:space="preserve">a to </w:t>
      </w:r>
      <w:r w:rsidRPr="00097573">
        <w:t xml:space="preserve">v celém jejich životním cyklu od jejich </w:t>
      </w:r>
      <w:r>
        <w:t xml:space="preserve">výroby a </w:t>
      </w:r>
      <w:r w:rsidRPr="00097573">
        <w:t>uvedení na trh až po zpracování odpadu z nich vzniklého.</w:t>
      </w:r>
      <w:r>
        <w:t xml:space="preserve"> Kdy se vybraný výrobek stává odpadem, se posuzuje dle obecné definice pojmu odpad upravené v zákoně o odpadech. Od tohoto okamžiku zákon hovoří o výrobku s ukončenou životností.</w:t>
      </w:r>
    </w:p>
    <w:p w:rsidR="00CC0F90" w:rsidRDefault="00CC0F90" w:rsidP="00CC0F90">
      <w:pPr>
        <w:spacing w:before="240"/>
      </w:pPr>
      <w:r w:rsidRPr="00697A68">
        <w:t>Zákon má ve vztahu k zákonu o odpadech postavení zvláštní právní normy a použije se přednostně. Zákon o odpadech se jako obecná právní norma použije</w:t>
      </w:r>
      <w:r>
        <w:t xml:space="preserve"> </w:t>
      </w:r>
      <w:r w:rsidRPr="00697A68">
        <w:t>při nakládání s výrobky s ukončenou životností</w:t>
      </w:r>
      <w:r>
        <w:t xml:space="preserve"> subsidiárně, tj. </w:t>
      </w:r>
      <w:r w:rsidRPr="00697A68">
        <w:t>nestanoví-li zákon o </w:t>
      </w:r>
      <w:r>
        <w:t xml:space="preserve">vybraných </w:t>
      </w:r>
      <w:r w:rsidRPr="00697A68">
        <w:t>výrobcích s ukončenou životností jinak.</w:t>
      </w:r>
    </w:p>
    <w:p w:rsidR="00CC0F90" w:rsidRDefault="00CC0F90" w:rsidP="00CC0F90">
      <w:pPr>
        <w:spacing w:before="240"/>
      </w:pPr>
      <w:r>
        <w:t>V souvislosti s možností přípravy k opětovnému použití některých výrobků s ukončenou životností či jejich částí se dále přímo odkazováno na zákon o odpadech, pokud jde o podmínky, za nichž odpad může přestat být odpadem.</w:t>
      </w:r>
    </w:p>
    <w:p w:rsidR="00CC0F90" w:rsidRPr="00E958B8" w:rsidRDefault="00CC0F90" w:rsidP="00CC0F90">
      <w:pPr>
        <w:spacing w:before="240"/>
        <w:rPr>
          <w:b/>
        </w:rPr>
      </w:pPr>
      <w:r w:rsidRPr="00E958B8">
        <w:rPr>
          <w:b/>
        </w:rPr>
        <w:t>K </w:t>
      </w:r>
      <w:r>
        <w:rPr>
          <w:b/>
        </w:rPr>
        <w:t>§</w:t>
      </w:r>
      <w:r w:rsidRPr="00E958B8">
        <w:rPr>
          <w:b/>
        </w:rPr>
        <w:t xml:space="preserve"> </w:t>
      </w:r>
      <w:r>
        <w:rPr>
          <w:b/>
        </w:rPr>
        <w:t>3</w:t>
      </w:r>
    </w:p>
    <w:p w:rsidR="00CC0F90" w:rsidRPr="00A719AD" w:rsidRDefault="00CC0F90" w:rsidP="00CC0F90">
      <w:pPr>
        <w:spacing w:before="240"/>
        <w:rPr>
          <w:u w:val="single"/>
        </w:rPr>
      </w:pPr>
      <w:r w:rsidRPr="00A719AD">
        <w:rPr>
          <w:u w:val="single"/>
        </w:rPr>
        <w:t xml:space="preserve">Elektrické nebo elektronické zařízení (elektrozařízení), baterie nebo akumulátor, pneumatika, vozidlo </w:t>
      </w:r>
    </w:p>
    <w:p w:rsidR="00CC0F90" w:rsidRDefault="00CC0F90" w:rsidP="00CC0F90">
      <w:pPr>
        <w:spacing w:before="240"/>
      </w:pPr>
      <w:r>
        <w:t xml:space="preserve">Ustanovení vymezující základní pojmy používané v zákoně definuje na prvním místě pojmy jednotlivých vybraných výrobků v souladu s příslušnými předpisy Evropské unie (směrnice </w:t>
      </w:r>
      <w:r w:rsidRPr="00E958B8">
        <w:t>2012/19/EU</w:t>
      </w:r>
      <w:r>
        <w:t xml:space="preserve">, pokud jde o elektrozařízení, a směrnice 2006/66/ES, pokud jde o baterie a akumulátory). Přestože dosavadní zákon o odpadech upravoval zpětný odběr použitých pneumatik, definice pneumatiky neobsahoval, proto je nyní tento pojem definován nově (oblast zpětného odběru pneumatik přitom není dosud regulována legislativou EU). Definici vozidla podle směrnice 2000/53/ES o vozidlech s ukončenou životností odpovídá vymezení pojmu vybrané vozidlo v hlavě III dílu 4, zatímco pojem vozidlo je definován šířeji v tom smyslu, že zákon se vztahuje na všechna </w:t>
      </w:r>
      <w:r w:rsidRPr="00DE10B8">
        <w:t>silniční motorov</w:t>
      </w:r>
      <w:r>
        <w:t>á</w:t>
      </w:r>
      <w:r w:rsidRPr="00DE10B8">
        <w:t xml:space="preserve"> vozidl</w:t>
      </w:r>
      <w:r>
        <w:t>a</w:t>
      </w:r>
      <w:r w:rsidRPr="00DE10B8">
        <w:t xml:space="preserve"> podle</w:t>
      </w:r>
      <w:r>
        <w:t xml:space="preserve"> z</w:t>
      </w:r>
      <w:r w:rsidRPr="001301C1">
        <w:t>ákon</w:t>
      </w:r>
      <w:r>
        <w:t>a</w:t>
      </w:r>
      <w:r w:rsidRPr="001301C1">
        <w:t xml:space="preserve"> č. 56/2001 Sb., o podmínkách provozu vozidel na pozemních komunikacích, ve znění pozdějších předpisů.</w:t>
      </w:r>
    </w:p>
    <w:p w:rsidR="00CC0F90" w:rsidRPr="00A719AD" w:rsidRDefault="00CC0F90" w:rsidP="00CC0F90">
      <w:pPr>
        <w:spacing w:before="240"/>
        <w:rPr>
          <w:u w:val="single"/>
        </w:rPr>
      </w:pPr>
      <w:r w:rsidRPr="00A719AD">
        <w:rPr>
          <w:u w:val="single"/>
        </w:rPr>
        <w:lastRenderedPageBreak/>
        <w:t>Odpadní elektrozařízení, odpadní baterie nebo akumulátor, odpadní pneumatika, vozidlo s ukončenou životností</w:t>
      </w:r>
    </w:p>
    <w:p w:rsidR="00CC0F90" w:rsidRDefault="00CC0F90" w:rsidP="00CC0F90">
      <w:pPr>
        <w:spacing w:before="240"/>
      </w:pPr>
      <w:r>
        <w:t xml:space="preserve">Dále jsou vymezeny pojmy odpadní elektrozařízení, odpadní baterie nebo akumulátor, odpadní pneumatika a vozidlo s ukončenou životností, a to tak, že jde o uvedené vybrané výrobky, které se staly odpadem (ve smyslu zákona o odpadech – viz výše). V případě odpadních elektrozařízení je v návaznosti na směrnici </w:t>
      </w:r>
      <w:r w:rsidRPr="00E958B8">
        <w:t>2012/19/EU</w:t>
      </w:r>
      <w:r>
        <w:t xml:space="preserve"> výslovně stanoveno, že odpadním elektrozařízením jsou i </w:t>
      </w:r>
      <w:r w:rsidRPr="00E44454">
        <w:t>všechny komponenty, konstrukční díly a spotřebních díly elektrozařízení.</w:t>
      </w:r>
      <w:r>
        <w:t xml:space="preserve"> Vzhledem k tomu, že v praxi činila obtíže aplikace ustanovení dosavadního zákona o odpadech umožňujícího provozovateli místa zpětného odběru odmítnout převzít nekompletní elektrozařízení, nový zákon již s touto možností nepočítá a zároveň neklade podmínku, aby za odpadní elektrozařízení byly považovány pouze komponenty a díly, které byly součástí elektrozařízení v okamžiku jeho vyřazení, což prakticky není možné prokázat.</w:t>
      </w:r>
    </w:p>
    <w:p w:rsidR="00CC0F90" w:rsidRPr="004B476F" w:rsidRDefault="00CC0F90" w:rsidP="00CC0F90">
      <w:pPr>
        <w:spacing w:before="240"/>
        <w:rPr>
          <w:u w:val="single"/>
        </w:rPr>
      </w:pPr>
      <w:r w:rsidRPr="004B476F">
        <w:rPr>
          <w:u w:val="single"/>
        </w:rPr>
        <w:t>Výrobce</w:t>
      </w:r>
    </w:p>
    <w:p w:rsidR="00CC0F90" w:rsidRDefault="00CC0F90" w:rsidP="00CC0F90">
      <w:pPr>
        <w:spacing w:before="240"/>
      </w:pPr>
      <w:r>
        <w:t>Zákon dále definuje pojmy výrobců jednotlivých vybraných výrobků a pojem výrobce, jímž se rozumí výrobce kteréhokoliv vybraného výrobku.</w:t>
      </w:r>
    </w:p>
    <w:p w:rsidR="00CC0F90" w:rsidRPr="00666438" w:rsidRDefault="00CC0F90" w:rsidP="00CC0F90">
      <w:pPr>
        <w:spacing w:before="240"/>
        <w:rPr>
          <w:u w:val="single"/>
        </w:rPr>
      </w:pPr>
      <w:r w:rsidRPr="00666438">
        <w:rPr>
          <w:u w:val="single"/>
        </w:rPr>
        <w:t>Výrobce elektrozařízení</w:t>
      </w:r>
    </w:p>
    <w:p w:rsidR="00CC0F90" w:rsidRDefault="00CC0F90" w:rsidP="00CC0F90">
      <w:pPr>
        <w:spacing w:before="240"/>
      </w:pPr>
      <w:r>
        <w:t>Pojem výrobce elektrozařízení je definován v souladu se směrnicí 2012/19/EU. S ohledem na tuto směrnici pojem výrobce elektrozařízení zahrnuje rovněž „</w:t>
      </w:r>
      <w:r w:rsidRPr="00EB16F9">
        <w:t>zahraniční internetové prodejce“, tj. osoby, které prodávají elektrozařízení prostřednictvím prostředků komunikace na dálku přímo konečným uživatelům do České republiky z jiného státu, kde jsou usazeny.</w:t>
      </w:r>
      <w:r>
        <w:t xml:space="preserve"> Kromě tohoto případu je výrobcem elektrozařízení vždy osoba usazená </w:t>
      </w:r>
      <w:r w:rsidRPr="00EB16F9">
        <w:t>v České republice</w:t>
      </w:r>
      <w:r>
        <w:t xml:space="preserve">, přičemž způsob prodeje elektrozařízení (prostřednictvím </w:t>
      </w:r>
      <w:r w:rsidRPr="00167857">
        <w:t>prostředků komunikace na dálku</w:t>
      </w:r>
      <w:r>
        <w:t xml:space="preserve"> nebo jinými způsoby) není rozhodující. Podnikatelem je třeba rozumět osobu uvedenou v § 420 občanského zákoníku. K definičnímu znaku usazení viz dále odůvodnění k pojmu </w:t>
      </w:r>
      <w:r w:rsidRPr="00047BF1">
        <w:t>osob</w:t>
      </w:r>
      <w:r>
        <w:t>a</w:t>
      </w:r>
      <w:r w:rsidRPr="00047BF1">
        <w:t xml:space="preserve"> usazen</w:t>
      </w:r>
      <w:r>
        <w:t>á</w:t>
      </w:r>
      <w:r w:rsidRPr="00047BF1">
        <w:t xml:space="preserve"> v členském státě</w:t>
      </w:r>
      <w:r>
        <w:t>.</w:t>
      </w:r>
    </w:p>
    <w:p w:rsidR="00CC0F90" w:rsidRDefault="00CC0F90" w:rsidP="00CC0F90">
      <w:pPr>
        <w:spacing w:before="240"/>
        <w:rPr>
          <w:bCs/>
        </w:rPr>
      </w:pPr>
      <w:r>
        <w:rPr>
          <w:bCs/>
        </w:rPr>
        <w:t xml:space="preserve">Při určení, kdo je výrobcem elektrozařízení, je nutné postupovat od bodu 1 k bodu 3 definice. Není-li výrobcem elektrozařízení osoba podle bodu 1, je třeba posoudit, zda jím není osoba podle bodu 2. Jestliže žádná osoba nesplňuje definiční znaky podle bodů 1 nebo 2, je výrobcem vždy osoba podle bodu 3, nejde-li o specifický, výše uvedený případ zahraničního internetového prodejce. </w:t>
      </w:r>
    </w:p>
    <w:p w:rsidR="00CC0F90" w:rsidRDefault="00CC0F90" w:rsidP="00CC0F90">
      <w:pPr>
        <w:spacing w:before="240"/>
        <w:rPr>
          <w:bCs/>
        </w:rPr>
      </w:pPr>
      <w:r>
        <w:rPr>
          <w:bCs/>
        </w:rPr>
        <w:t xml:space="preserve">Pokud by výjimečně nastala situace, že elektrozařízení v rámci své podnikatelské činnosti přepravuje do České republiky z jiné členské země EU osoba, kterou nelze považovat za usazenou v </w:t>
      </w:r>
      <w:r>
        <w:t xml:space="preserve">České republice, je výrobcem elektrozařízení v návaznosti na definici pojmu uvedení na trh </w:t>
      </w:r>
      <w:r w:rsidRPr="00EB16F9">
        <w:rPr>
          <w:bCs/>
        </w:rPr>
        <w:t xml:space="preserve">ten, kdo elektrozařízení </w:t>
      </w:r>
      <w:r>
        <w:rPr>
          <w:bCs/>
        </w:rPr>
        <w:t xml:space="preserve">od takové osoby </w:t>
      </w:r>
      <w:r w:rsidRPr="00EB16F9">
        <w:rPr>
          <w:bCs/>
        </w:rPr>
        <w:t xml:space="preserve">ze zahraničí nabyl </w:t>
      </w:r>
      <w:r>
        <w:rPr>
          <w:bCs/>
        </w:rPr>
        <w:t xml:space="preserve">za účelem další distribuce </w:t>
      </w:r>
      <w:r w:rsidRPr="00EB16F9">
        <w:rPr>
          <w:bCs/>
        </w:rPr>
        <w:t>(</w:t>
      </w:r>
      <w:r>
        <w:rPr>
          <w:bCs/>
        </w:rPr>
        <w:t>český prodejce</w:t>
      </w:r>
      <w:r w:rsidRPr="00EB16F9">
        <w:rPr>
          <w:bCs/>
        </w:rPr>
        <w:t>)</w:t>
      </w:r>
      <w:r>
        <w:rPr>
          <w:bCs/>
        </w:rPr>
        <w:t xml:space="preserve">. Soustavné dodávání elektrozařízení do České republiky přímo konečným uživatelům osobou, která není v </w:t>
      </w:r>
      <w:r>
        <w:t xml:space="preserve">České republice usazena, nelze předpokládat jinými způsoby, než za použití </w:t>
      </w:r>
      <w:r w:rsidRPr="00EB16F9">
        <w:t>prostředků komunikace na dálku</w:t>
      </w:r>
      <w:r>
        <w:t>.</w:t>
      </w:r>
    </w:p>
    <w:p w:rsidR="00CC0F90" w:rsidRDefault="00CC0F90" w:rsidP="00CC0F90">
      <w:pPr>
        <w:spacing w:before="240"/>
        <w:rPr>
          <w:bCs/>
        </w:rPr>
      </w:pPr>
      <w:r>
        <w:rPr>
          <w:bCs/>
        </w:rPr>
        <w:lastRenderedPageBreak/>
        <w:t xml:space="preserve">Vzhledem k tomu, že v případě výrobce elektrozařízení podle bodu 2 jde již o následné uvedení elektrozařízení do oběhu poté, co již bylo v </w:t>
      </w:r>
      <w:r>
        <w:t xml:space="preserve">České republice uvedeno na trh osobou, která je vyrobila (viz definice obou těchto pojmů), je stanoveno, </w:t>
      </w:r>
      <w:r>
        <w:rPr>
          <w:bCs/>
        </w:rPr>
        <w:t xml:space="preserve">že </w:t>
      </w:r>
      <w:r w:rsidRPr="00E53702">
        <w:t>uvedení elektrozařízení výrobcem do oběhu podle tohoto ustanovení se považuje pro účely tohoto zákona za jeho uvedení na trh</w:t>
      </w:r>
      <w:r>
        <w:t>. To má význam pro řadu povinností, které zákon výrobcům stanoví v souvislosti s uvedením vybraného výrobku na trh.</w:t>
      </w:r>
    </w:p>
    <w:p w:rsidR="00CC0F90" w:rsidRPr="00DB0643" w:rsidRDefault="00CC0F90" w:rsidP="00CC0F90">
      <w:pPr>
        <w:spacing w:before="240"/>
        <w:rPr>
          <w:u w:val="single"/>
        </w:rPr>
      </w:pPr>
      <w:r w:rsidRPr="00DB0643">
        <w:rPr>
          <w:u w:val="single"/>
        </w:rPr>
        <w:t xml:space="preserve">Výrobce baterií nebo akumulátorů </w:t>
      </w:r>
    </w:p>
    <w:p w:rsidR="00CC0F90" w:rsidRPr="00DB0643" w:rsidRDefault="00CC0F90" w:rsidP="00CC0F90">
      <w:pPr>
        <w:spacing w:before="240"/>
      </w:pPr>
      <w:r>
        <w:t xml:space="preserve">Pojem výrobce </w:t>
      </w:r>
      <w:r w:rsidRPr="00DB0643">
        <w:t xml:space="preserve">baterií nebo akumulátorů </w:t>
      </w:r>
      <w:r>
        <w:t xml:space="preserve">je definován v souladu se směrnicí 2006/66/ES. Výrobcem </w:t>
      </w:r>
      <w:r w:rsidRPr="00DB0643">
        <w:t>baterií nebo akumulátorů</w:t>
      </w:r>
      <w:r>
        <w:t xml:space="preserve"> může být rovněž výrobce vozidel, elektrozařízení </w:t>
      </w:r>
      <w:r w:rsidRPr="00DB0643">
        <w:t>nebo jiných výrobků</w:t>
      </w:r>
      <w:r>
        <w:t xml:space="preserve">, pokud jsou v nich </w:t>
      </w:r>
      <w:r w:rsidRPr="00DB0643">
        <w:t>baterie nebo akumulátory</w:t>
      </w:r>
      <w:r>
        <w:t xml:space="preserve"> zabudovány nebo k nim přiloženy. K pojmu podnikatel viz odůvodnění definice pojmu výrobce elektrozařízení.</w:t>
      </w:r>
    </w:p>
    <w:p w:rsidR="00CC0F90" w:rsidRPr="00DB0643" w:rsidRDefault="00CC0F90" w:rsidP="00CC0F90">
      <w:pPr>
        <w:spacing w:before="240"/>
      </w:pPr>
      <w:r w:rsidRPr="00DB0643">
        <w:rPr>
          <w:u w:val="single"/>
        </w:rPr>
        <w:t>Výrobce</w:t>
      </w:r>
      <w:r>
        <w:rPr>
          <w:u w:val="single"/>
        </w:rPr>
        <w:t xml:space="preserve"> pneumatik</w:t>
      </w:r>
    </w:p>
    <w:p w:rsidR="00CC0F90" w:rsidRDefault="00CC0F90" w:rsidP="00CC0F90">
      <w:pPr>
        <w:spacing w:before="240"/>
      </w:pPr>
      <w:r>
        <w:t>Obdobně jako v případě baterií</w:t>
      </w:r>
      <w:r w:rsidRPr="00DB0643">
        <w:t xml:space="preserve"> </w:t>
      </w:r>
      <w:r>
        <w:t xml:space="preserve">a akumulátorů může být výrobcem pneumatik rovněž podnikatel, který uvádí </w:t>
      </w:r>
      <w:r w:rsidRPr="00C17B00">
        <w:t>v rámci své podnikatelské činnosti</w:t>
      </w:r>
      <w:r>
        <w:t xml:space="preserve"> jiné výrobky (funkční celky, zpravidla půjde o automobily či jiná vozidla), </w:t>
      </w:r>
      <w:r w:rsidRPr="00C17B00">
        <w:t>jejichž součástí nebo příslušenstvím jsou pneumatiky</w:t>
      </w:r>
      <w:r>
        <w:t xml:space="preserve">. V reakci na běžnou praxi, které není důvod bránit, kdy výrobci automobilů vyvážejí či dodávají do zahraničí spolu s jimi vyrobenými vozy pneumatiky uvedené na trh v České republice, obsahuje definice výjimku v tom smyslu, že výrobcem pneumatik není </w:t>
      </w:r>
      <w:r w:rsidRPr="00C17B00">
        <w:t>osob</w:t>
      </w:r>
      <w:r>
        <w:t>a</w:t>
      </w:r>
      <w:r w:rsidRPr="00C17B00">
        <w:t>, která uvádí na trh pouze pneumatiky přímo určené k dalšímu uvedení na jakýkoliv jiný trh mimo Českou republiku jako součást či příslušenství funkčního celku</w:t>
      </w:r>
      <w:r>
        <w:t>. Z takových pneumatik se prokazatelně nestane na území České republiky odpad, a proto není zapotřebí, aby vůči nim byly plněny povinnosti výrobce. K pojmu podnikatel viz odůvodnění definice pojmu výrobce elektrozařízení.</w:t>
      </w:r>
    </w:p>
    <w:p w:rsidR="00CC0F90" w:rsidRDefault="00CC0F90" w:rsidP="00CC0F90">
      <w:pPr>
        <w:spacing w:before="240"/>
      </w:pPr>
      <w:r w:rsidRPr="00DB0643">
        <w:rPr>
          <w:u w:val="single"/>
        </w:rPr>
        <w:t>Výrobce</w:t>
      </w:r>
      <w:r>
        <w:rPr>
          <w:u w:val="single"/>
        </w:rPr>
        <w:t xml:space="preserve"> vozidel</w:t>
      </w:r>
    </w:p>
    <w:p w:rsidR="00CC0F90" w:rsidRDefault="00CC0F90" w:rsidP="00CC0F90">
      <w:pPr>
        <w:spacing w:before="240"/>
      </w:pPr>
      <w:r>
        <w:t>Vzhledem k tomu, že směrnice 2000/53/ES vymezuje výrobce pouze velmi obecně, definuje zákon pojem výrobce vozidel odkazem na z</w:t>
      </w:r>
      <w:r w:rsidRPr="001301C1">
        <w:t>ákon č. 56/2001 Sb., o podmínkách provozu vozidel na pozemních komunikacích, ve znění pozdějších předpisů</w:t>
      </w:r>
      <w:r>
        <w:t xml:space="preserve">, podle kterého lze vozidla uvádět na trh pouze za podmínky, že byla stanoveným postupem schválena jejich </w:t>
      </w:r>
      <w:r w:rsidRPr="00906EE2">
        <w:t>technická způsobilost.</w:t>
      </w:r>
      <w:r>
        <w:t xml:space="preserve"> Podle tohoto zákona se v</w:t>
      </w:r>
      <w:r w:rsidRPr="0090411A">
        <w:t xml:space="preserve">ýrobcem vozidla, systému vozidla, konstrukční části vozidla nebo samostatného technického celku vozidla </w:t>
      </w:r>
      <w:r>
        <w:t>rozumí</w:t>
      </w:r>
      <w:r w:rsidRPr="0090411A">
        <w:t xml:space="preserve"> osoba, která odpovídá za dodržení technických požadavků stanovených tímto z</w:t>
      </w:r>
      <w:r>
        <w:t>ákonem a podmínek stanovených v </w:t>
      </w:r>
      <w:r w:rsidRPr="0090411A">
        <w:t>rozhodnutí o schválení typu vozidla, systému vozidla, konstrukční části vozidla nebo samostatného technického celku vozidla a za zajištění shody vyráběných vozidel s typem vozidla, systému vozidla, konstrukční části vozidla, samostatného technického celku vozidla, jehož typ byl schválen.</w:t>
      </w:r>
      <w:r>
        <w:t xml:space="preserve"> </w:t>
      </w:r>
      <w:r w:rsidRPr="00D206D5">
        <w:t>Definice výrobce vozidel</w:t>
      </w:r>
      <w:r>
        <w:t xml:space="preserve"> podle navrhovaného zákona dále zahrnuje akreditovaného zástupce, kterého </w:t>
      </w:r>
      <w:r w:rsidRPr="00D206D5">
        <w:t xml:space="preserve">může </w:t>
      </w:r>
      <w:r>
        <w:t>podle z</w:t>
      </w:r>
      <w:r w:rsidRPr="001301C1">
        <w:t>ákon</w:t>
      </w:r>
      <w:r>
        <w:t>a</w:t>
      </w:r>
      <w:r w:rsidRPr="001301C1">
        <w:t xml:space="preserve"> o podmínkách provozu vozidel na pozemních komunikacích</w:t>
      </w:r>
      <w:r>
        <w:t xml:space="preserve"> </w:t>
      </w:r>
      <w:r w:rsidRPr="00D206D5">
        <w:t>pověřit</w:t>
      </w:r>
      <w:r>
        <w:t xml:space="preserve"> z</w:t>
      </w:r>
      <w:r w:rsidRPr="00D206D5">
        <w:t>ahraniční výrobce uváděním jím vyrobených vozidel na trh na území České republiky</w:t>
      </w:r>
      <w:r>
        <w:t xml:space="preserve"> a který </w:t>
      </w:r>
      <w:r w:rsidRPr="00D206D5">
        <w:t>vykonává svo</w:t>
      </w:r>
      <w:r>
        <w:t>ji činnost na základě povolení M</w:t>
      </w:r>
      <w:r w:rsidRPr="00D206D5">
        <w:t>inisterstva</w:t>
      </w:r>
      <w:r>
        <w:t xml:space="preserve"> dopravy.</w:t>
      </w:r>
    </w:p>
    <w:p w:rsidR="00CC0F90" w:rsidRPr="00F80C47" w:rsidRDefault="00CC0F90" w:rsidP="00CC0F90">
      <w:pPr>
        <w:spacing w:before="240"/>
        <w:rPr>
          <w:u w:val="single"/>
        </w:rPr>
      </w:pPr>
      <w:r w:rsidRPr="00F80C47">
        <w:rPr>
          <w:u w:val="single"/>
        </w:rPr>
        <w:lastRenderedPageBreak/>
        <w:t>Uvedení na trh, uvedení do oběhu</w:t>
      </w:r>
    </w:p>
    <w:p w:rsidR="00CC0F90" w:rsidRDefault="00CC0F90" w:rsidP="00CC0F90">
      <w:pPr>
        <w:spacing w:before="240"/>
      </w:pPr>
      <w:r>
        <w:t xml:space="preserve">Oproti dosavadnímu zákonu o odpadech se upouští od definičního znaku předání výrobku jiné osobě v České republice, s čímž byly spojeny určité výkladové obtíže. Jedná se v prvé řadě o výše popsanou situaci, kdy výrobek (elektrozařízení) přepraví do České republiky osoba, která zde není usazena, a výrobek zde předá jiné osobě. Použití výrazu „dodání </w:t>
      </w:r>
      <w:r w:rsidRPr="000D7DF6">
        <w:rPr>
          <w:iCs/>
        </w:rPr>
        <w:t>výrobku na území České republiky k distribuci, spotřebě nebo použití</w:t>
      </w:r>
      <w:r>
        <w:t xml:space="preserve">“ tuto situaci řeší, neboť za toho, kdo výrobek dodal, bude považován </w:t>
      </w:r>
      <w:r w:rsidRPr="00EB16F9">
        <w:rPr>
          <w:bCs/>
        </w:rPr>
        <w:t xml:space="preserve">ten, kdo </w:t>
      </w:r>
      <w:r>
        <w:rPr>
          <w:bCs/>
        </w:rPr>
        <w:t xml:space="preserve">ho od takové osoby </w:t>
      </w:r>
      <w:r w:rsidRPr="00EB16F9">
        <w:rPr>
          <w:bCs/>
        </w:rPr>
        <w:t xml:space="preserve">ze zahraničí nabyl </w:t>
      </w:r>
      <w:r>
        <w:rPr>
          <w:bCs/>
        </w:rPr>
        <w:t>za účelem další distribuce a je zde usazen</w:t>
      </w:r>
      <w:r>
        <w:t>. Dále bylo sporné, zda například solární panely, které si za účelem instalace ve vlastní solární elektrárně dovezl sám ze zahraničí její provozovatel, byly vůbec uvedeny na trh</w:t>
      </w:r>
      <w:r w:rsidRPr="00B02075">
        <w:t xml:space="preserve"> </w:t>
      </w:r>
      <w:r>
        <w:t>v České republice, což je podstatné pro plnění zákonem stanovených povinností, jestliže byly solární panely uvedeny na trh do dne 1. ledna 2013. Definice pojmů u</w:t>
      </w:r>
      <w:r w:rsidRPr="00B02075">
        <w:t>vedení na trh</w:t>
      </w:r>
      <w:r>
        <w:t xml:space="preserve"> a</w:t>
      </w:r>
      <w:r w:rsidRPr="00B02075">
        <w:t xml:space="preserve"> uvedení do oběhu</w:t>
      </w:r>
      <w:r>
        <w:t xml:space="preserve"> v neposlední řadě lépe korespondují s příslušnými ustanoveními směrnic </w:t>
      </w:r>
      <w:r w:rsidRPr="00E958B8">
        <w:t>2012/19/EU</w:t>
      </w:r>
      <w:r>
        <w:t xml:space="preserve"> a 2006/66/ES.</w:t>
      </w:r>
    </w:p>
    <w:p w:rsidR="00CC0F90" w:rsidRPr="00745D94" w:rsidRDefault="00CC0F90" w:rsidP="00CC0F90">
      <w:pPr>
        <w:spacing w:before="240"/>
        <w:rPr>
          <w:u w:val="single"/>
        </w:rPr>
      </w:pPr>
      <w:r>
        <w:rPr>
          <w:u w:val="single"/>
        </w:rPr>
        <w:t>Poslední prodejce</w:t>
      </w:r>
    </w:p>
    <w:p w:rsidR="00CC0F90" w:rsidRDefault="00CC0F90" w:rsidP="00CC0F90">
      <w:pPr>
        <w:spacing w:before="240"/>
      </w:pPr>
      <w:r>
        <w:t xml:space="preserve">Poslední prodejce představuje u vybraného výrobku poslední článek distribučního řetězce. Dodáním vybraného výrobku konečnému uživateli nemusí být jen prodej, ale například i pronájem formou leasingu apod. Není ani podstatné, zda jde o dodání v „kamenné prodejně“ nebo prostřednictvím </w:t>
      </w:r>
      <w:r w:rsidRPr="009E6438">
        <w:t>prostředků komunikace na dálku</w:t>
      </w:r>
      <w:r>
        <w:t xml:space="preserve"> (internetoví a podobní prodejci). Posledním prodejcem baterií nebo akumulátorů je rovněž např. prodejce automobilů nebo elektrozařízení se zabudovanými nebo přiloženými bateriemi a posledním prodejcem pneumatik např. prodejce automobilů.</w:t>
      </w:r>
    </w:p>
    <w:p w:rsidR="00CC0F90" w:rsidRPr="00745D94" w:rsidRDefault="00CC0F90" w:rsidP="00CC0F90">
      <w:pPr>
        <w:spacing w:before="240"/>
        <w:rPr>
          <w:u w:val="single"/>
        </w:rPr>
      </w:pPr>
      <w:r w:rsidRPr="00745D94">
        <w:rPr>
          <w:u w:val="single"/>
        </w:rPr>
        <w:t>Konečný uživatel</w:t>
      </w:r>
    </w:p>
    <w:p w:rsidR="00CC0F90" w:rsidRDefault="00CC0F90" w:rsidP="00CC0F90">
      <w:pPr>
        <w:spacing w:before="240"/>
      </w:pPr>
      <w:r>
        <w:t>Ve vztahu ke konečnému uživateli stanoví zákon některé povinnosti výrobců a posledních prodejců, a to zejména informační povinnosti a povinnosti zajistit zpětný odběr výrobků s ukončenou životností od konečného uživatele. Konečný uživatel je definován jako</w:t>
      </w:r>
      <w:r w:rsidRPr="00E224AD">
        <w:t xml:space="preserve"> osoba užívající vybraný výrobek před ukončením jeho životnosti a odevzdáním osobě oprávněné k jeho převzetí podle tohoto zákona</w:t>
      </w:r>
      <w:r>
        <w:t>. Neznamená to však, že například v případě plnění povinnosti zajistit zpětný odběr by měl výrobce zkoumat, zda osoba, která výrobek s ukončenou životností odevzdává, ho skutečně před ukončením jeho životnosti užívala. Konečným uživatelem je třeba rozumět každého, kdo měl vybraný výrobek před ukončením jeho životnosti u sebe a mohl ho užívat, a to bez ohledu na to, zda je jeho vlastníkem a zda ho skutečně používal či nikoliv. Konečným uživatelem však není ten, v jehož držení se stane odpadem vybraný výrobek, který je předmětem jeho podnikatelské činnosti spočívající v dodávání takových výrobků nebo služeb spojených s takovými výrobky.</w:t>
      </w:r>
    </w:p>
    <w:p w:rsidR="00CC0F90" w:rsidRPr="00BB0708" w:rsidRDefault="00CC0F90" w:rsidP="00CC0F90">
      <w:pPr>
        <w:spacing w:before="240"/>
        <w:rPr>
          <w:u w:val="single"/>
        </w:rPr>
      </w:pPr>
      <w:r w:rsidRPr="00BB0708">
        <w:rPr>
          <w:u w:val="single"/>
        </w:rPr>
        <w:t>Osoba usazená v členském státě</w:t>
      </w:r>
    </w:p>
    <w:p w:rsidR="00CC0F90" w:rsidRDefault="00CC0F90" w:rsidP="00CC0F90">
      <w:pPr>
        <w:spacing w:before="240"/>
      </w:pPr>
      <w:r w:rsidRPr="00EB16F9">
        <w:t>Za osobu usazenou v </w:t>
      </w:r>
      <w:r w:rsidRPr="00FC7B09">
        <w:t>členském státě</w:t>
      </w:r>
      <w:r w:rsidRPr="00EB16F9">
        <w:t xml:space="preserve"> je třeba ve světle práva EU (zejm. svoboda usazování podle čl. 49 Smlouvy o fungování EU a navazující sekundární legislativy a judikatury Soudního dvora EU) považovat </w:t>
      </w:r>
      <w:r w:rsidRPr="00EB16F9">
        <w:rPr>
          <w:bCs/>
        </w:rPr>
        <w:t xml:space="preserve">nejen právnickou nebo fyzickou osobu se sídlem na území </w:t>
      </w:r>
      <w:r>
        <w:lastRenderedPageBreak/>
        <w:t>členského státu</w:t>
      </w:r>
      <w:r w:rsidRPr="00EB16F9">
        <w:t xml:space="preserve"> </w:t>
      </w:r>
      <w:r>
        <w:t>(primární usazení, právnická osoba založená podle českého práva)</w:t>
      </w:r>
      <w:r w:rsidRPr="00EB16F9">
        <w:rPr>
          <w:bCs/>
        </w:rPr>
        <w:t>, ale i</w:t>
      </w:r>
      <w:r>
        <w:rPr>
          <w:bCs/>
        </w:rPr>
        <w:t> </w:t>
      </w:r>
      <w:r w:rsidRPr="00EB16F9">
        <w:rPr>
          <w:bCs/>
        </w:rPr>
        <w:t xml:space="preserve">každou osobu, která </w:t>
      </w:r>
      <w:r>
        <w:rPr>
          <w:bCs/>
        </w:rPr>
        <w:t xml:space="preserve">má </w:t>
      </w:r>
      <w:r w:rsidRPr="00743FE6">
        <w:t xml:space="preserve">na území </w:t>
      </w:r>
      <w:r>
        <w:t>daného</w:t>
      </w:r>
      <w:r w:rsidRPr="00743FE6">
        <w:t xml:space="preserve"> státu </w:t>
      </w:r>
      <w:r>
        <w:rPr>
          <w:bCs/>
        </w:rPr>
        <w:t xml:space="preserve">zřízenou </w:t>
      </w:r>
      <w:r w:rsidRPr="00743FE6">
        <w:rPr>
          <w:iCs/>
        </w:rPr>
        <w:t xml:space="preserve">organizační složku, pobočku, </w:t>
      </w:r>
      <w:r w:rsidRPr="00743FE6">
        <w:t>stálou provozovnu</w:t>
      </w:r>
      <w:r w:rsidRPr="00743FE6">
        <w:rPr>
          <w:iCs/>
        </w:rPr>
        <w:t xml:space="preserve"> nebo stálé zastoupení</w:t>
      </w:r>
      <w:r>
        <w:rPr>
          <w:iCs/>
        </w:rPr>
        <w:t xml:space="preserve"> </w:t>
      </w:r>
      <w:r>
        <w:rPr>
          <w:bCs/>
        </w:rPr>
        <w:t>(sekundární usazení).</w:t>
      </w:r>
    </w:p>
    <w:p w:rsidR="00CC0F90" w:rsidRPr="00BB0708" w:rsidRDefault="00CC0F90" w:rsidP="00CC0F90">
      <w:pPr>
        <w:spacing w:before="240"/>
        <w:rPr>
          <w:u w:val="single"/>
        </w:rPr>
      </w:pPr>
      <w:r w:rsidRPr="00BB0708">
        <w:rPr>
          <w:u w:val="single"/>
        </w:rPr>
        <w:t>Pojmy vymezené v zákon</w:t>
      </w:r>
      <w:r>
        <w:rPr>
          <w:u w:val="single"/>
        </w:rPr>
        <w:t>ě</w:t>
      </w:r>
      <w:r w:rsidRPr="00BB0708">
        <w:rPr>
          <w:u w:val="single"/>
        </w:rPr>
        <w:t xml:space="preserve"> o odpadech</w:t>
      </w:r>
    </w:p>
    <w:p w:rsidR="00CC0F90" w:rsidRDefault="00CC0F90" w:rsidP="00CC0F90">
      <w:pPr>
        <w:spacing w:before="240"/>
      </w:pPr>
      <w:r>
        <w:t>V navrhovaném zákoně se dále používají některé pojmy, které definuje současně předkládaný zákon o odpadech, jako například</w:t>
      </w:r>
      <w:r w:rsidRPr="00BB0708">
        <w:t xml:space="preserve"> příprava k opětovnému použití, nakládání s odpadem, </w:t>
      </w:r>
      <w:r>
        <w:t>soustřeďování</w:t>
      </w:r>
      <w:r w:rsidRPr="00BB0708">
        <w:t>, využití, recyklace nebo odstranění odpadu</w:t>
      </w:r>
      <w:r>
        <w:t xml:space="preserve"> aj. Vzhledem k tomu, že tyto pojmy by z důvodu provázanosti obou předpisů měly být vždy vykládány tak, jak vyplývá ze zákona o odpadech, přičemž v důsledku pozdějších novel může být jejich obsah pozměněn, navrhuje se stanovit, že pro </w:t>
      </w:r>
      <w:r w:rsidRPr="00BB0708">
        <w:t xml:space="preserve">účely tohoto zákona </w:t>
      </w:r>
      <w:r>
        <w:t xml:space="preserve">je těmto pojmům </w:t>
      </w:r>
      <w:r w:rsidRPr="00BB0708">
        <w:t>přikládán stejný význam jako podle zákona o odpadech.</w:t>
      </w:r>
    </w:p>
    <w:p w:rsidR="00CC0F90" w:rsidRPr="00E958B8" w:rsidRDefault="00CC0F90" w:rsidP="00CC0F90">
      <w:pPr>
        <w:spacing w:before="240"/>
        <w:rPr>
          <w:b/>
        </w:rPr>
      </w:pPr>
      <w:r w:rsidRPr="00E958B8">
        <w:rPr>
          <w:b/>
        </w:rPr>
        <w:t>K </w:t>
      </w:r>
      <w:r>
        <w:rPr>
          <w:b/>
        </w:rPr>
        <w:t>§</w:t>
      </w:r>
      <w:r w:rsidRPr="00E958B8">
        <w:rPr>
          <w:b/>
        </w:rPr>
        <w:t xml:space="preserve"> </w:t>
      </w:r>
      <w:r>
        <w:rPr>
          <w:b/>
        </w:rPr>
        <w:t>4</w:t>
      </w:r>
    </w:p>
    <w:p w:rsidR="00CC0F90" w:rsidRPr="00550D05" w:rsidRDefault="00CC0F90" w:rsidP="00CC0F90">
      <w:pPr>
        <w:spacing w:before="240"/>
      </w:pPr>
      <w:r>
        <w:t xml:space="preserve">Zákon stanoví povinnosti každého pro </w:t>
      </w:r>
      <w:r w:rsidRPr="00550D05">
        <w:t xml:space="preserve">předcházení vzniku odpadů z vybraných výrobků a </w:t>
      </w:r>
      <w:r>
        <w:t>při</w:t>
      </w:r>
      <w:r w:rsidRPr="00550D05">
        <w:t xml:space="preserve"> nakládání s výrobky s ukončenou životností</w:t>
      </w:r>
      <w:r>
        <w:t xml:space="preserve">, které mají spíše povahu obecných zásad než právně vynutitelných povinností. Tu mají až konkrétní povinnosti stanovené tímto zákonem, zákonem o odpadech </w:t>
      </w:r>
      <w:r w:rsidRPr="00550D05">
        <w:t>a jinými právními předpisy vydanými n</w:t>
      </w:r>
      <w:r>
        <w:t>a ochranu životního prostředí a </w:t>
      </w:r>
      <w:r w:rsidRPr="00550D05">
        <w:t>zdraví lidí</w:t>
      </w:r>
      <w:r>
        <w:t xml:space="preserve">. Pro nakládání s </w:t>
      </w:r>
      <w:r w:rsidRPr="00550D05">
        <w:t>výrobky s ukončenou životností</w:t>
      </w:r>
      <w:r>
        <w:t xml:space="preserve"> platí hierarchie způsobů nakládání s odpady tak, jak je stanovena zákonem o odpadech.</w:t>
      </w:r>
    </w:p>
    <w:p w:rsidR="00CC0F90" w:rsidRPr="00E958B8" w:rsidRDefault="00CC0F90" w:rsidP="00CC0F90">
      <w:pPr>
        <w:spacing w:before="240"/>
        <w:rPr>
          <w:b/>
        </w:rPr>
      </w:pPr>
      <w:r w:rsidRPr="00E958B8">
        <w:rPr>
          <w:b/>
        </w:rPr>
        <w:t>K </w:t>
      </w:r>
      <w:r>
        <w:rPr>
          <w:b/>
        </w:rPr>
        <w:t>§</w:t>
      </w:r>
      <w:r w:rsidRPr="00E958B8">
        <w:rPr>
          <w:b/>
        </w:rPr>
        <w:t xml:space="preserve"> </w:t>
      </w:r>
      <w:r>
        <w:rPr>
          <w:b/>
        </w:rPr>
        <w:t>5</w:t>
      </w:r>
    </w:p>
    <w:p w:rsidR="00CC0F90" w:rsidRDefault="00CC0F90" w:rsidP="00CC0F90">
      <w:pPr>
        <w:spacing w:before="240"/>
      </w:pPr>
      <w:r>
        <w:t>Zákon dále stanoví obecné povinnosti každého při zbavování se výrobku s</w:t>
      </w:r>
      <w:r w:rsidRPr="00387CC6">
        <w:t xml:space="preserve"> </w:t>
      </w:r>
      <w:r w:rsidRPr="00550D05">
        <w:t>ukončenou životností</w:t>
      </w:r>
      <w:r>
        <w:t xml:space="preserve">. Základní povinností každého, kdo </w:t>
      </w:r>
      <w:r w:rsidRPr="00387CC6">
        <w:t>se zbavuje výrobku s ukončenou životností,</w:t>
      </w:r>
      <w:r>
        <w:t xml:space="preserve"> je předat takový výrobek </w:t>
      </w:r>
      <w:r w:rsidRPr="00387CC6">
        <w:t>pouze osobě oprávněné k jeho převzetí podle tohoto zákona.</w:t>
      </w:r>
      <w:r>
        <w:t xml:space="preserve"> V případě elektrozařízení, baterií a akumulátorů a pneumatik, pro které jsou výrobci po ukončení jejich životnosti povinni vytvářet systémy zpětného odběru, určuje zákon osoby oprávněné k jejich převzetí v hlavě II (§ 12), některá specifická pravidla jsou stanovena rovněž v hlavě III. V případě vozidel s ukončenou životností, které nejsou předmětem zpětného odběru, určuje zákon osoby oprávněné k jejich převzetí v  hlavě III dílu 4 (§ 121).</w:t>
      </w:r>
    </w:p>
    <w:p w:rsidR="00CC0F90" w:rsidRDefault="00CC0F90" w:rsidP="00CC0F90">
      <w:pPr>
        <w:spacing w:before="240"/>
      </w:pPr>
      <w:r>
        <w:t xml:space="preserve">Zákon stanoví výjimku, kdy výrobek s ukončenou </w:t>
      </w:r>
      <w:r w:rsidRPr="00387CC6">
        <w:t xml:space="preserve">životností </w:t>
      </w:r>
      <w:r>
        <w:t xml:space="preserve">může být předán i jiné osobě, a to v případě, </w:t>
      </w:r>
      <w:r w:rsidRPr="00387CC6">
        <w:t xml:space="preserve">jde-li o předání nezbytného množství kusů pro </w:t>
      </w:r>
      <w:r w:rsidRPr="00387CC6">
        <w:rPr>
          <w:bCs/>
        </w:rPr>
        <w:t>účely vědy a výzkumu nebo předání sbírkového předmětu k muzejním účelům.</w:t>
      </w:r>
    </w:p>
    <w:p w:rsidR="00CC0F90" w:rsidRDefault="00CC0F90" w:rsidP="00CC0F90">
      <w:pPr>
        <w:spacing w:before="240"/>
      </w:pPr>
      <w:r>
        <w:t xml:space="preserve">Odpovědností každého, kdo předává </w:t>
      </w:r>
      <w:r w:rsidRPr="00387CC6">
        <w:t>výrobek s ukončenou životností</w:t>
      </w:r>
      <w:r>
        <w:t xml:space="preserve">, je zjistit, zda </w:t>
      </w:r>
      <w:r w:rsidRPr="00387CC6">
        <w:t>osoba, které výrobek s ukončenou životností</w:t>
      </w:r>
      <w:r w:rsidRPr="00324574">
        <w:t xml:space="preserve"> </w:t>
      </w:r>
      <w:r w:rsidRPr="00387CC6">
        <w:t>předává, je k jeho převzetí podle tohoto zákona oprávněna.</w:t>
      </w:r>
    </w:p>
    <w:p w:rsidR="00CC0F90" w:rsidRPr="00E958B8" w:rsidRDefault="00CC0F90" w:rsidP="00BD7946">
      <w:pPr>
        <w:keepNext/>
        <w:spacing w:before="240"/>
        <w:rPr>
          <w:b/>
        </w:rPr>
      </w:pPr>
      <w:r w:rsidRPr="00E958B8">
        <w:rPr>
          <w:b/>
        </w:rPr>
        <w:t>K </w:t>
      </w:r>
      <w:r>
        <w:rPr>
          <w:b/>
        </w:rPr>
        <w:t>§</w:t>
      </w:r>
      <w:r w:rsidRPr="00E958B8">
        <w:rPr>
          <w:b/>
        </w:rPr>
        <w:t xml:space="preserve"> </w:t>
      </w:r>
      <w:r>
        <w:rPr>
          <w:b/>
        </w:rPr>
        <w:t>6</w:t>
      </w:r>
    </w:p>
    <w:p w:rsidR="00CC0F90" w:rsidRDefault="00CC0F90" w:rsidP="00CC0F90">
      <w:pPr>
        <w:spacing w:before="240"/>
      </w:pPr>
      <w:r w:rsidRPr="00A4262B">
        <w:t xml:space="preserve">Prevence proti negativním dopadům odpadů z  výrobků s ukončenou životností směřuje v rámci životního cyklu výrobku i do fáze výroby. </w:t>
      </w:r>
      <w:r>
        <w:t xml:space="preserve">Povinnosti osob, které navrhují a vyrábějí </w:t>
      </w:r>
      <w:r>
        <w:lastRenderedPageBreak/>
        <w:t>vybrané výrobky, jsou zde koncipovány převážně jako obecné zásady směřující k p</w:t>
      </w:r>
      <w:r w:rsidRPr="001D5B23">
        <w:t>ředcházení vzniku odpadů</w:t>
      </w:r>
      <w:r>
        <w:t xml:space="preserve"> z vybraných výrobků, snižování jejich množství a nebezpečných vlastností a umožnění jejich efektivního využití, které neohrožuje zdraví lidí a je šetrné k životnímu prostředí. Zákon například stanoví, že vybrané výrobky musí být</w:t>
      </w:r>
      <w:r w:rsidRPr="00A4262B">
        <w:t xml:space="preserve"> navr</w:t>
      </w:r>
      <w:r>
        <w:t>ženy</w:t>
      </w:r>
      <w:r w:rsidRPr="00A4262B">
        <w:t xml:space="preserve"> a konstruov</w:t>
      </w:r>
      <w:r>
        <w:t>ány</w:t>
      </w:r>
      <w:r w:rsidRPr="00A4262B">
        <w:t xml:space="preserve"> tak, aby výro</w:t>
      </w:r>
      <w:r>
        <w:t xml:space="preserve">bky byly snadno demontovatelné a daly se </w:t>
      </w:r>
      <w:r w:rsidRPr="00A4262B">
        <w:t>z </w:t>
      </w:r>
      <w:r>
        <w:t>nich</w:t>
      </w:r>
      <w:r w:rsidRPr="00A4262B">
        <w:t xml:space="preserve"> snadno </w:t>
      </w:r>
      <w:r>
        <w:t>vyjmout</w:t>
      </w:r>
      <w:r w:rsidRPr="00A4262B">
        <w:t xml:space="preserve"> nebezpečné látky</w:t>
      </w:r>
      <w:r>
        <w:t xml:space="preserve">, </w:t>
      </w:r>
      <w:r w:rsidRPr="00493B78">
        <w:t xml:space="preserve">aby při jejich výrobě bylo použito co největší množství recyklovatelných materiálů či aby po ukončení jeho životnosti byla umožněna jejich recyklace nebo jiné využití. Konkrétní podmínky týkající se omezení nebezpečných látek a značení obsahu nebezpečných látek ve vybraných výrobcích </w:t>
      </w:r>
      <w:r>
        <w:t>jsou stanov</w:t>
      </w:r>
      <w:r w:rsidRPr="00493B78">
        <w:t>eny v </w:t>
      </w:r>
      <w:r>
        <w:t>hlavě III</w:t>
      </w:r>
      <w:r w:rsidRPr="00493B78">
        <w:t>.</w:t>
      </w:r>
    </w:p>
    <w:p w:rsidR="00CC0F90" w:rsidRPr="00E958B8" w:rsidRDefault="00CC0F90" w:rsidP="00CC0F90">
      <w:pPr>
        <w:spacing w:before="240"/>
        <w:rPr>
          <w:b/>
        </w:rPr>
      </w:pPr>
      <w:r w:rsidRPr="00E958B8">
        <w:rPr>
          <w:b/>
        </w:rPr>
        <w:t>K </w:t>
      </w:r>
      <w:r>
        <w:rPr>
          <w:b/>
        </w:rPr>
        <w:t>§</w:t>
      </w:r>
      <w:r w:rsidRPr="00E958B8">
        <w:rPr>
          <w:b/>
        </w:rPr>
        <w:t xml:space="preserve"> </w:t>
      </w:r>
      <w:r>
        <w:rPr>
          <w:b/>
        </w:rPr>
        <w:t>7</w:t>
      </w:r>
    </w:p>
    <w:p w:rsidR="00CC0F90" w:rsidRDefault="00CC0F90" w:rsidP="00CC0F90">
      <w:pPr>
        <w:spacing w:before="240"/>
      </w:pPr>
      <w:r>
        <w:t xml:space="preserve">Zákon stanoví v hlavě I obecně povinnost výrobce </w:t>
      </w:r>
      <w:r w:rsidRPr="00C565DA">
        <w:t xml:space="preserve">uvádět na trh pouze </w:t>
      </w:r>
      <w:r>
        <w:t xml:space="preserve">takové </w:t>
      </w:r>
      <w:r w:rsidRPr="00C565DA">
        <w:t>vybrané výrobky, které splňují požadavky</w:t>
      </w:r>
      <w:r>
        <w:t xml:space="preserve"> tohoto zákona. Ty jsou stanoveny pro jednotlivé druhy vybraných výrobků v hlavě III. Při tom nejsou dotčeny </w:t>
      </w:r>
      <w:r w:rsidRPr="00C565DA">
        <w:t xml:space="preserve">požadavky </w:t>
      </w:r>
      <w:r>
        <w:t xml:space="preserve">zvláštních </w:t>
      </w:r>
      <w:r w:rsidRPr="00C565DA">
        <w:t>právních předpisů na ochranu životního prostředí a veřejného zdraví</w:t>
      </w:r>
      <w:r>
        <w:t>,</w:t>
      </w:r>
      <w:r w:rsidRPr="00C565DA">
        <w:t xml:space="preserve"> technické požadavky na výrobky </w:t>
      </w:r>
      <w:r>
        <w:t xml:space="preserve">a jejich bezpečnost </w:t>
      </w:r>
      <w:r w:rsidRPr="00C565DA">
        <w:t>podle zvláštních právních předpisů</w:t>
      </w:r>
      <w:r>
        <w:t xml:space="preserve"> (například zákon </w:t>
      </w:r>
      <w:r w:rsidRPr="00C565DA">
        <w:t>o technických požadavcích na výrobky</w:t>
      </w:r>
      <w:r>
        <w:t xml:space="preserve">, zákon </w:t>
      </w:r>
      <w:r w:rsidRPr="00C565DA">
        <w:t>o obecné bezpečnosti výrobků</w:t>
      </w:r>
      <w:r>
        <w:t>,</w:t>
      </w:r>
      <w:r w:rsidRPr="00C565DA">
        <w:t xml:space="preserve"> nařízení vlády o omezení používání některých nebezpečných látek v elektrických a elektronických zařízeních</w:t>
      </w:r>
      <w:r>
        <w:t xml:space="preserve"> aj.) a </w:t>
      </w:r>
      <w:r w:rsidRPr="001A1E63">
        <w:t>požadavky na ekodesign výrobků spojených se spotřebou energie</w:t>
      </w:r>
      <w:r>
        <w:t xml:space="preserve">. Dále je stanovena obecná informační povinnost vůči konečným uživatelům, pokud jde o informace o </w:t>
      </w:r>
      <w:r w:rsidRPr="00B71683">
        <w:t>způsobu sběru výrobku s ukončenou životností</w:t>
      </w:r>
      <w:r>
        <w:t xml:space="preserve">, které mohou být obsaženy například v </w:t>
      </w:r>
      <w:r w:rsidRPr="00B71683">
        <w:t>průvodní dokumentaci výrobku, na obalu</w:t>
      </w:r>
      <w:r>
        <w:t xml:space="preserve"> či</w:t>
      </w:r>
      <w:r w:rsidRPr="00B71683">
        <w:t xml:space="preserve"> v návodu k</w:t>
      </w:r>
      <w:r>
        <w:t> </w:t>
      </w:r>
      <w:r w:rsidRPr="00B71683">
        <w:t>použití</w:t>
      </w:r>
      <w:r>
        <w:t>. Další informační povinnosti výrobců stanoví zákon v hlavě III.</w:t>
      </w:r>
    </w:p>
    <w:p w:rsidR="00CC0F90" w:rsidRPr="00E958B8" w:rsidRDefault="00CC0F90" w:rsidP="00CC0F90">
      <w:pPr>
        <w:spacing w:before="240"/>
        <w:rPr>
          <w:b/>
        </w:rPr>
      </w:pPr>
      <w:r w:rsidRPr="00E958B8">
        <w:rPr>
          <w:b/>
        </w:rPr>
        <w:t>K </w:t>
      </w:r>
      <w:r>
        <w:rPr>
          <w:b/>
        </w:rPr>
        <w:t>§</w:t>
      </w:r>
      <w:r w:rsidRPr="00E958B8">
        <w:rPr>
          <w:b/>
        </w:rPr>
        <w:t xml:space="preserve"> </w:t>
      </w:r>
      <w:r>
        <w:rPr>
          <w:b/>
        </w:rPr>
        <w:t>8</w:t>
      </w:r>
    </w:p>
    <w:p w:rsidR="00CC0F90" w:rsidRDefault="00CC0F90" w:rsidP="00CC0F90">
      <w:pPr>
        <w:spacing w:before="240"/>
      </w:pPr>
      <w:r>
        <w:t xml:space="preserve">Věcná působnost celé hlavy II je omezena pouze na </w:t>
      </w:r>
      <w:r w:rsidRPr="0075325D">
        <w:t>odpadní elektrozařízení, odpadní baterie nebo akumulátory a odpadní pneumatiky</w:t>
      </w:r>
      <w:r>
        <w:t>, resp. jsou z ní vyňata vozidla s ukončenou životností, neboť v jejich případě se neuplatňuje koncept zpětného odběru založený na principu rozšířené odpovědnosti výrobce. Předmětem úpravy hlavy II jsou tedy práva a </w:t>
      </w:r>
      <w:r w:rsidRPr="0075325D">
        <w:t xml:space="preserve">povinnosti výrobců a dalších osob </w:t>
      </w:r>
      <w:r>
        <w:t>při</w:t>
      </w:r>
      <w:r w:rsidRPr="0075325D">
        <w:t xml:space="preserve"> zpětné</w:t>
      </w:r>
      <w:r>
        <w:t>m</w:t>
      </w:r>
      <w:r w:rsidRPr="0075325D">
        <w:t xml:space="preserve"> odběru</w:t>
      </w:r>
      <w:r>
        <w:t xml:space="preserve"> </w:t>
      </w:r>
      <w:r w:rsidRPr="0075325D">
        <w:t>odpadní</w:t>
      </w:r>
      <w:r>
        <w:t>ch</w:t>
      </w:r>
      <w:r w:rsidRPr="0075325D">
        <w:t xml:space="preserve"> elektrozařízení, odpadní</w:t>
      </w:r>
      <w:r>
        <w:t>ch</w:t>
      </w:r>
      <w:r w:rsidRPr="0075325D">
        <w:t xml:space="preserve"> bateri</w:t>
      </w:r>
      <w:r>
        <w:t>í</w:t>
      </w:r>
      <w:r w:rsidRPr="0075325D">
        <w:t xml:space="preserve"> </w:t>
      </w:r>
      <w:r>
        <w:t>a</w:t>
      </w:r>
      <w:r w:rsidRPr="0075325D">
        <w:t xml:space="preserve"> akumulátor</w:t>
      </w:r>
      <w:r>
        <w:t>ů</w:t>
      </w:r>
      <w:r w:rsidRPr="0075325D">
        <w:t xml:space="preserve"> a odpadní</w:t>
      </w:r>
      <w:r>
        <w:t xml:space="preserve">ch pneumatik, </w:t>
      </w:r>
      <w:r w:rsidRPr="0075325D">
        <w:t>některá další navazující práva a</w:t>
      </w:r>
      <w:r>
        <w:t> povinnosti a </w:t>
      </w:r>
      <w:r w:rsidRPr="0075325D">
        <w:t>způsob plnění povinností výrobců stanovených tímto zákonem</w:t>
      </w:r>
      <w:r>
        <w:t xml:space="preserve"> (individuální nebo kolektivní). Používá-li zákon v této hlavě pojem výrobce, je tím míněn výrobce </w:t>
      </w:r>
      <w:r w:rsidRPr="0075325D">
        <w:t>elektrozařízení, výrobce baterií nebo akumulátorů nebo výrobce pneumatik</w:t>
      </w:r>
      <w:r>
        <w:t xml:space="preserve"> (nikoliv tedy výrobce vozidel).</w:t>
      </w:r>
    </w:p>
    <w:p w:rsidR="00CC0F90" w:rsidRPr="00E958B8" w:rsidRDefault="00CC0F90" w:rsidP="00CC0F90">
      <w:pPr>
        <w:spacing w:before="240"/>
        <w:rPr>
          <w:b/>
        </w:rPr>
      </w:pPr>
      <w:r w:rsidRPr="00E958B8">
        <w:rPr>
          <w:b/>
        </w:rPr>
        <w:t>K </w:t>
      </w:r>
      <w:r>
        <w:rPr>
          <w:b/>
        </w:rPr>
        <w:t>§</w:t>
      </w:r>
      <w:r w:rsidRPr="00E958B8">
        <w:rPr>
          <w:b/>
        </w:rPr>
        <w:t xml:space="preserve"> </w:t>
      </w:r>
      <w:r>
        <w:rPr>
          <w:b/>
        </w:rPr>
        <w:t>9</w:t>
      </w:r>
    </w:p>
    <w:p w:rsidR="00CC0F90" w:rsidRPr="00036994" w:rsidRDefault="00CC0F90" w:rsidP="00CC0F90">
      <w:pPr>
        <w:spacing w:before="240"/>
      </w:pPr>
      <w:r w:rsidRPr="00036994">
        <w:t>Zjednodušený odpadový režim</w:t>
      </w:r>
      <w:r>
        <w:t xml:space="preserve"> spočívá v omezení povinností při nakládání s odpady, pokud jde o </w:t>
      </w:r>
      <w:r w:rsidRPr="000C3FF7">
        <w:t>nakládání s výrobky s ukončenou životností</w:t>
      </w:r>
      <w:r>
        <w:t xml:space="preserve"> ve fázi od jejich </w:t>
      </w:r>
      <w:r w:rsidRPr="000C3FF7">
        <w:t xml:space="preserve">zpětného odběru do okamžiku jejich předání </w:t>
      </w:r>
      <w:r>
        <w:t>zpracovateli</w:t>
      </w:r>
      <w:r w:rsidRPr="000C3FF7">
        <w:t xml:space="preserve"> nebo k přeshraniční přepravě podle přímo použitelného předpisu Evropské unie o přepravě odpadů</w:t>
      </w:r>
      <w:r>
        <w:t>. V této fázi nakládání s </w:t>
      </w:r>
      <w:r w:rsidRPr="000C3FF7">
        <w:t>výrobky s ukončenou životností</w:t>
      </w:r>
      <w:r>
        <w:t xml:space="preserve"> se odchylně od § 2 odst. 4 nepoužije zákon o odpadech, ale pouze zákon </w:t>
      </w:r>
      <w:r>
        <w:lastRenderedPageBreak/>
        <w:t xml:space="preserve">o vybraných </w:t>
      </w:r>
      <w:r w:rsidRPr="000C3FF7">
        <w:t>výrob</w:t>
      </w:r>
      <w:r>
        <w:t>cích</w:t>
      </w:r>
      <w:r w:rsidRPr="000C3FF7">
        <w:t xml:space="preserve"> s ukončenou životností</w:t>
      </w:r>
      <w:r>
        <w:t xml:space="preserve">. Koncept </w:t>
      </w:r>
      <w:r w:rsidRPr="00A87016">
        <w:t>zjednodušené</w:t>
      </w:r>
      <w:r>
        <w:t>ho</w:t>
      </w:r>
      <w:r w:rsidRPr="00A87016">
        <w:t xml:space="preserve"> odpadové</w:t>
      </w:r>
      <w:r>
        <w:t>ho</w:t>
      </w:r>
      <w:r w:rsidRPr="00A87016">
        <w:t xml:space="preserve"> režimu</w:t>
      </w:r>
      <w:r>
        <w:t xml:space="preserve"> nahradí pravidlo upravené v dosavadním zákoně o odpadech, podle něhož se zpětně odebraný výrobek stal odpadem až ve chvíli předání osobě oprávněné k jeho využití nebo odstranění, což ovšem může být považováno za problematické ve vztahu k právu Evropské unie (zejména směrnice 2008/98/ES o odpadech a o zrušení některých směrnic).</w:t>
      </w:r>
    </w:p>
    <w:p w:rsidR="00CC0F90" w:rsidRDefault="00CC0F90" w:rsidP="00CC0F90">
      <w:pPr>
        <w:spacing w:before="240"/>
      </w:pPr>
      <w:r>
        <w:t xml:space="preserve">Smyslem </w:t>
      </w:r>
      <w:r w:rsidRPr="00A87016">
        <w:t>zjednodušené</w:t>
      </w:r>
      <w:r>
        <w:t>ho</w:t>
      </w:r>
      <w:r w:rsidRPr="00A87016">
        <w:t xml:space="preserve"> odpadové</w:t>
      </w:r>
      <w:r>
        <w:t>ho</w:t>
      </w:r>
      <w:r w:rsidRPr="00A87016">
        <w:t xml:space="preserve"> režimu</w:t>
      </w:r>
      <w:r>
        <w:t xml:space="preserve"> je umožnit výrobcům zpětný odběr výrobků s </w:t>
      </w:r>
      <w:r w:rsidRPr="000C3FF7">
        <w:t>ukončenou životností</w:t>
      </w:r>
      <w:r>
        <w:t xml:space="preserve"> prostřednictvím co </w:t>
      </w:r>
      <w:r w:rsidRPr="00681233">
        <w:t>nejširší sítě míst zpětného odběru</w:t>
      </w:r>
      <w:r>
        <w:t xml:space="preserve"> bez nadměrné zátěže v podobě některých povinností při nakládání s odpady. K tomu je třeba, aby místa zpětného odběru mohla být výrobci zřizována například též na úřadech, v prodejnách, ve školách či v podobě sběrných boxů apod., tedy nikoliv vždy jako standardní zařízení určené pro nakládání s odpady splňující všechny požadavky stanovené zákonem o odpadech. </w:t>
      </w:r>
      <w:r w:rsidRPr="00A87016">
        <w:t>Ve zjednodušeném odpadovém režimu</w:t>
      </w:r>
      <w:r>
        <w:t xml:space="preserve"> tedy především nebudou místa zpětného odběru podléhat povolení k provozu zařízení určeného pro nakládání s odpady podle zákona o odpadech, nebude třeba zařazovat zpětně odebrané </w:t>
      </w:r>
      <w:r w:rsidRPr="000C3FF7">
        <w:t>výrobky s ukončenou životností</w:t>
      </w:r>
      <w:r>
        <w:t xml:space="preserve"> </w:t>
      </w:r>
      <w:r w:rsidRPr="00A87016">
        <w:t xml:space="preserve">podle Katalogu odpadů a </w:t>
      </w:r>
      <w:r>
        <w:t xml:space="preserve">do </w:t>
      </w:r>
      <w:r w:rsidRPr="00A87016">
        <w:t>kategorií nebezpečný a ostatní odpad</w:t>
      </w:r>
      <w:r>
        <w:t xml:space="preserve">, nebude vyžadováno vedení průběžné </w:t>
      </w:r>
      <w:r w:rsidRPr="00A87016">
        <w:t>evidenc</w:t>
      </w:r>
      <w:r>
        <w:t>e</w:t>
      </w:r>
      <w:r w:rsidRPr="00A87016">
        <w:t xml:space="preserve"> odpadů a zasíl</w:t>
      </w:r>
      <w:r>
        <w:t>ání</w:t>
      </w:r>
      <w:r w:rsidRPr="00A87016">
        <w:t xml:space="preserve"> hlášení o odpadech a zařízeních </w:t>
      </w:r>
      <w:r>
        <w:t>určených pro</w:t>
      </w:r>
      <w:r w:rsidRPr="00A87016">
        <w:t> nakládání s</w:t>
      </w:r>
      <w:r>
        <w:t> </w:t>
      </w:r>
      <w:r w:rsidRPr="00A87016">
        <w:t>odpady</w:t>
      </w:r>
      <w:r>
        <w:t xml:space="preserve"> a neuplatní se povinnosti stanovené zákonem o odpadech při (vnitrostátní) přepravě odpadů.</w:t>
      </w:r>
    </w:p>
    <w:p w:rsidR="00CC0F90" w:rsidRPr="00C8679D" w:rsidRDefault="00CC0F90" w:rsidP="00CC0F90">
      <w:pPr>
        <w:spacing w:before="240"/>
      </w:pPr>
      <w:r>
        <w:t xml:space="preserve">To však neznamená, že nakládání se zpětně odebranými </w:t>
      </w:r>
      <w:r w:rsidRPr="000C3FF7">
        <w:t>výrobky s ukončenou životností</w:t>
      </w:r>
      <w:r>
        <w:t xml:space="preserve"> ve zjednodušeném odpadovém režimu zůstane bez jakékoliv zákonné regulace. Zákon stanoví v rámci zjednodušeného odpadového režimu povinnosti osob při zpětném odběru a následném nakládání s </w:t>
      </w:r>
      <w:r w:rsidRPr="000C3FF7">
        <w:t>výrobky s ukončenou životností</w:t>
      </w:r>
      <w:r>
        <w:t xml:space="preserve"> včetně (vnitrostátní) přepravy v § 15. Zdůraznit je třeba zejména povinnost nakládat se zpětně odebranými </w:t>
      </w:r>
      <w:r w:rsidRPr="000C3FF7">
        <w:t>výrobky s ukončenou životností</w:t>
      </w:r>
      <w:r>
        <w:t xml:space="preserve"> odděleně od </w:t>
      </w:r>
      <w:r w:rsidRPr="00C8679D">
        <w:rPr>
          <w:bCs/>
        </w:rPr>
        <w:t>ostatních druhů odpadů</w:t>
      </w:r>
      <w:r>
        <w:rPr>
          <w:bCs/>
        </w:rPr>
        <w:t xml:space="preserve"> a tak, aby v nich případně obsažené nebezpečné látky neunikly do životního prostředí, a zákaz tyto výrobky </w:t>
      </w:r>
      <w:r w:rsidRPr="00C8679D">
        <w:t>rozebírat nebo do nich jinak zasahovat</w:t>
      </w:r>
      <w:r>
        <w:t>.</w:t>
      </w:r>
    </w:p>
    <w:p w:rsidR="00CC0F90" w:rsidRDefault="00CC0F90" w:rsidP="00CC0F90">
      <w:pPr>
        <w:spacing w:before="240"/>
      </w:pPr>
      <w:r>
        <w:t xml:space="preserve">Povinnosti stanovené zákonem o odpadech pro nakládání s odpady se tedy při nakládání se zpětně odebranými </w:t>
      </w:r>
      <w:r w:rsidRPr="000C3FF7">
        <w:t>výrobky s ukončenou životností</w:t>
      </w:r>
      <w:r>
        <w:t xml:space="preserve"> uplatní až v okamžiku jejich předání zpracovateli</w:t>
      </w:r>
      <w:r w:rsidRPr="000C3FF7">
        <w:t xml:space="preserve"> nebo k přeshraniční přepravě podle </w:t>
      </w:r>
      <w:r>
        <w:t>nařízení (</w:t>
      </w:r>
      <w:r w:rsidRPr="007B69A3">
        <w:t>ES) č.</w:t>
      </w:r>
      <w:r>
        <w:t> </w:t>
      </w:r>
      <w:r w:rsidRPr="007B69A3">
        <w:t>1013/2006 o přepravě odpadů</w:t>
      </w:r>
      <w:r>
        <w:t xml:space="preserve">. Zároveň je třeba uvést, že dokud </w:t>
      </w:r>
      <w:r w:rsidRPr="000C3FF7">
        <w:t>výrob</w:t>
      </w:r>
      <w:r>
        <w:t>e</w:t>
      </w:r>
      <w:r w:rsidRPr="000C3FF7">
        <w:t>k s ukončenou životností</w:t>
      </w:r>
      <w:r>
        <w:t xml:space="preserve"> není předán ke zpětnému odběru nebo nebyl-li vůbec ke zpětnému odběru předán (zákon umožňuje v některých případech odevzdání výrobků s ukončenou životností mimo systémy zpětného odběru), aplikace zákona o odpadech vyloučena není. Ten se v takových případech použije vždy, neobsahuje-li zákon o vybraných výrobcích s ukončenou životností odchylnou úpravu.</w:t>
      </w:r>
    </w:p>
    <w:p w:rsidR="00CC0F90" w:rsidRDefault="00CC0F90" w:rsidP="00CC0F90">
      <w:pPr>
        <w:spacing w:before="240"/>
      </w:pPr>
      <w:r>
        <w:t xml:space="preserve">Za účelem zamezení zneužívání zjednodušeného odpadového režimu k nezákonnému nakládání </w:t>
      </w:r>
      <w:r w:rsidRPr="000C3FF7">
        <w:t>s výrobky s ukončenou životností</w:t>
      </w:r>
      <w:r>
        <w:t xml:space="preserve"> odstavec 2 stanoví, že omezení </w:t>
      </w:r>
      <w:r w:rsidRPr="000C3FF7">
        <w:t>použití zákona o</w:t>
      </w:r>
      <w:r>
        <w:t> </w:t>
      </w:r>
      <w:r w:rsidRPr="000C3FF7">
        <w:t>odpadech</w:t>
      </w:r>
      <w:r>
        <w:t xml:space="preserve"> </w:t>
      </w:r>
      <w:r w:rsidRPr="000C3FF7">
        <w:t>se nemůže dovolávat ten, kdo nakládá s výrobky s ukončenou životností v rozporu s tímto zákonem.</w:t>
      </w:r>
    </w:p>
    <w:p w:rsidR="00CC0F90" w:rsidRDefault="00CC0F90" w:rsidP="00CC0F90">
      <w:pPr>
        <w:spacing w:before="240"/>
      </w:pPr>
      <w:r w:rsidRPr="000C3FF7">
        <w:t>Výrobky s ukončenou životností</w:t>
      </w:r>
      <w:r>
        <w:t xml:space="preserve"> by ve fázi zjednodušeného odpadového režimu neměly být započítávány </w:t>
      </w:r>
      <w:r w:rsidRPr="000C3FF7">
        <w:t>do objemu produkce a nakládání s odpady, který je rozhodný pro plnění ohlašovacích povinností podle zákona o odpadech</w:t>
      </w:r>
      <w:r>
        <w:t xml:space="preserve">. To má význam tehdy, jestliže osoba, která </w:t>
      </w:r>
      <w:r>
        <w:lastRenderedPageBreak/>
        <w:t xml:space="preserve">takto se zpětně odebranými </w:t>
      </w:r>
      <w:r w:rsidRPr="000C3FF7">
        <w:t>výrobky s ukončenou životností</w:t>
      </w:r>
      <w:r>
        <w:t xml:space="preserve"> nakládá, je kromě toho původcem jiných odpadů nebo nakládá i s jinými odpady.</w:t>
      </w:r>
    </w:p>
    <w:p w:rsidR="00CC0F90" w:rsidRPr="00E958B8" w:rsidRDefault="00CC0F90" w:rsidP="00BD7946">
      <w:pPr>
        <w:keepNext/>
        <w:spacing w:before="240"/>
        <w:rPr>
          <w:b/>
        </w:rPr>
      </w:pPr>
      <w:r w:rsidRPr="00E958B8">
        <w:rPr>
          <w:b/>
        </w:rPr>
        <w:t>K </w:t>
      </w:r>
      <w:r>
        <w:rPr>
          <w:b/>
        </w:rPr>
        <w:t>§</w:t>
      </w:r>
      <w:r w:rsidRPr="00E958B8">
        <w:rPr>
          <w:b/>
        </w:rPr>
        <w:t xml:space="preserve"> </w:t>
      </w:r>
      <w:r>
        <w:rPr>
          <w:b/>
        </w:rPr>
        <w:t>10</w:t>
      </w:r>
    </w:p>
    <w:p w:rsidR="00CC0F90" w:rsidRDefault="00CC0F90" w:rsidP="00CC0F90">
      <w:pPr>
        <w:spacing w:before="240"/>
      </w:pPr>
      <w:r>
        <w:t xml:space="preserve">Zákon přebírá institut pověřeného zástupce, který již byl upraven v dosavadním zákoně o odpadech pro zpětný odběr elektrozařízení. Pověřeného zástupce si může určit </w:t>
      </w:r>
      <w:r w:rsidRPr="00CF17D5">
        <w:t>za účelem plnění povinností stanovených tímto zákonem</w:t>
      </w:r>
      <w:r w:rsidRPr="00F94B77">
        <w:t xml:space="preserve"> </w:t>
      </w:r>
      <w:r>
        <w:t xml:space="preserve">výrobce, který není </w:t>
      </w:r>
      <w:r w:rsidRPr="00CF17D5">
        <w:t>usazen v České republice</w:t>
      </w:r>
      <w:r>
        <w:t xml:space="preserve">. Pověřeného zástupce si budou moci nově určit i zahraniční výrobci baterií nebo akumulátorů a zahraniční výrobci pneumatik. Povinnost určit si pověřeného zástupce však zákon stanoví v hlavě III pouze zahraničním internetovým prodejcům elektrozařízení (ostatně jiní výrobci elektrozařízení jsou vždy osoby </w:t>
      </w:r>
      <w:r w:rsidRPr="00CF17D5">
        <w:t>usazen</w:t>
      </w:r>
      <w:r>
        <w:t>é</w:t>
      </w:r>
      <w:r w:rsidRPr="00CF17D5">
        <w:t xml:space="preserve"> v České republice</w:t>
      </w:r>
      <w:r>
        <w:t>), a to v návaznosti na směrnici 2012/19/EU. V případě zahraničních výrobců baterií nebo akumulátorů a zahraničních výrobců pneumatik by bez harmonizační úpravy na úrovni EU mohlo být stanovení povinnosti určit si pověřeného zástupce vnímáno jako odporující pravidlům volného pohybu zboží, proto zákon těmto výrobcům dává pouze možnost určit si pověřeného zástupce. To pro ně může mít přínos v podobě snazšího plnění povinností podle tohoto zákona, které by jinak museli plnit sami.</w:t>
      </w:r>
    </w:p>
    <w:p w:rsidR="00CC0F90" w:rsidRPr="00A55275" w:rsidRDefault="00CC0F90" w:rsidP="00CC0F90">
      <w:pPr>
        <w:spacing w:before="240"/>
      </w:pPr>
      <w:r>
        <w:t>P</w:t>
      </w:r>
      <w:r w:rsidRPr="00504D8B">
        <w:t xml:space="preserve">ověřeným zástupcem lze určit pouze právnickou osobu nebo fyzickou osobu oprávněnou k podnikání, která je usazená v České republice, a to na základě písemného pověření (nejedná se o plnou moc, neboť pověřený zástupce jedná svým jménem). </w:t>
      </w:r>
      <w:r>
        <w:t xml:space="preserve">Zákon neumožňuje určit si jako pověřeného zástupce provozovatele kolektivního systému, neboť jeho posláním je zajišťovat kolektivní plnění povinností výrobců stanovených pro </w:t>
      </w:r>
      <w:r w:rsidRPr="00A55275">
        <w:t>zpětný odběr, zpracování, využití a odstranění výrobků s ukončenou životností</w:t>
      </w:r>
      <w:r>
        <w:t xml:space="preserve"> a </w:t>
      </w:r>
      <w:r w:rsidRPr="00A55275">
        <w:t>informování konečného uživatele o zpětném odběru</w:t>
      </w:r>
      <w:r>
        <w:t>, nikoliv vystupovat jako zástupce výrobce pro plnění veškerých jeho povinností podle tohoto zákona, včetně například povinností při uvádění vybraných výrobků na trh. Zákon nicméně nevylučuje, aby pověřený zástupce plnil povinnosti zahraničního výrobce prostřednictvím provozovatele kolektivního systému.</w:t>
      </w:r>
    </w:p>
    <w:p w:rsidR="00CC0F90" w:rsidRDefault="00CC0F90" w:rsidP="00CC0F90">
      <w:pPr>
        <w:spacing w:before="240"/>
      </w:pPr>
      <w:r w:rsidRPr="00CF17D5">
        <w:t xml:space="preserve">Pověřený zástupce </w:t>
      </w:r>
      <w:r>
        <w:t xml:space="preserve">se zapisuje do Seznamu výrobců a </w:t>
      </w:r>
      <w:r w:rsidRPr="00CF17D5">
        <w:t xml:space="preserve">odpovídá za plnění povinností výrobce od okamžiku jeho zápisu do </w:t>
      </w:r>
      <w:r>
        <w:t>tohoto s</w:t>
      </w:r>
      <w:r w:rsidRPr="00CF17D5">
        <w:t>eznamu po celou dobu, po kterou je v </w:t>
      </w:r>
      <w:r>
        <w:t>něm</w:t>
      </w:r>
      <w:r w:rsidRPr="00CF17D5">
        <w:t xml:space="preserve"> zapsán.</w:t>
      </w:r>
      <w:r>
        <w:t xml:space="preserve"> </w:t>
      </w:r>
      <w:r w:rsidRPr="00CF17D5">
        <w:t>Pověřený zástupce</w:t>
      </w:r>
      <w:r>
        <w:t xml:space="preserve"> plní </w:t>
      </w:r>
      <w:r w:rsidRPr="00F94E9C">
        <w:t>všechny povinnosti výrobce stanovené tímto zákonem</w:t>
      </w:r>
      <w:r>
        <w:t xml:space="preserve">, z povahy věci je vyloučeno pouze plnění </w:t>
      </w:r>
      <w:r w:rsidRPr="00F94E9C">
        <w:t>povinností týkajících se výroby vybraných výrobků</w:t>
      </w:r>
      <w:r>
        <w:t xml:space="preserve">. </w:t>
      </w:r>
      <w:r w:rsidRPr="00504D8B">
        <w:t xml:space="preserve">Pro případ, že pověřený zástupce nebude řádně plnit </w:t>
      </w:r>
      <w:r>
        <w:t>tyto</w:t>
      </w:r>
      <w:r w:rsidRPr="00504D8B">
        <w:t xml:space="preserve"> povinnosti</w:t>
      </w:r>
      <w:r>
        <w:t>,</w:t>
      </w:r>
      <w:r w:rsidRPr="00504D8B">
        <w:t xml:space="preserve"> </w:t>
      </w:r>
      <w:r>
        <w:t xml:space="preserve">zákon </w:t>
      </w:r>
      <w:r w:rsidRPr="00504D8B">
        <w:t>stanov</w:t>
      </w:r>
      <w:r>
        <w:t>í</w:t>
      </w:r>
      <w:r w:rsidRPr="00504D8B">
        <w:t>, že odpovědnost výrobce za jejich plnění nezaniká.</w:t>
      </w:r>
    </w:p>
    <w:p w:rsidR="00CC0F90" w:rsidRPr="00E958B8" w:rsidRDefault="00CC0F90" w:rsidP="00BD7946">
      <w:pPr>
        <w:keepNext/>
        <w:spacing w:before="240"/>
        <w:rPr>
          <w:b/>
        </w:rPr>
      </w:pPr>
      <w:r w:rsidRPr="00E958B8">
        <w:rPr>
          <w:b/>
        </w:rPr>
        <w:t>K </w:t>
      </w:r>
      <w:r>
        <w:rPr>
          <w:b/>
        </w:rPr>
        <w:t>§</w:t>
      </w:r>
      <w:r w:rsidRPr="00E958B8">
        <w:rPr>
          <w:b/>
        </w:rPr>
        <w:t xml:space="preserve"> </w:t>
      </w:r>
      <w:r>
        <w:rPr>
          <w:b/>
        </w:rPr>
        <w:t>11</w:t>
      </w:r>
    </w:p>
    <w:p w:rsidR="00CC0F90" w:rsidRDefault="00CC0F90" w:rsidP="00CC0F90">
      <w:pPr>
        <w:spacing w:before="240"/>
      </w:pPr>
      <w:r>
        <w:t xml:space="preserve">Základní povinností každého </w:t>
      </w:r>
      <w:r w:rsidRPr="002F5E28">
        <w:t>výrobce je zajistit na vlastní náklady zpětný odběr výrobků s ukončenou životností, které uvádí na trh, a jejich následné zpracování a využití nebo odstranění</w:t>
      </w:r>
      <w:r>
        <w:t>. V</w:t>
      </w:r>
      <w:r w:rsidRPr="002F5E28">
        <w:t>ýrobk</w:t>
      </w:r>
      <w:r>
        <w:t>y</w:t>
      </w:r>
      <w:r w:rsidRPr="002F5E28">
        <w:t xml:space="preserve">, které </w:t>
      </w:r>
      <w:r>
        <w:t xml:space="preserve">výrobce </w:t>
      </w:r>
      <w:r w:rsidRPr="002F5E28">
        <w:t>uvádí na trh</w:t>
      </w:r>
      <w:r>
        <w:t xml:space="preserve">, se zde rozumí druh vybraných výrobků (elektrozařízení, baterie a akumulátory nebo pneumatiky) a jejich skupina (viz dále). </w:t>
      </w:r>
      <w:r w:rsidRPr="000A0916">
        <w:t xml:space="preserve">Zpětný odběr </w:t>
      </w:r>
      <w:r w:rsidRPr="000A0916">
        <w:rPr>
          <w:bCs/>
        </w:rPr>
        <w:t xml:space="preserve">výrobku s ukončenou životností nesmí být vázán </w:t>
      </w:r>
      <w:r w:rsidRPr="000A0916">
        <w:t>na koupi nového výrobku. Konkrétní</w:t>
      </w:r>
      <w:r>
        <w:t xml:space="preserve"> </w:t>
      </w:r>
      <w:r>
        <w:lastRenderedPageBreak/>
        <w:t xml:space="preserve">rozsah povinnosti výrobce zajistit zpětný odběr </w:t>
      </w:r>
      <w:r w:rsidRPr="002F5E28">
        <w:t>výrobků s ukončenou životností</w:t>
      </w:r>
      <w:r>
        <w:t xml:space="preserve">, jakož i další podmínky, za nichž je výrobce povinen zpětný odběr zajistit, stanoví zákon v hlavě III. </w:t>
      </w:r>
    </w:p>
    <w:p w:rsidR="00CC0F90" w:rsidRDefault="00CC0F90" w:rsidP="00CC0F90">
      <w:pPr>
        <w:spacing w:before="240"/>
        <w:rPr>
          <w:bCs/>
        </w:rPr>
      </w:pPr>
      <w:r>
        <w:t>V některých případech zákon v hlavě III</w:t>
      </w:r>
      <w:r w:rsidDel="004F1123">
        <w:t xml:space="preserve"> </w:t>
      </w:r>
      <w:r>
        <w:t xml:space="preserve">vyžaduje, </w:t>
      </w:r>
      <w:r w:rsidRPr="005C69C6">
        <w:t xml:space="preserve">aby výrobce nebo poslední prodejce zajistil zpětný odběr výrobků s ukončenou </w:t>
      </w:r>
      <w:r w:rsidRPr="005C69C6">
        <w:rPr>
          <w:bCs/>
        </w:rPr>
        <w:t>životností bezplatně</w:t>
      </w:r>
      <w:r>
        <w:rPr>
          <w:bCs/>
        </w:rPr>
        <w:t>, resp.</w:t>
      </w:r>
      <w:r w:rsidRPr="005C69C6">
        <w:rPr>
          <w:bCs/>
        </w:rPr>
        <w:t xml:space="preserve"> bez nároku na úplatu</w:t>
      </w:r>
      <w:r>
        <w:rPr>
          <w:bCs/>
        </w:rPr>
        <w:t xml:space="preserve">. Pro vyloučení jakýchkoliv pochybností je stanoveno, že v těchto případech není dotčena </w:t>
      </w:r>
      <w:r w:rsidRPr="005C69C6">
        <w:rPr>
          <w:bCs/>
        </w:rPr>
        <w:t xml:space="preserve">možnost finanční motivace konečného uživatele k odevzdání </w:t>
      </w:r>
      <w:r w:rsidRPr="005C69C6">
        <w:t xml:space="preserve">výrobku s ukončenou </w:t>
      </w:r>
      <w:r w:rsidRPr="005C69C6">
        <w:rPr>
          <w:bCs/>
        </w:rPr>
        <w:t>životností formou výkupu nebo jiným obdobným způsobem</w:t>
      </w:r>
      <w:r>
        <w:rPr>
          <w:bCs/>
        </w:rPr>
        <w:t xml:space="preserve"> (např. vratné zálohy účtované při prodeji nového vybraného výrobku motivující k jeho odevzdání ke zpětnému odběru po ukončení jeho životnosti). Zároveň zákon výslovně stanoví, že v těchto případech </w:t>
      </w:r>
      <w:r w:rsidRPr="005C69C6">
        <w:rPr>
          <w:bCs/>
        </w:rPr>
        <w:t>nesmí být konečnému uživateli účtovány jakékoliv náklady či jiné platby, které přímo či nepřímo souvisejí se zpětným odběrem</w:t>
      </w:r>
      <w:r>
        <w:rPr>
          <w:bCs/>
        </w:rPr>
        <w:t xml:space="preserve"> (typicky například účtování dopravného, čímž je </w:t>
      </w:r>
      <w:r w:rsidRPr="008F6878">
        <w:rPr>
          <w:bCs/>
          <w:i/>
        </w:rPr>
        <w:t>de facto</w:t>
      </w:r>
      <w:r>
        <w:rPr>
          <w:bCs/>
        </w:rPr>
        <w:t xml:space="preserve"> obcházen zákaz požadování úplaty za zpětný odběr).</w:t>
      </w:r>
    </w:p>
    <w:p w:rsidR="00CC0F90" w:rsidRDefault="00CC0F90" w:rsidP="00CC0F90">
      <w:pPr>
        <w:spacing w:before="240"/>
        <w:rPr>
          <w:bCs/>
        </w:rPr>
      </w:pPr>
      <w:r>
        <w:rPr>
          <w:bCs/>
        </w:rPr>
        <w:t xml:space="preserve">Ustanovení zakazující nabízení nebo poskytování úplaty za odevzdání částí, resp. neúplných </w:t>
      </w:r>
      <w:r w:rsidRPr="005C69C6">
        <w:rPr>
          <w:bCs/>
        </w:rPr>
        <w:t>výrobk</w:t>
      </w:r>
      <w:r>
        <w:rPr>
          <w:bCs/>
        </w:rPr>
        <w:t>ů</w:t>
      </w:r>
      <w:r w:rsidRPr="005C69C6">
        <w:rPr>
          <w:bCs/>
        </w:rPr>
        <w:t xml:space="preserve"> s ukončenou životností</w:t>
      </w:r>
      <w:r>
        <w:rPr>
          <w:bCs/>
        </w:rPr>
        <w:t xml:space="preserve"> ke zpětnému odběru má za cíl omezit nežádoucí praktiky spočívající v nedovolené demontáži výrobků s ukončenou životností a odebírání pouze jejich hodnotných částí.</w:t>
      </w:r>
    </w:p>
    <w:p w:rsidR="00CC0F90" w:rsidRPr="00E2679A" w:rsidRDefault="00CC0F90" w:rsidP="00CC0F90">
      <w:pPr>
        <w:spacing w:before="240"/>
        <w:rPr>
          <w:bCs/>
        </w:rPr>
      </w:pPr>
      <w:r w:rsidRPr="00E2679A">
        <w:rPr>
          <w:bCs/>
        </w:rPr>
        <w:t xml:space="preserve">Základní informační povinností výrobce, pokud jde o zpětný odběr, je informovat </w:t>
      </w:r>
      <w:r w:rsidRPr="00E2679A">
        <w:t xml:space="preserve">prostřednictvím distributorů </w:t>
      </w:r>
      <w:r w:rsidRPr="00E2679A">
        <w:rPr>
          <w:bCs/>
        </w:rPr>
        <w:t>konečné uživatele</w:t>
      </w:r>
      <w:r w:rsidRPr="00E2679A">
        <w:t xml:space="preserve"> o způsobu provedení zpětného odběru výrobků s ukončenou životností.</w:t>
      </w:r>
      <w:r>
        <w:t xml:space="preserve"> Na tuto povinnost navazují informační povinnosti výrobců určitých vybraných výrobků stanovené v hlavě III.</w:t>
      </w:r>
    </w:p>
    <w:p w:rsidR="00CC0F90" w:rsidRPr="00E958B8" w:rsidRDefault="00CC0F90" w:rsidP="00CC0F90">
      <w:pPr>
        <w:spacing w:before="240"/>
        <w:rPr>
          <w:b/>
        </w:rPr>
      </w:pPr>
      <w:r w:rsidRPr="00E958B8">
        <w:rPr>
          <w:b/>
        </w:rPr>
        <w:t>K </w:t>
      </w:r>
      <w:r>
        <w:rPr>
          <w:b/>
        </w:rPr>
        <w:t>§</w:t>
      </w:r>
      <w:r w:rsidRPr="00E958B8">
        <w:rPr>
          <w:b/>
        </w:rPr>
        <w:t xml:space="preserve"> </w:t>
      </w:r>
      <w:r>
        <w:rPr>
          <w:b/>
        </w:rPr>
        <w:t>12</w:t>
      </w:r>
    </w:p>
    <w:p w:rsidR="00CC0F90" w:rsidRDefault="00CC0F90" w:rsidP="00CC0F90">
      <w:pPr>
        <w:spacing w:before="240"/>
        <w:rPr>
          <w:bCs/>
        </w:rPr>
      </w:pPr>
      <w:r>
        <w:t xml:space="preserve">Zákon stanoví, že </w:t>
      </w:r>
      <w:r>
        <w:rPr>
          <w:bCs/>
        </w:rPr>
        <w:t>konečný uživatel se smí z</w:t>
      </w:r>
      <w:r w:rsidRPr="00BF0721">
        <w:t>bavit výrobku</w:t>
      </w:r>
      <w:r w:rsidRPr="00BF0721">
        <w:rPr>
          <w:bCs/>
        </w:rPr>
        <w:t xml:space="preserve"> s ukončenou životností jen jeho</w:t>
      </w:r>
      <w:r w:rsidRPr="00BF0721">
        <w:t xml:space="preserve"> předáním na místo zpětného odběru nebo poslednímu prodejci, případně jiné osobě určené výrobcem, ne</w:t>
      </w:r>
      <w:r>
        <w:t>ní</w:t>
      </w:r>
      <w:r w:rsidRPr="00BF0721">
        <w:t xml:space="preserve">-li </w:t>
      </w:r>
      <w:r>
        <w:t>stanoveno</w:t>
      </w:r>
      <w:r w:rsidRPr="00BF0721">
        <w:t xml:space="preserve"> jinak.</w:t>
      </w:r>
      <w:r>
        <w:t xml:space="preserve"> Jinou osobu, které může být odevzdán výrobek </w:t>
      </w:r>
      <w:r w:rsidRPr="00BF0721">
        <w:rPr>
          <w:bCs/>
        </w:rPr>
        <w:t>s ukončenou životností</w:t>
      </w:r>
      <w:r>
        <w:rPr>
          <w:bCs/>
        </w:rPr>
        <w:t>, určuje výrobce například v případech podle § 15 odst. 5. Výjimky, kdy se konečný uživatel smí z</w:t>
      </w:r>
      <w:r w:rsidRPr="00BF0721">
        <w:t>bavit výrobku</w:t>
      </w:r>
      <w:r w:rsidRPr="00BF0721">
        <w:rPr>
          <w:bCs/>
        </w:rPr>
        <w:t xml:space="preserve"> s ukončenou životností</w:t>
      </w:r>
      <w:r>
        <w:rPr>
          <w:bCs/>
        </w:rPr>
        <w:t xml:space="preserve"> jiným způsobem, stanoví zákon například pro automobilové a průmyslové baterie a akumulátory nebo pneumatiky. Zákonem stanovené omezení pro zbavování se </w:t>
      </w:r>
      <w:r w:rsidRPr="00BF0721">
        <w:t>výrobku</w:t>
      </w:r>
      <w:r w:rsidRPr="00BF0721">
        <w:rPr>
          <w:bCs/>
        </w:rPr>
        <w:t xml:space="preserve"> s ukončenou životností</w:t>
      </w:r>
      <w:r>
        <w:rPr>
          <w:bCs/>
        </w:rPr>
        <w:t xml:space="preserve"> je třeba logicky vztahovat i na jakoukoliv jinou osobu, které konečný uživatel výrobek svěřil nebo kterou zmocnil k tomu, aby se za něj výrobku s ukončenou životností zbavila. V opačném případě by bylo toto omezení v praxi neúčinné, neboť by ho bylo možné snadno obejít.</w:t>
      </w:r>
    </w:p>
    <w:p w:rsidR="00CC0F90" w:rsidRPr="000C2377" w:rsidRDefault="00CC0F90" w:rsidP="00CC0F90">
      <w:pPr>
        <w:spacing w:before="240"/>
      </w:pPr>
      <w:r>
        <w:t xml:space="preserve">Zákon dále ukládá, </w:t>
      </w:r>
      <w:r w:rsidRPr="000C2377">
        <w:t>že zpětně odebraný výrobek s ukončenou životností musí být předán</w:t>
      </w:r>
      <w:r>
        <w:t xml:space="preserve"> za podmínek stanovených tímto zákonem</w:t>
      </w:r>
      <w:r w:rsidRPr="000C2377">
        <w:t xml:space="preserve"> pouze </w:t>
      </w:r>
      <w:r>
        <w:t xml:space="preserve">zpracovateli, </w:t>
      </w:r>
      <w:r w:rsidRPr="00BF0721">
        <w:t>ne</w:t>
      </w:r>
      <w:r>
        <w:t>ní</w:t>
      </w:r>
      <w:r w:rsidRPr="00BF0721">
        <w:t xml:space="preserve">-li </w:t>
      </w:r>
      <w:r>
        <w:t>stanoveno</w:t>
      </w:r>
      <w:r w:rsidRPr="00BF0721">
        <w:t xml:space="preserve"> jinak</w:t>
      </w:r>
      <w:r>
        <w:t xml:space="preserve">. </w:t>
      </w:r>
      <w:r w:rsidRPr="000C2377">
        <w:t xml:space="preserve">Do předání </w:t>
      </w:r>
      <w:r>
        <w:t>zpracovateli</w:t>
      </w:r>
      <w:r w:rsidRPr="000C2377">
        <w:t xml:space="preserve"> nesmí být výrobek s ukončenou životností předmětem úpravy, využití nebo odstranění</w:t>
      </w:r>
      <w:r>
        <w:t>. Podmínky pro předávání výrobků s ukončenou životností zpracovatelům stanoví zákon v hlavě II především v případě kolektivních systémů (</w:t>
      </w:r>
      <w:r w:rsidRPr="005D3864">
        <w:t>komoditní burz</w:t>
      </w:r>
      <w:r>
        <w:t xml:space="preserve">a nebo </w:t>
      </w:r>
      <w:r w:rsidRPr="007172D1">
        <w:t>veřejn</w:t>
      </w:r>
      <w:r>
        <w:t>á</w:t>
      </w:r>
      <w:r w:rsidRPr="007172D1">
        <w:t xml:space="preserve"> soutěž o nejvhodnější nabídku</w:t>
      </w:r>
      <w:r>
        <w:t xml:space="preserve">). Předání </w:t>
      </w:r>
      <w:r w:rsidRPr="000C2377">
        <w:t>zpětně odebran</w:t>
      </w:r>
      <w:r>
        <w:t>ého</w:t>
      </w:r>
      <w:r w:rsidRPr="000C2377">
        <w:t xml:space="preserve"> výrobk</w:t>
      </w:r>
      <w:r>
        <w:t>u</w:t>
      </w:r>
      <w:r w:rsidRPr="000C2377">
        <w:t xml:space="preserve"> s ukončenou životností</w:t>
      </w:r>
      <w:r>
        <w:t xml:space="preserve"> jiné osobě než zpracovateli předpokládá zákon u posledních prodejců, kteří jsou povinni předat tyto výrobky s ukončenou životností </w:t>
      </w:r>
      <w:r w:rsidRPr="00E5763D">
        <w:t>do systém</w:t>
      </w:r>
      <w:r>
        <w:t xml:space="preserve">u zpětného odběru výrobce – to </w:t>
      </w:r>
      <w:r>
        <w:lastRenderedPageBreak/>
        <w:t xml:space="preserve">znamená buďto výrobcem určenému zpracovateli, nebo na místo zpětného odběru zřízené výrobcem. </w:t>
      </w:r>
    </w:p>
    <w:p w:rsidR="00CC0F90" w:rsidRDefault="00CC0F90" w:rsidP="00CC0F90">
      <w:pPr>
        <w:spacing w:before="240"/>
        <w:rPr>
          <w:bCs/>
        </w:rPr>
      </w:pPr>
      <w:r w:rsidRPr="000C2377">
        <w:t>S</w:t>
      </w:r>
      <w:r>
        <w:t xml:space="preserve"> vymezením osob, kterým smí být výrobek s ukončenou životností předán, </w:t>
      </w:r>
      <w:r w:rsidRPr="000C2377">
        <w:t xml:space="preserve">koresponduje </w:t>
      </w:r>
      <w:r>
        <w:t>zákaz kohokoliv jiného výrobek s ukončenou životností převzít. Současně je stanoveno, že k </w:t>
      </w:r>
      <w:r w:rsidRPr="009A12BC">
        <w:rPr>
          <w:bCs/>
        </w:rPr>
        <w:t>převzetí vlastnického práva k </w:t>
      </w:r>
      <w:r w:rsidRPr="009A12BC">
        <w:t>výrobku</w:t>
      </w:r>
      <w:r w:rsidRPr="009A12BC">
        <w:rPr>
          <w:bCs/>
        </w:rPr>
        <w:t xml:space="preserve"> s ukončenou životností je vždy oprávněn</w:t>
      </w:r>
      <w:r>
        <w:rPr>
          <w:bCs/>
        </w:rPr>
        <w:t xml:space="preserve"> také</w:t>
      </w:r>
      <w:r w:rsidRPr="009A12BC">
        <w:rPr>
          <w:bCs/>
        </w:rPr>
        <w:t xml:space="preserve"> </w:t>
      </w:r>
      <w:r>
        <w:rPr>
          <w:bCs/>
        </w:rPr>
        <w:t xml:space="preserve">výrobce, resp. provozovatel kolektivního systému, což výrobci (provozovateli kolektivního systému) umožňuje vyhradit si nabytí vlastnictví k zpětně odebraným výrobkům </w:t>
      </w:r>
      <w:r w:rsidRPr="009A12BC">
        <w:rPr>
          <w:bCs/>
        </w:rPr>
        <w:t>s ukončenou životností</w:t>
      </w:r>
      <w:r>
        <w:rPr>
          <w:bCs/>
        </w:rPr>
        <w:t xml:space="preserve"> v případě, že tyto výrobky v rámci systému výrobce zpětně odebírá jiná osoba (např. smluvně zajištěný provozovatel místa zpětného odběru).</w:t>
      </w:r>
    </w:p>
    <w:p w:rsidR="00CC0F90" w:rsidRDefault="00CC0F90" w:rsidP="00CC0F90">
      <w:pPr>
        <w:spacing w:before="240"/>
      </w:pPr>
      <w:r>
        <w:rPr>
          <w:bCs/>
        </w:rPr>
        <w:t xml:space="preserve">Okruh osob, které smějí převzít </w:t>
      </w:r>
      <w:r>
        <w:t xml:space="preserve">výrobek s ukončenou životností, je zákonem omezen, neboť v souladu s předpisy Evropské unie nese odpovědnost za sběr a nakládání včetně financování těchto činností výrobce (princip rozšířené odpovědnosti výrobce). Výrobce rovněž odpovídá za dosažení minimální úrovně zpětného odběru, která v případě odpadních elektrozařízení a odpadních baterií a akumulátorů vychází z příslušných evropských směrnic. Z těchto důvodů je nutné vytvořit výrobcům takové podmínky, aby své odpovědnosti na základě zákona mohli dostát. Je proto třeba zamezit tomu, aby výrobky s ukončenou životností mohly mimo systémy výrobců sbírat i jiné subjekty, které se pochopitelně zaměřují pouze na výrobky s ukončenou životností nebo jejich části obsahující hodnotné materiály, aniž by nesly náklady spojené s využitím nebo odstraněním ostatních výrobků s ukončenou životností nebo jejich částí, které jsou ekonomicky nerentabilní. </w:t>
      </w:r>
    </w:p>
    <w:p w:rsidR="00CC0F90" w:rsidRPr="00E958B8" w:rsidRDefault="00CC0F90" w:rsidP="00CC0F90">
      <w:pPr>
        <w:spacing w:before="240"/>
        <w:rPr>
          <w:b/>
        </w:rPr>
      </w:pPr>
      <w:r w:rsidRPr="00E958B8">
        <w:rPr>
          <w:b/>
        </w:rPr>
        <w:t>K </w:t>
      </w:r>
      <w:r>
        <w:rPr>
          <w:b/>
        </w:rPr>
        <w:t>§</w:t>
      </w:r>
      <w:r w:rsidRPr="00E958B8">
        <w:rPr>
          <w:b/>
        </w:rPr>
        <w:t xml:space="preserve"> </w:t>
      </w:r>
      <w:r>
        <w:rPr>
          <w:b/>
        </w:rPr>
        <w:t>13</w:t>
      </w:r>
    </w:p>
    <w:p w:rsidR="00CC0F90" w:rsidRDefault="00CC0F90" w:rsidP="00CC0F90">
      <w:pPr>
        <w:spacing w:before="240"/>
      </w:pPr>
      <w:r>
        <w:t xml:space="preserve">Zpětný odběr výrobků s ukončenou životností zajišťuje výrobce v tzv. místech zpětného odběru, což je jakékoliv místo, které výrobce za tím účelem zřídí. Místo zpětného odběru může být zřízeno jak v zařízení určeném pro nakládání s odpady, tak jinde, například v kamenné prodejně u posledního prodejce, na úřadě či v jiné veřejné budově, na ulici apod. Zpětný odběr nicméně musí v místě zpětného odběru probíhat za podmínek stanovených v § 15. Má-li například místo zpětného odběru charakter sběrné nádoby bez stálé obsluhy, musí </w:t>
      </w:r>
      <w:r w:rsidRPr="00FB02DA">
        <w:t>v něm být výrobky s ukončenou životností zabezpečeny před nežádoucím znehodnocením, zneužitím nebo odcizením</w:t>
      </w:r>
      <w:r>
        <w:t xml:space="preserve">. Místa zpětného odběru může zřizovat pouze výrobce. Provozovatelem místa zpětného odběru je buď sám výrobce (pokud jde o jeho vlastní zařízení, nádobu apod.), nebo osoba, s níž o zřízení místa zpětného odběru uzavře výrobce smlouvu. </w:t>
      </w:r>
    </w:p>
    <w:p w:rsidR="00CC0F90" w:rsidRPr="00FB02DA" w:rsidRDefault="00CC0F90" w:rsidP="00CC0F90">
      <w:pPr>
        <w:spacing w:before="240"/>
      </w:pPr>
      <w:r>
        <w:t xml:space="preserve">Místa zpětného odběru mohou být veřejná, tj. </w:t>
      </w:r>
      <w:r w:rsidRPr="00DE10B8">
        <w:rPr>
          <w:iCs/>
        </w:rPr>
        <w:t>volně přístupné každému konečnému uživateli,</w:t>
      </w:r>
      <w:r>
        <w:rPr>
          <w:iCs/>
        </w:rPr>
        <w:t xml:space="preserve"> který zde může odevzdat </w:t>
      </w:r>
      <w:r>
        <w:t>výrobek s ukončenou životností, nebo neveřejná, která výrobce zřídí pouze pro určité konečné uživatele (např. své zákazníky v případě elektrozařízení pro profesionální použití). Požadavky na minimální hustotu veřejných míst zpětného odběru se liší pro jednotlivé druhy či skupiny vybraných výrobků a jsou stanoveny v hlavě III.</w:t>
      </w:r>
    </w:p>
    <w:p w:rsidR="00CC0F90" w:rsidRPr="00504807" w:rsidRDefault="00CC0F90" w:rsidP="00CC0F90">
      <w:pPr>
        <w:spacing w:before="240"/>
      </w:pPr>
      <w:r w:rsidRPr="00504807">
        <w:rPr>
          <w:bCs/>
        </w:rPr>
        <w:lastRenderedPageBreak/>
        <w:t>Výrobce je povinen informovat vhodným způsobem o jím zřízených místech zpětného odběru konečné uživatele</w:t>
      </w:r>
      <w:r>
        <w:rPr>
          <w:bCs/>
        </w:rPr>
        <w:t>. P</w:t>
      </w:r>
      <w:r w:rsidRPr="00C64E06">
        <w:rPr>
          <w:bCs/>
        </w:rPr>
        <w:t>okud jde o veřejná místa zpětného odběru</w:t>
      </w:r>
      <w:r>
        <w:rPr>
          <w:bCs/>
        </w:rPr>
        <w:t>, splní výrobce tuto povinnost tím, že údaje o těchto místech vloží do registru míst zpětného odběru (viz dále).</w:t>
      </w:r>
    </w:p>
    <w:p w:rsidR="00CC0F90" w:rsidRDefault="00CC0F90" w:rsidP="00CC0F90">
      <w:pPr>
        <w:spacing w:before="240"/>
      </w:pPr>
      <w:r>
        <w:t xml:space="preserve">Místa zpětného odběru mohou výrobci </w:t>
      </w:r>
      <w:r w:rsidRPr="00C64E06">
        <w:rPr>
          <w:bCs/>
        </w:rPr>
        <w:t>téhož druhu vybraného výrobku</w:t>
      </w:r>
      <w:r>
        <w:t xml:space="preserve"> (</w:t>
      </w:r>
      <w:r w:rsidRPr="00C64E06">
        <w:rPr>
          <w:bCs/>
        </w:rPr>
        <w:t xml:space="preserve">elektrozařízení, baterie nebo akumulátory </w:t>
      </w:r>
      <w:r>
        <w:rPr>
          <w:bCs/>
        </w:rPr>
        <w:t>nebo</w:t>
      </w:r>
      <w:r w:rsidRPr="00C64E06">
        <w:rPr>
          <w:bCs/>
        </w:rPr>
        <w:t xml:space="preserve"> pneumatiky</w:t>
      </w:r>
      <w:r>
        <w:t>) společně sdílet, pokud se tak dohodnou. Tím je výrobcům usnadněno plnění požadavků na minimální hustotu veřejných míst zpětného odběru.</w:t>
      </w:r>
    </w:p>
    <w:p w:rsidR="00CC0F90" w:rsidRPr="00C64E06" w:rsidRDefault="00CC0F90" w:rsidP="00CC0F90">
      <w:pPr>
        <w:spacing w:before="240"/>
        <w:rPr>
          <w:bCs/>
        </w:rPr>
      </w:pPr>
      <w:r>
        <w:rPr>
          <w:bCs/>
        </w:rPr>
        <w:t>Za účelem zamezení obcházení povinnosti zajistit zpětný odběr ze strany výrobců, kteří nabízejí vybrané výrobky zejména formou internetového prodeje, zákon stanoví, že z</w:t>
      </w:r>
      <w:r w:rsidRPr="00C64E06">
        <w:rPr>
          <w:bCs/>
        </w:rPr>
        <w:t>a veřejné místo zpětného odběru nemůže být považováno mí</w:t>
      </w:r>
      <w:r>
        <w:rPr>
          <w:bCs/>
        </w:rPr>
        <w:t>sto dodávky vybraného výrobku u </w:t>
      </w:r>
      <w:r w:rsidRPr="00C64E06">
        <w:rPr>
          <w:bCs/>
        </w:rPr>
        <w:t>konečného uživatele.</w:t>
      </w:r>
    </w:p>
    <w:p w:rsidR="00CC0F90" w:rsidRPr="00E958B8" w:rsidRDefault="00CC0F90" w:rsidP="00CC0F90">
      <w:pPr>
        <w:spacing w:before="240"/>
        <w:rPr>
          <w:b/>
        </w:rPr>
      </w:pPr>
      <w:r w:rsidRPr="00E958B8">
        <w:rPr>
          <w:b/>
        </w:rPr>
        <w:t>K </w:t>
      </w:r>
      <w:r>
        <w:rPr>
          <w:b/>
        </w:rPr>
        <w:t>§</w:t>
      </w:r>
      <w:r w:rsidRPr="00E958B8">
        <w:rPr>
          <w:b/>
        </w:rPr>
        <w:t xml:space="preserve"> </w:t>
      </w:r>
      <w:r>
        <w:rPr>
          <w:b/>
        </w:rPr>
        <w:t>14</w:t>
      </w:r>
    </w:p>
    <w:p w:rsidR="00CC0F90" w:rsidRDefault="00CC0F90" w:rsidP="00CC0F90">
      <w:pPr>
        <w:spacing w:before="240"/>
      </w:pPr>
      <w:r>
        <w:t xml:space="preserve">Místo zpětného odběru může výrobce zřídit také ve spolupráci s obcí </w:t>
      </w:r>
      <w:r w:rsidRPr="006872D1">
        <w:rPr>
          <w:bCs/>
        </w:rPr>
        <w:t>uzavř</w:t>
      </w:r>
      <w:r>
        <w:rPr>
          <w:bCs/>
        </w:rPr>
        <w:t>ením</w:t>
      </w:r>
      <w:r w:rsidRPr="006872D1">
        <w:rPr>
          <w:bCs/>
        </w:rPr>
        <w:t xml:space="preserve"> smlouv</w:t>
      </w:r>
      <w:r>
        <w:rPr>
          <w:bCs/>
        </w:rPr>
        <w:t>y</w:t>
      </w:r>
      <w:r w:rsidRPr="006872D1">
        <w:rPr>
          <w:bCs/>
        </w:rPr>
        <w:t xml:space="preserve"> o využití systému nakládání s komunálním odpadem</w:t>
      </w:r>
      <w:r>
        <w:rPr>
          <w:bCs/>
        </w:rPr>
        <w:t xml:space="preserve"> </w:t>
      </w:r>
      <w:r w:rsidRPr="006872D1">
        <w:rPr>
          <w:bCs/>
        </w:rPr>
        <w:t>stanoveného touto obcí</w:t>
      </w:r>
      <w:r>
        <w:rPr>
          <w:bCs/>
        </w:rPr>
        <w:t xml:space="preserve"> (např. v obecním sběrném dvoře). V takovém případě dochází fakticky ke zpětnému odběru </w:t>
      </w:r>
      <w:r w:rsidRPr="006872D1">
        <w:rPr>
          <w:bCs/>
        </w:rPr>
        <w:t>výrobk</w:t>
      </w:r>
      <w:r>
        <w:rPr>
          <w:bCs/>
        </w:rPr>
        <w:t>ů</w:t>
      </w:r>
      <w:r w:rsidRPr="006872D1">
        <w:rPr>
          <w:bCs/>
        </w:rPr>
        <w:t xml:space="preserve"> s ukončenou životností</w:t>
      </w:r>
      <w:r>
        <w:rPr>
          <w:bCs/>
        </w:rPr>
        <w:t xml:space="preserve"> v rámci systému sběru komunálního odpadu, nicméně stále se jedná o odpad, za který nese odpovědnost výrobce a se kterým má být nakládáno v souladu s tímto zákonem (požadavky na zpracování atd.). Proto se navrhuje stanovit, že tyto </w:t>
      </w:r>
      <w:r w:rsidRPr="006872D1">
        <w:rPr>
          <w:bCs/>
        </w:rPr>
        <w:t>výrobky s ukončenou životností</w:t>
      </w:r>
      <w:r>
        <w:rPr>
          <w:bCs/>
        </w:rPr>
        <w:t xml:space="preserve"> </w:t>
      </w:r>
      <w:r w:rsidRPr="006872D1">
        <w:rPr>
          <w:bCs/>
        </w:rPr>
        <w:t>nejsou součástí komunálního odpadu</w:t>
      </w:r>
      <w:r>
        <w:rPr>
          <w:bCs/>
        </w:rPr>
        <w:t xml:space="preserve"> a m</w:t>
      </w:r>
      <w:r w:rsidRPr="006872D1">
        <w:rPr>
          <w:bCs/>
        </w:rPr>
        <w:t xml:space="preserve">usí </w:t>
      </w:r>
      <w:r>
        <w:rPr>
          <w:bCs/>
        </w:rPr>
        <w:t xml:space="preserve">s nimi </w:t>
      </w:r>
      <w:r w:rsidRPr="006872D1">
        <w:rPr>
          <w:bCs/>
        </w:rPr>
        <w:t>být nakládáno v souladu s tímto zákonem a odděleně od komunálního odpadu.</w:t>
      </w:r>
      <w:r>
        <w:rPr>
          <w:bCs/>
        </w:rPr>
        <w:t xml:space="preserve"> Obec nicméně může takto zřízená místa zpětného odběru, i další </w:t>
      </w:r>
      <w:r w:rsidRPr="006872D1">
        <w:rPr>
          <w:bCs/>
        </w:rPr>
        <w:t>místa zpětného odběru zřízená výrobcem v</w:t>
      </w:r>
      <w:r>
        <w:rPr>
          <w:bCs/>
        </w:rPr>
        <w:t xml:space="preserve"> jejím </w:t>
      </w:r>
      <w:r w:rsidRPr="006872D1">
        <w:t>katastrálním území</w:t>
      </w:r>
      <w:r>
        <w:t>,</w:t>
      </w:r>
      <w:r w:rsidRPr="006872D1">
        <w:t xml:space="preserve"> zahrnout do své obecně závazné vyhlášky, kterou stanoví </w:t>
      </w:r>
      <w:r w:rsidRPr="006872D1">
        <w:rPr>
          <w:bCs/>
          <w:iCs/>
        </w:rPr>
        <w:t xml:space="preserve">systém </w:t>
      </w:r>
      <w:r w:rsidRPr="006872D1">
        <w:t>nakládání s komunálním odpadem</w:t>
      </w:r>
      <w:r>
        <w:t>, aby tak informovala občany o možnostech odevzdávání výrobků s ukončenou životností v této obci.</w:t>
      </w:r>
    </w:p>
    <w:p w:rsidR="00CC0F90" w:rsidRPr="00E958B8" w:rsidRDefault="00CC0F90" w:rsidP="00CC0F90">
      <w:pPr>
        <w:spacing w:before="240"/>
        <w:rPr>
          <w:b/>
        </w:rPr>
      </w:pPr>
      <w:r w:rsidRPr="00E958B8">
        <w:rPr>
          <w:b/>
        </w:rPr>
        <w:t>K </w:t>
      </w:r>
      <w:r>
        <w:rPr>
          <w:b/>
        </w:rPr>
        <w:t>§</w:t>
      </w:r>
      <w:r w:rsidRPr="00E958B8">
        <w:rPr>
          <w:b/>
        </w:rPr>
        <w:t xml:space="preserve"> </w:t>
      </w:r>
      <w:r>
        <w:rPr>
          <w:b/>
        </w:rPr>
        <w:t>15</w:t>
      </w:r>
    </w:p>
    <w:p w:rsidR="00CC0F90" w:rsidRDefault="00CC0F90" w:rsidP="00CC0F90">
      <w:pPr>
        <w:spacing w:before="240"/>
      </w:pPr>
      <w:r>
        <w:t>Zákon upravuje povinnosti při zpětném odběru a dalším nakládání s výrobky s ukončenou životností v tzv. zjednodušeném odpadovém režimu, tj. ve fázi od zpětného odběru do předání výrobku s ukončenou životností zpracovateli</w:t>
      </w:r>
      <w:r w:rsidRPr="007C02B0">
        <w:t xml:space="preserve"> nebo k přeshraniční přepravě</w:t>
      </w:r>
      <w:r>
        <w:t>. Primárním nositelem většiny povinností je provozovatel místa zpětného odběru, který provádí zpětný odběr výrobků s ukončenou životností a zpravidla i další činnosti jako např. dočasné u</w:t>
      </w:r>
      <w:r w:rsidRPr="00853C74">
        <w:t xml:space="preserve">skladnění, případně přepravu atd. Až na několik výjimek se však tyto povinnosti vztahují na každou osobu, která se zpětně odebraným výrobkem s ukončenou životností nakládá do okamžiku jeho předání </w:t>
      </w:r>
      <w:r>
        <w:t>zpracovateli</w:t>
      </w:r>
      <w:r w:rsidRPr="00853C74">
        <w:t>.</w:t>
      </w:r>
      <w:r>
        <w:t xml:space="preserve"> </w:t>
      </w:r>
    </w:p>
    <w:p w:rsidR="00CC0F90" w:rsidRDefault="00CC0F90" w:rsidP="00CC0F90">
      <w:pPr>
        <w:spacing w:before="240"/>
      </w:pPr>
      <w:r w:rsidRPr="00F61FE5">
        <w:t xml:space="preserve">Zpětný odběr výrobků s ukončenou životností, jejich přeprava a předání </w:t>
      </w:r>
      <w:r>
        <w:t xml:space="preserve">zpracovateli </w:t>
      </w:r>
      <w:r w:rsidRPr="00F61FE5">
        <w:t>mus</w:t>
      </w:r>
      <w:r>
        <w:t>ej</w:t>
      </w:r>
      <w:r w:rsidRPr="00F61FE5">
        <w:t>í být prováděn</w:t>
      </w:r>
      <w:r>
        <w:t>y</w:t>
      </w:r>
      <w:r w:rsidRPr="00F61FE5">
        <w:t xml:space="preserve"> </w:t>
      </w:r>
      <w:r w:rsidRPr="000303C6">
        <w:t xml:space="preserve">tak, aby nebylo ztíženo opětovné použití těchto výrobků nebo jejich recyklace, včetně jejich komponentů. </w:t>
      </w:r>
      <w:r>
        <w:t xml:space="preserve">Dále zákon upravuje konkrétní povinnosti pro oddělené a bezpečné nakládání se zpětně odebranými výrobky s ukončenou životností, z nichž některé budou dále upřesněny stanovením požadavků vyhláškou ministerstva (např. požadavky na </w:t>
      </w:r>
      <w:r w:rsidRPr="003D6667">
        <w:lastRenderedPageBreak/>
        <w:t>shromažďovací prostředky a plochy v místech zpětného odběru a stavebně technické provedení míst zpětného odběru</w:t>
      </w:r>
      <w:r>
        <w:t xml:space="preserve">, požadavky na jednotlivé způsoby nakládání se zpětně odebranými výrobky s ukončenou životností, povinnost nakládat s výrobky s ukončenou životností tak, aby z nich nemohly unikat nebezpečné látky ohrožující zdraví lidí nebo životní prostředí atd.). Nejde-li o zpracovatele, nesmějí osoby nakládající s výrobky s ukončenou životností tyto </w:t>
      </w:r>
      <w:r w:rsidRPr="002A04C4">
        <w:t>výrobky rozebírat nebo do nich jinak zasahovat.</w:t>
      </w:r>
    </w:p>
    <w:p w:rsidR="00CC0F90" w:rsidRDefault="00CC0F90" w:rsidP="00CC0F90">
      <w:pPr>
        <w:spacing w:before="240"/>
      </w:pPr>
      <w:r>
        <w:t xml:space="preserve">Provozovatel místa zpětného odběru nemusí převzít </w:t>
      </w:r>
      <w:r w:rsidRPr="00853C74">
        <w:t>výrob</w:t>
      </w:r>
      <w:r>
        <w:t>e</w:t>
      </w:r>
      <w:r w:rsidRPr="00853C74">
        <w:t>k</w:t>
      </w:r>
      <w:r>
        <w:t xml:space="preserve"> </w:t>
      </w:r>
      <w:r w:rsidRPr="00853C74">
        <w:t>s ukončenou životností</w:t>
      </w:r>
      <w:r>
        <w:t xml:space="preserve">, který </w:t>
      </w:r>
      <w:r w:rsidRPr="002F4829">
        <w:t>z důvodu kontaminace nebo závažného poškození ohrožuje zdraví osob, které zpětný odběr provádějí, nebo pokud obsahuje přidaný odpad</w:t>
      </w:r>
      <w:r>
        <w:t xml:space="preserve">. Dále může odmítnout převzetí </w:t>
      </w:r>
      <w:r w:rsidRPr="00F61FE5">
        <w:t>výrobk</w:t>
      </w:r>
      <w:r>
        <w:t>ů</w:t>
      </w:r>
      <w:r w:rsidRPr="00F61FE5">
        <w:t xml:space="preserve"> s ukončenou životností</w:t>
      </w:r>
      <w:r>
        <w:t xml:space="preserve"> tehdy, jestliže vzhledem k jejich množství a typu či jiným okolnostem lze mít důvodné pochybnosti, že jde o výrobky s ukončenou životností od konečného uživatele</w:t>
      </w:r>
      <w:r w:rsidRPr="00780EB7">
        <w:t>.</w:t>
      </w:r>
      <w:r>
        <w:t xml:space="preserve"> Toto ustanovení má za cíl zamezit zneužívání systémů zpětného odběru osobami, které nejsou konečnými uživateli, ale nositeli povinností podle tohoto zákona (například výrobce, který by z důvodu úspory nákladů na zpracování výrobků s ukončenou životností předával tyto výrobky dále ke zpětnému odběru do systému provozovaného jiným výrobcem; jde v podstatě o formu free-ridingu).</w:t>
      </w:r>
    </w:p>
    <w:p w:rsidR="00CC0F90" w:rsidRDefault="00CC0F90" w:rsidP="00CC0F90">
      <w:pPr>
        <w:spacing w:before="240"/>
      </w:pPr>
      <w:r w:rsidRPr="000303C6">
        <w:t xml:space="preserve">Zpětně odebraný výrobek s ukončenou životností musí být předán pouze </w:t>
      </w:r>
      <w:r>
        <w:t>zpracovateli</w:t>
      </w:r>
      <w:r w:rsidRPr="000303C6">
        <w:t xml:space="preserve"> určené</w:t>
      </w:r>
      <w:r>
        <w:t>mu</w:t>
      </w:r>
      <w:r w:rsidRPr="000303C6">
        <w:t xml:space="preserve"> výrobcem</w:t>
      </w:r>
      <w:r>
        <w:t xml:space="preserve">, neboť v souladu se zásadou rozšířené odpovědnosti výrobce vycházející z příslušných </w:t>
      </w:r>
      <w:r w:rsidRPr="000303C6">
        <w:t>předpis</w:t>
      </w:r>
      <w:r>
        <w:t>ů</w:t>
      </w:r>
      <w:r w:rsidRPr="000303C6">
        <w:t xml:space="preserve"> Evropské unie</w:t>
      </w:r>
      <w:r>
        <w:t xml:space="preserve"> by měly být výrobky s ukončenou životností nejen sbírány, ale také zpracovávány v rámci systémů výrobců, kteří mají povinnost tyto činnosti financovat. Problematika přístupu zpracovatelů k zakázkám na zpracování </w:t>
      </w:r>
      <w:r w:rsidRPr="000303C6">
        <w:t>výrobk</w:t>
      </w:r>
      <w:r>
        <w:t>ů</w:t>
      </w:r>
      <w:r w:rsidRPr="000303C6">
        <w:t xml:space="preserve"> s ukončenou životností </w:t>
      </w:r>
      <w:r>
        <w:t>za rovných, nediskriminačních podmínek je řešena v dílu 5 oddílu 3 této hlavy v ustanoveních věnovaných kolektivním systémům, které mohou mít vzhledem ke své tržní síle potenciál ovlivňovat soutěžní prostředí na trhu zpracovatelů odpadů.</w:t>
      </w:r>
    </w:p>
    <w:p w:rsidR="00CC0F90" w:rsidRPr="00E958B8" w:rsidRDefault="00CC0F90" w:rsidP="00CC0F90">
      <w:pPr>
        <w:spacing w:before="240"/>
        <w:rPr>
          <w:b/>
        </w:rPr>
      </w:pPr>
      <w:r w:rsidRPr="00E958B8">
        <w:rPr>
          <w:b/>
        </w:rPr>
        <w:t>K </w:t>
      </w:r>
      <w:r>
        <w:rPr>
          <w:b/>
        </w:rPr>
        <w:t>§</w:t>
      </w:r>
      <w:r w:rsidRPr="00E958B8">
        <w:rPr>
          <w:b/>
        </w:rPr>
        <w:t xml:space="preserve"> </w:t>
      </w:r>
      <w:r>
        <w:rPr>
          <w:b/>
        </w:rPr>
        <w:t>16</w:t>
      </w:r>
    </w:p>
    <w:p w:rsidR="00CC0F90" w:rsidRDefault="00CC0F90" w:rsidP="00CC0F90">
      <w:pPr>
        <w:spacing w:before="240"/>
      </w:pPr>
      <w:r>
        <w:t>Poslední prodejce vybraných výrobků může být provozovatelem místa zpětného odběru, pokud u něj výrobce na základě smlouvy s ním místo zpětného odběru zřídil, případně může mít za určitých podmínek stanovených v hlavě III</w:t>
      </w:r>
      <w:r w:rsidDel="00814E8E">
        <w:t xml:space="preserve"> </w:t>
      </w:r>
      <w:r>
        <w:t xml:space="preserve">povinnost přijímat některé výrobky s ukončenou životností ke zpětnému odběru bez ohledu na to, zda u něj výrobce zřídil místo zpětného odběru či nikoliv. Nejde-li o žádnou z těchto situací, je poslední prodejce oprávněn zpětně odebírat výrobky s ukončenou životností podobného typu a použití jako vybrané výrobky, které dodává konečnému uživateli, </w:t>
      </w:r>
      <w:r w:rsidRPr="007733D3">
        <w:t>ať už samostatně nebo jako součást či příslušenství jiných výrobků</w:t>
      </w:r>
      <w:r>
        <w:t xml:space="preserve">. To má význam např. v případě autoservisů při výměnách autobaterií nebo pneuservisů při výměnách pneumatik na vozidlech. </w:t>
      </w:r>
      <w:r w:rsidRPr="00ED2070">
        <w:t>Zpětný odběr výrobků s ukončenou životností zajišťovaný posledním prodejcem, a to jak povinný, tak zmíněný odběr z vlastní vůle, musí být vždy prováděn bez nároku na úplatu od konečného uživatele.</w:t>
      </w:r>
    </w:p>
    <w:p w:rsidR="00CC0F90" w:rsidRDefault="00CC0F90" w:rsidP="00CC0F90">
      <w:pPr>
        <w:spacing w:before="240"/>
      </w:pPr>
      <w:r>
        <w:t xml:space="preserve">V prvním z uvedených případů je poslední prodejce součástí systému výrobce, který na základě smluvního vztahu s ním určuje, jak má být prováděn zpětný odběr a komu mají být zpětně odebrané výrobky s ukončenou životností předávány. </w:t>
      </w:r>
    </w:p>
    <w:p w:rsidR="00CC0F90" w:rsidRDefault="00CC0F90" w:rsidP="00CC0F90">
      <w:pPr>
        <w:spacing w:before="240"/>
      </w:pPr>
      <w:r>
        <w:lastRenderedPageBreak/>
        <w:t xml:space="preserve">Ve druhém a třetím z uvedených případů poslední prodejce provádí zpětný odběr některých výrobků s ukončenou životností na základě povinnosti nebo oprávnění stanovených tímto zákonem. Poslední prodejce je v tomto případě nezávislý na konkrétním systému výrobce. Zákon nicméně z důvodu zachování principu rozšířené odpovědnosti výrobce stanoví poslednímu prodejci povinnost předat </w:t>
      </w:r>
      <w:r w:rsidRPr="00475D8E">
        <w:t xml:space="preserve">bez zbytečného odkladu zpětně odebraný výrobek s ukončenou životností </w:t>
      </w:r>
      <w:r w:rsidRPr="00E5763D">
        <w:t>do systém</w:t>
      </w:r>
      <w:r>
        <w:t xml:space="preserve">u zpětného odběru výrobce. Nejedná se ovšem o konkrétní systém, takže je na posledním prodejci, do kterého systému </w:t>
      </w:r>
      <w:r w:rsidRPr="00475D8E">
        <w:t>výrobek s ukončenou životností</w:t>
      </w:r>
      <w:r>
        <w:t xml:space="preserve"> předá. Aby nenastala situace, že žádný z výrobců (resp. provozovatelů kolektivních systémů) nebude mít zájem výrobek </w:t>
      </w:r>
      <w:r w:rsidRPr="00475D8E">
        <w:t>s ukončenou životností</w:t>
      </w:r>
      <w:r>
        <w:t xml:space="preserve"> od posledního prodejce převzít, dává zákon poslednímu prodejci právo požadovat, aby od něj </w:t>
      </w:r>
      <w:r w:rsidRPr="00475D8E">
        <w:t>zpětně odebraný výrobek s ukončenou životností</w:t>
      </w:r>
      <w:r>
        <w:t xml:space="preserve"> převzal ten výrobce, který ho uvedl na trh (resp. kolektivní systém, do něhož je takový výrobce zapojen).</w:t>
      </w:r>
    </w:p>
    <w:p w:rsidR="00CC0F90" w:rsidRDefault="00CC0F90" w:rsidP="00CC0F90">
      <w:pPr>
        <w:spacing w:before="240"/>
      </w:pPr>
      <w:r>
        <w:t>Zákon ukládá každému poslednímu prodejci vybraných výrobků (tedy nejen těm, kteří mají povinnost provádět zpětný odběr) písemně</w:t>
      </w:r>
      <w:r w:rsidRPr="008B0477">
        <w:t xml:space="preserve"> informovat konečného uživatele o způsobu zajištění zpětného odběru těchto výrobků po ukončení jejich životnosti.</w:t>
      </w:r>
      <w:r>
        <w:t xml:space="preserve"> Pro případ nesplnění této povinnosti stanoví zákon poslednímu prodejci povinnost odebírat </w:t>
      </w:r>
      <w:r w:rsidRPr="00475D8E">
        <w:t xml:space="preserve">výrobky s ukončenou životností </w:t>
      </w:r>
      <w:r>
        <w:t>od konečných uživatelů</w:t>
      </w:r>
      <w:r w:rsidRPr="00475D8E">
        <w:t xml:space="preserve"> přímo v provozovně, a to bez nároku na úplatu od konečného uživatele, po celou provozní dobu a bez vázání odebrání výrobků</w:t>
      </w:r>
      <w:r w:rsidRPr="00475D8E" w:rsidDel="00380874">
        <w:t xml:space="preserve"> </w:t>
      </w:r>
      <w:r w:rsidRPr="00475D8E">
        <w:t>s ukončenou životností na nákup zboží.</w:t>
      </w:r>
      <w:r>
        <w:t xml:space="preserve"> Další povinnosti posledních prodejců týkající se informování konečných uživatelů stanoví zákon v hlavě III.</w:t>
      </w:r>
    </w:p>
    <w:p w:rsidR="00CC0F90" w:rsidRPr="00E958B8" w:rsidRDefault="00CC0F90" w:rsidP="00CC0F90">
      <w:pPr>
        <w:spacing w:before="240"/>
        <w:rPr>
          <w:b/>
        </w:rPr>
      </w:pPr>
      <w:r w:rsidRPr="00E958B8">
        <w:rPr>
          <w:b/>
        </w:rPr>
        <w:t>K </w:t>
      </w:r>
      <w:r>
        <w:rPr>
          <w:b/>
        </w:rPr>
        <w:t>§</w:t>
      </w:r>
      <w:r w:rsidRPr="00E958B8">
        <w:rPr>
          <w:b/>
        </w:rPr>
        <w:t xml:space="preserve"> </w:t>
      </w:r>
      <w:r>
        <w:rPr>
          <w:b/>
        </w:rPr>
        <w:t>17</w:t>
      </w:r>
    </w:p>
    <w:p w:rsidR="00CC0F90" w:rsidRDefault="00CC0F90" w:rsidP="00CC0F90">
      <w:pPr>
        <w:spacing w:before="240"/>
      </w:pPr>
      <w:r>
        <w:t>Ustanovení rozšiřuje povinnost výrobců, která platí od 1. června 2015 pouze pro oblast elektrozařízení, také na oblasti baterií a akumulátorů a pneumatik. Je navrhováno</w:t>
      </w:r>
      <w:r w:rsidRPr="00AC649A">
        <w:t xml:space="preserve"> </w:t>
      </w:r>
      <w:r>
        <w:t>rozšíření stávajícího veřejně přístupného registru míst zpětného odběru v oblasti elektrozařízení na jednotný</w:t>
      </w:r>
      <w:r w:rsidRPr="00AC649A">
        <w:t xml:space="preserve"> registr míst zpětného odběru, do kterého budou nejen výrobci elektrozařízení určených k použití v domácnostech, ale i </w:t>
      </w:r>
      <w:r>
        <w:t xml:space="preserve">výrobci baterií nebo akumulátorů a výrobci </w:t>
      </w:r>
      <w:r w:rsidRPr="00AC649A">
        <w:t xml:space="preserve">pneumatik vkládat dálkovým přístupem údaje </w:t>
      </w:r>
      <w:r>
        <w:t xml:space="preserve">o jimi zřízených místech zpětného odběru </w:t>
      </w:r>
      <w:r w:rsidRPr="00AC649A">
        <w:t xml:space="preserve">ve stanoveném rozsahu a formátu. Registr by měl přispět </w:t>
      </w:r>
      <w:r>
        <w:t xml:space="preserve">zejména </w:t>
      </w:r>
      <w:r w:rsidRPr="00AC649A">
        <w:t>k</w:t>
      </w:r>
      <w:r>
        <w:t xml:space="preserve">e zvýšení informovanosti konečných uživatelů </w:t>
      </w:r>
      <w:r w:rsidRPr="00AC649A">
        <w:t xml:space="preserve">a umožnit </w:t>
      </w:r>
      <w:r>
        <w:t>jim snadno dohledat nejbližší místa</w:t>
      </w:r>
      <w:r w:rsidRPr="00AC649A">
        <w:t xml:space="preserve"> zpětného odběru</w:t>
      </w:r>
      <w:r>
        <w:t xml:space="preserve"> pro výrobky s ukončenou životností</w:t>
      </w:r>
      <w:r w:rsidRPr="00AC649A">
        <w:t xml:space="preserve">. </w:t>
      </w:r>
      <w:r>
        <w:t>Konečný uživatel</w:t>
      </w:r>
      <w:r w:rsidRPr="00AC649A">
        <w:t xml:space="preserve"> tak bude mít přehled o </w:t>
      </w:r>
      <w:r>
        <w:t xml:space="preserve">jemu nejsnáze dostupném </w:t>
      </w:r>
      <w:r w:rsidRPr="00AC649A">
        <w:t>míst</w:t>
      </w:r>
      <w:r>
        <w:t>ě</w:t>
      </w:r>
      <w:r w:rsidRPr="00AC649A">
        <w:t xml:space="preserve"> zpětného odběru </w:t>
      </w:r>
      <w:r>
        <w:t xml:space="preserve">a </w:t>
      </w:r>
      <w:r w:rsidRPr="00AC649A">
        <w:t>nikoliv pouze o sběrných sítích jednotlivých provozovatelů kolektivníc</w:t>
      </w:r>
      <w:r>
        <w:t>h systémů či jednotlivých výrobc</w:t>
      </w:r>
      <w:r w:rsidRPr="00AC649A">
        <w:t xml:space="preserve">ů. Registr míst zpětného odběru </w:t>
      </w:r>
      <w:r>
        <w:t>se</w:t>
      </w:r>
      <w:r w:rsidRPr="00AC649A">
        <w:t xml:space="preserve"> zř</w:t>
      </w:r>
      <w:r>
        <w:t>izuje</w:t>
      </w:r>
      <w:r w:rsidRPr="00AC649A">
        <w:t xml:space="preserve"> jako informační systém veřejné správy, jehož správcem </w:t>
      </w:r>
      <w:r>
        <w:t>je m</w:t>
      </w:r>
      <w:r w:rsidRPr="00AC649A">
        <w:t>inisterstvo.</w:t>
      </w:r>
    </w:p>
    <w:p w:rsidR="00CC0F90" w:rsidRPr="00E958B8" w:rsidRDefault="00CC0F90" w:rsidP="00BD7946">
      <w:pPr>
        <w:keepNext/>
        <w:spacing w:before="240"/>
        <w:rPr>
          <w:b/>
        </w:rPr>
      </w:pPr>
      <w:r w:rsidRPr="00E958B8">
        <w:rPr>
          <w:b/>
        </w:rPr>
        <w:t>K </w:t>
      </w:r>
      <w:r>
        <w:rPr>
          <w:b/>
        </w:rPr>
        <w:t>§</w:t>
      </w:r>
      <w:r w:rsidRPr="00E958B8">
        <w:rPr>
          <w:b/>
        </w:rPr>
        <w:t xml:space="preserve"> </w:t>
      </w:r>
      <w:r>
        <w:rPr>
          <w:b/>
        </w:rPr>
        <w:t xml:space="preserve">18 </w:t>
      </w:r>
    </w:p>
    <w:p w:rsidR="00CC0F90" w:rsidRDefault="00CC0F90" w:rsidP="00CC0F90">
      <w:pPr>
        <w:spacing w:before="240"/>
      </w:pPr>
      <w:r>
        <w:t xml:space="preserve">Zákon sjednocuje pravidla vedení Seznamu výrobců pro jednotlivé druhy vybraných výrobků (podle dosavadního zákona o odpadech se odlišuje zejména Seznam výrobců elektrozařízení od Seznamu výrobců baterií a akumulátorů a Seznamu povinných osob v oblasti zpětného odběru pneumatik). Půjde o jeden </w:t>
      </w:r>
      <w:r w:rsidRPr="009B2CCE">
        <w:t>informační systém veřejné s</w:t>
      </w:r>
      <w:r>
        <w:t>právy sloužící k vedení údajů o </w:t>
      </w:r>
      <w:r w:rsidRPr="009B2CCE">
        <w:t>výrobcích a pověřených zástupcích, jehož správcem bude</w:t>
      </w:r>
      <w:r>
        <w:t xml:space="preserve"> ministerstvo, nicméně skládat se </w:t>
      </w:r>
      <w:r>
        <w:lastRenderedPageBreak/>
        <w:t xml:space="preserve">bude ze tří oddělených databází: </w:t>
      </w:r>
      <w:r w:rsidRPr="00986147">
        <w:t>Seznamu výrobců elektrozařízení, Seznamu výrobců baterií nebo akumulátorů a Seznamu výrobců pneumatik.</w:t>
      </w:r>
      <w:r>
        <w:t xml:space="preserve"> </w:t>
      </w:r>
    </w:p>
    <w:p w:rsidR="00CC0F90" w:rsidRPr="00E958B8" w:rsidRDefault="00CC0F90" w:rsidP="00BD7946">
      <w:pPr>
        <w:keepNext/>
        <w:spacing w:before="240"/>
        <w:rPr>
          <w:b/>
        </w:rPr>
      </w:pPr>
      <w:r w:rsidRPr="00E958B8">
        <w:rPr>
          <w:b/>
        </w:rPr>
        <w:t>K </w:t>
      </w:r>
      <w:r>
        <w:rPr>
          <w:b/>
        </w:rPr>
        <w:t>§</w:t>
      </w:r>
      <w:r w:rsidRPr="00E958B8">
        <w:rPr>
          <w:b/>
        </w:rPr>
        <w:t xml:space="preserve"> </w:t>
      </w:r>
      <w:r>
        <w:rPr>
          <w:b/>
        </w:rPr>
        <w:t>19 a 20</w:t>
      </w:r>
    </w:p>
    <w:p w:rsidR="00CC0F90" w:rsidRDefault="00CC0F90" w:rsidP="00CC0F90">
      <w:pPr>
        <w:spacing w:before="240"/>
      </w:pPr>
      <w:r w:rsidRPr="00C35570">
        <w:t xml:space="preserve">Výrobce je povinen podat ministerstvu </w:t>
      </w:r>
      <w:r w:rsidRPr="008804E6">
        <w:t xml:space="preserve">žádost o </w:t>
      </w:r>
      <w:r w:rsidRPr="00C35570">
        <w:t>zápis do Seznamu nejpozději v</w:t>
      </w:r>
      <w:r>
        <w:t> </w:t>
      </w:r>
      <w:r w:rsidRPr="00C35570">
        <w:t>den</w:t>
      </w:r>
      <w:r>
        <w:t>,</w:t>
      </w:r>
      <w:r w:rsidRPr="00C35570">
        <w:rPr>
          <w:rFonts w:eastAsia="Calibri"/>
          <w:szCs w:val="22"/>
          <w:lang w:bidi="ar-SA"/>
        </w:rPr>
        <w:t xml:space="preserve"> </w:t>
      </w:r>
      <w:r w:rsidRPr="00C35570">
        <w:t>kdy poprvé uvedl vybrané výrobky na trh</w:t>
      </w:r>
      <w:r>
        <w:t xml:space="preserve">. Jestliže si zahraniční výrobce (nebo osoba podle § 81 odst. 2) určila pověřeného zástupce, podává </w:t>
      </w:r>
      <w:r w:rsidRPr="008804E6">
        <w:t>žádost o zápis do Seznamu namísto výrobce, jehož povinnosti podle tohoto zákona plní.</w:t>
      </w:r>
      <w:r>
        <w:t xml:space="preserve"> Zákon upravuje podmínky, za nichž v takovém případě výrobce není povinen podat </w:t>
      </w:r>
      <w:r w:rsidRPr="008804E6">
        <w:t>žádost o zápis do Seznamu</w:t>
      </w:r>
      <w:r>
        <w:t>. Platí zásada, že za plnění povinností výrobce odpovídá</w:t>
      </w:r>
      <w:r w:rsidRPr="00AC131D">
        <w:t xml:space="preserve"> </w:t>
      </w:r>
      <w:r>
        <w:t>pouze ten pověřený zástupce, který je zapsán v Seznamu. Není-li tato podmínka splněna, odpovídá za plnění těchto povinností výrobce.</w:t>
      </w:r>
    </w:p>
    <w:p w:rsidR="00CC0F90" w:rsidRPr="00656802" w:rsidRDefault="00CC0F90" w:rsidP="00CC0F90">
      <w:pPr>
        <w:spacing w:before="240"/>
      </w:pPr>
      <w:r>
        <w:t xml:space="preserve">Zákon stanoví povinné náležitosti, které musí obsahovat </w:t>
      </w:r>
      <w:r w:rsidRPr="008804E6">
        <w:t xml:space="preserve">žádost o </w:t>
      </w:r>
      <w:r w:rsidRPr="00C35570">
        <w:t>zápis do Seznamu</w:t>
      </w:r>
      <w:r>
        <w:t xml:space="preserve">. Jde jak o údaje o osobě výrobce nebo pověřeného zástupce, tak také údaje o vybraných výrobcích uváděných na trh a především údaje o </w:t>
      </w:r>
      <w:r w:rsidRPr="00BA26C9">
        <w:t>způsobu zajištěn</w:t>
      </w:r>
      <w:r>
        <w:t>í zpětného odběru, zpracování a </w:t>
      </w:r>
      <w:r w:rsidRPr="00BA26C9">
        <w:t>využití nebo odstranění výrobků s ukončenou životností a informování konečných uživatelů a</w:t>
      </w:r>
      <w:r>
        <w:t xml:space="preserve"> o </w:t>
      </w:r>
      <w:r w:rsidRPr="00BA26C9">
        <w:t>způsob</w:t>
      </w:r>
      <w:r>
        <w:t>u</w:t>
      </w:r>
      <w:r w:rsidRPr="00BA26C9">
        <w:t xml:space="preserve"> financování </w:t>
      </w:r>
      <w:r>
        <w:t>těchto činností. V případě pověřeného zástupce se předkládají rovněž písemné pověření</w:t>
      </w:r>
      <w:r w:rsidRPr="00656802">
        <w:t xml:space="preserve"> </w:t>
      </w:r>
      <w:r>
        <w:t xml:space="preserve">a </w:t>
      </w:r>
      <w:r w:rsidRPr="00656802">
        <w:t xml:space="preserve">identifikační údaje zahraniční osoby, </w:t>
      </w:r>
      <w:r>
        <w:t>která si</w:t>
      </w:r>
      <w:r w:rsidRPr="00656802">
        <w:t xml:space="preserve"> pověřen</w:t>
      </w:r>
      <w:r>
        <w:t>ého</w:t>
      </w:r>
      <w:r w:rsidRPr="00656802">
        <w:t xml:space="preserve"> zástupce</w:t>
      </w:r>
      <w:r>
        <w:t xml:space="preserve"> určila.</w:t>
      </w:r>
    </w:p>
    <w:p w:rsidR="00CC0F90" w:rsidRDefault="00CC0F90" w:rsidP="00CC0F90">
      <w:pPr>
        <w:spacing w:before="240"/>
      </w:pPr>
      <w:r w:rsidRPr="00615AF5">
        <w:t xml:space="preserve">Pokud výrobce </w:t>
      </w:r>
      <w:r>
        <w:t>nebo pověřený zástupce</w:t>
      </w:r>
      <w:r w:rsidRPr="00615AF5">
        <w:t xml:space="preserve"> plní své povinnosti prostřednictvím </w:t>
      </w:r>
      <w:r>
        <w:t>provozovatele</w:t>
      </w:r>
      <w:r w:rsidRPr="00615AF5">
        <w:t xml:space="preserve"> kolektivního systému, </w:t>
      </w:r>
      <w:r w:rsidRPr="008804E6">
        <w:t xml:space="preserve">žádost o </w:t>
      </w:r>
      <w:r w:rsidRPr="00C35570">
        <w:t xml:space="preserve">zápis </w:t>
      </w:r>
      <w:r w:rsidRPr="00615AF5">
        <w:t>do Seznamu nepod</w:t>
      </w:r>
      <w:r>
        <w:t>ává. Veškeré požadované údaje o </w:t>
      </w:r>
      <w:r w:rsidRPr="00615AF5">
        <w:t xml:space="preserve">takovém výrobci </w:t>
      </w:r>
      <w:r>
        <w:t>nebo pověřeném zástupci</w:t>
      </w:r>
      <w:r w:rsidRPr="00615AF5">
        <w:t xml:space="preserve"> a způsobu plnění je</w:t>
      </w:r>
      <w:r>
        <w:t>jich</w:t>
      </w:r>
      <w:r w:rsidRPr="00615AF5">
        <w:t xml:space="preserve"> povinností za ně vkládá do Seznamu provozovatel kolektivního systému dálkovým přístupem.</w:t>
      </w:r>
      <w:r>
        <w:t xml:space="preserve"> Výjimkou jsou údaje o </w:t>
      </w:r>
      <w:r w:rsidRPr="00BA26C9">
        <w:t>způsobu zajištění</w:t>
      </w:r>
      <w:r>
        <w:t xml:space="preserve"> plnění povinností a financování, neboť ty jsou v případě kolektivního plnění společné v rámci celého kolektivního systému a jsou součástí </w:t>
      </w:r>
      <w:r w:rsidRPr="008213EF">
        <w:t>projekt</w:t>
      </w:r>
      <w:r>
        <w:t>u</w:t>
      </w:r>
      <w:r w:rsidRPr="008213EF">
        <w:t xml:space="preserve"> zajišťování kolektivního plnění</w:t>
      </w:r>
      <w:r>
        <w:t>, který předkládá provozovatel kolektivního systému se žádostí</w:t>
      </w:r>
      <w:r w:rsidRPr="008213EF">
        <w:t xml:space="preserve"> o vydání oprávnění k provozování kolektivního systému</w:t>
      </w:r>
      <w:r>
        <w:t>.</w:t>
      </w:r>
    </w:p>
    <w:p w:rsidR="00CC0F90" w:rsidRDefault="00CC0F90" w:rsidP="00CC0F90">
      <w:pPr>
        <w:spacing w:before="240"/>
      </w:pPr>
      <w:r>
        <w:t xml:space="preserve">Oproti dosavadní právní úpravě v zákoně o odpadech ve vztahu zejména k Seznamu výrobců elektrozařízení nový zákon opouští koncept zapisování do Seznamu na základě rozhodnutí vydaného ministerstvem. Další změna spočívá v tom, že žádost neúplná nebo nedostatečná pro posouzení, </w:t>
      </w:r>
      <w:r w:rsidRPr="0023114B">
        <w:t>zda je žadatelem zajištěno plnění povinností stanovených tímto zákonem</w:t>
      </w:r>
      <w:r>
        <w:t>, již nebude překážkou provedení zápisu do Seznamu. Ministerstvo v takovém případě nejprve žadatele vyzve, aby ve stanovené lhůtě žádost doplnil</w:t>
      </w:r>
      <w:r w:rsidRPr="00C0630E">
        <w:t xml:space="preserve"> </w:t>
      </w:r>
      <w:r w:rsidRPr="0023114B">
        <w:t>nebo upřesnil</w:t>
      </w:r>
      <w:r>
        <w:t>, a z</w:t>
      </w:r>
      <w:r w:rsidRPr="0023114B">
        <w:t xml:space="preserve">ároveň jej poučí, jak to má učinit. </w:t>
      </w:r>
      <w:r>
        <w:t xml:space="preserve">Po vzoru úpravy v zákoně č. 477/2001 Sb., o obalech </w:t>
      </w:r>
      <w:r w:rsidRPr="00E20D4E">
        <w:t>a o změně některých zákonů</w:t>
      </w:r>
      <w:r>
        <w:t xml:space="preserve">, pak ministerstvo v případě, že žadatel ve </w:t>
      </w:r>
      <w:r w:rsidRPr="0023114B">
        <w:t>stanovené lhůtě</w:t>
      </w:r>
      <w:r w:rsidRPr="000C49A1">
        <w:t xml:space="preserve"> </w:t>
      </w:r>
      <w:r w:rsidRPr="0023114B">
        <w:t>svou žádost</w:t>
      </w:r>
      <w:r>
        <w:t xml:space="preserve"> nedoplní nebo neupřesní, </w:t>
      </w:r>
      <w:r w:rsidRPr="0023114B">
        <w:t>provede zápis do Seznamu na základě dostupných údajů</w:t>
      </w:r>
      <w:r>
        <w:t xml:space="preserve"> spolu s touto informací</w:t>
      </w:r>
      <w:r w:rsidRPr="0023114B">
        <w:t xml:space="preserve"> a</w:t>
      </w:r>
      <w:r>
        <w:t> může případně podat</w:t>
      </w:r>
      <w:r w:rsidRPr="0023114B">
        <w:t xml:space="preserve"> podnět</w:t>
      </w:r>
      <w:r w:rsidRPr="005C3A14">
        <w:t xml:space="preserve"> </w:t>
      </w:r>
      <w:r>
        <w:t>ČIŽP</w:t>
      </w:r>
      <w:r w:rsidRPr="005C3A14">
        <w:t xml:space="preserve"> </w:t>
      </w:r>
      <w:r w:rsidRPr="0023114B">
        <w:t>ke kontrole</w:t>
      </w:r>
      <w:r>
        <w:t xml:space="preserve">, zda </w:t>
      </w:r>
      <w:r w:rsidRPr="0023114B">
        <w:t>je žadatelem zajištěno plnění povinností stanovených tímto zákonem</w:t>
      </w:r>
      <w:r>
        <w:t xml:space="preserve">. Uvedené změny vycházejí z premisy, že zápis do Seznamu má mít povahu registrační a nikoliv konstitutivní (výrobce je výrobcem již ze zákona). Vydávání rozhodnutí se jeví jako nadbytečné, je-li žádosti o zápis vyhověno, a představuje časově náročnější a zbytečně formalistický postup. Kromě toho je třeba, aby výrobce, který uvádí na trh vybrané výrobky, byl co nejdříve zapsán v Seznamu pro účely kontroly a vymáhání plnění povinností stanovených tímto zákonem a nemohl se těmto povinnostem snadno vyhýbat. </w:t>
      </w:r>
      <w:r>
        <w:lastRenderedPageBreak/>
        <w:t xml:space="preserve">Z toho důvodu zákon ani nepočítá s tím, že by žádost o zápis do Seznamu podaná výrobcem mohla být zamítnuta. Jiná situace ovšem je, je-li žadatelem pověřený zástupce. Jeho žádost ministerstvo </w:t>
      </w:r>
      <w:r w:rsidRPr="0023114B">
        <w:t>rozhodnutím</w:t>
      </w:r>
      <w:r>
        <w:t xml:space="preserve"> zamítne,</w:t>
      </w:r>
      <w:r w:rsidRPr="0023114B">
        <w:t xml:space="preserve"> nejsou-li splněny podmínky stanovené tímto zákonem, za nichž je možné pověřeného zástupce určit, nebo jestliže žadatel nedoložil písemné pověření, na jehož základě byl jako pověřený zástupce určen.</w:t>
      </w:r>
      <w:r>
        <w:t xml:space="preserve"> Není-li totiž pověřený zástupce zapsán do Seznamu, odpovídá za plnění povinností podle tohoto zákona stále výrobce. Vady bránící zápisu může takový výrobce vždy napravit novým určením pověřeného zástupce, který následně podá novou žádost o zápis.</w:t>
      </w:r>
    </w:p>
    <w:p w:rsidR="00CC0F90" w:rsidRDefault="00CC0F90" w:rsidP="00CC0F90">
      <w:pPr>
        <w:spacing w:before="240"/>
      </w:pPr>
      <w:r>
        <w:t xml:space="preserve">Oproti dosavadní právní úpravě v zákoně o odpadech v oblasti elektrozařízení se již provozovatelé kolektivních systémů nebudou zapisovat do Seznamu. Namísto toho nový zákon obsahuje podrobnou úpravu vydávání povolení k provozování kolektivního systému (viz dále). </w:t>
      </w:r>
    </w:p>
    <w:p w:rsidR="00CC0F90" w:rsidRPr="00E958B8" w:rsidRDefault="00CC0F90" w:rsidP="00CC0F90">
      <w:pPr>
        <w:spacing w:before="240"/>
        <w:rPr>
          <w:b/>
        </w:rPr>
      </w:pPr>
      <w:r w:rsidRPr="00E958B8">
        <w:rPr>
          <w:b/>
        </w:rPr>
        <w:t>K </w:t>
      </w:r>
      <w:r>
        <w:rPr>
          <w:b/>
        </w:rPr>
        <w:t>§</w:t>
      </w:r>
      <w:r w:rsidRPr="00E958B8">
        <w:rPr>
          <w:b/>
        </w:rPr>
        <w:t xml:space="preserve"> </w:t>
      </w:r>
      <w:r>
        <w:rPr>
          <w:b/>
        </w:rPr>
        <w:t xml:space="preserve">21 </w:t>
      </w:r>
      <w:r w:rsidRPr="00E8276F">
        <w:rPr>
          <w:b/>
        </w:rPr>
        <w:t>a 22</w:t>
      </w:r>
    </w:p>
    <w:p w:rsidR="00CC0F90" w:rsidRDefault="00CC0F90" w:rsidP="00CC0F90">
      <w:pPr>
        <w:spacing w:before="240"/>
        <w:rPr>
          <w:bCs/>
        </w:rPr>
      </w:pPr>
      <w:r>
        <w:t>Zákon navazuje na dosavadní právní úpravu v zákoně o odpadech v oblasti elektrozařízení a v </w:t>
      </w:r>
      <w:r w:rsidRPr="009C24C5">
        <w:rPr>
          <w:bCs/>
        </w:rPr>
        <w:t>souladu s požadavkem čl. 16 odst. 2 směrnice 2012/19/EU</w:t>
      </w:r>
      <w:r>
        <w:rPr>
          <w:bCs/>
        </w:rPr>
        <w:t xml:space="preserve"> umožňuje osobám zapsaným v Seznamu provádět změny zapsaných údajů</w:t>
      </w:r>
      <w:r w:rsidRPr="00CF792D">
        <w:rPr>
          <w:bCs/>
        </w:rPr>
        <w:t xml:space="preserve"> </w:t>
      </w:r>
      <w:r>
        <w:rPr>
          <w:bCs/>
        </w:rPr>
        <w:t xml:space="preserve">samostatně </w:t>
      </w:r>
      <w:r w:rsidRPr="00CF792D">
        <w:rPr>
          <w:bCs/>
        </w:rPr>
        <w:t>dálkovým přístupem (prostřednictvím uživatelského účtu, který j</w:t>
      </w:r>
      <w:r>
        <w:rPr>
          <w:bCs/>
        </w:rPr>
        <w:t xml:space="preserve">im bude za tím účelem zřízen). Nevyužije-li zapsaná osoba této možnosti, změny údajů oznamuje ministerstvu, které na základě oznámení změny v zápisu v </w:t>
      </w:r>
      <w:r w:rsidRPr="00077E0A">
        <w:rPr>
          <w:bCs/>
        </w:rPr>
        <w:t>Seznamu provede. V obou případech má zapsaná osoba povinnost změnu údajů provést nebo oznámit ministerstvu do 30 dnů ode dne, kdy nastala skutečnost, která tuto změnu odůvodňuje.</w:t>
      </w:r>
      <w:r>
        <w:rPr>
          <w:bCs/>
        </w:rPr>
        <w:t xml:space="preserve"> Výjimkou jsou změny údajů o zapsaných osobách, které ministerstvo provádí </w:t>
      </w:r>
      <w:r>
        <w:t xml:space="preserve">na základě údajů získaných ze základních registrů </w:t>
      </w:r>
      <w:r>
        <w:rPr>
          <w:bCs/>
        </w:rPr>
        <w:t>(zákon č. 111/2009 Sb., o </w:t>
      </w:r>
      <w:r w:rsidRPr="009C24C5">
        <w:rPr>
          <w:bCs/>
        </w:rPr>
        <w:t>základních registrech, ve znění pozdějších předpisů)</w:t>
      </w:r>
      <w:r>
        <w:rPr>
          <w:bCs/>
        </w:rPr>
        <w:t>.</w:t>
      </w:r>
    </w:p>
    <w:p w:rsidR="00CC0F90" w:rsidRDefault="00CC0F90" w:rsidP="00CC0F90">
      <w:pPr>
        <w:spacing w:before="240"/>
      </w:pPr>
      <w:r>
        <w:t>V případě samostatného provádění změn údajů zapsanými osobami je upraven mechanismus, který má zamezit vkládání nesprávných, neúplných nebo nepravdivých údajů, který je koncipován obdobně jako postup v případě neúplné nebo nedostatečné</w:t>
      </w:r>
      <w:r w:rsidRPr="002C799D">
        <w:t xml:space="preserve"> </w:t>
      </w:r>
      <w:r>
        <w:t xml:space="preserve">žádosti o zápis do Seznamu. Ministerstvo v případě </w:t>
      </w:r>
      <w:r w:rsidRPr="00FC75F5">
        <w:t>pochybnost</w:t>
      </w:r>
      <w:r>
        <w:t>í</w:t>
      </w:r>
      <w:r w:rsidRPr="00FC75F5">
        <w:t xml:space="preserve"> vyzve zapsanou osobu, aby správnost, úplnost nebo pravdivost údajů doložila</w:t>
      </w:r>
      <w:r>
        <w:t xml:space="preserve">. Neučiní-li tak ve lhůtě </w:t>
      </w:r>
      <w:r w:rsidRPr="00FC75F5">
        <w:t>30 pracovních dnů od provedení změny</w:t>
      </w:r>
      <w:r>
        <w:t xml:space="preserve">, je změna automaticky potvrzena. Jinak změnu údajů provede ministerstvo na základě dokladů předložených na jeho výzvu zapsanou osobou. V případě pochybností, zda je v důsledku změny </w:t>
      </w:r>
      <w:r w:rsidRPr="0023114B">
        <w:t>žadatelem zajištěno plnění povinností stanovených tímto zákonem</w:t>
      </w:r>
      <w:r>
        <w:t>, ministerstvo vyrozumí o této skutečnosti zapsanou osobu a podá ČIŽP</w:t>
      </w:r>
      <w:r w:rsidRPr="005C3A14">
        <w:t xml:space="preserve"> </w:t>
      </w:r>
      <w:r w:rsidRPr="0023114B">
        <w:t>podnět ke kontrole</w:t>
      </w:r>
      <w:r>
        <w:t>.</w:t>
      </w:r>
    </w:p>
    <w:p w:rsidR="00CC0F90" w:rsidRDefault="00CC0F90" w:rsidP="00CC0F90">
      <w:pPr>
        <w:spacing w:before="240"/>
      </w:pPr>
      <w:r>
        <w:t>Ministerstvo může provést změnu údajů zapsaných v Seznamu také na základě vlastního zjištění. V tom o případě, jakož i v případě zamítnutí změny údajů iniciované zapsanou osobou, vydá ministerstvo rozhodnutí. Tím je zajištěna ochrana práv osob, jichž se zapsané údaje týkají. Naopak je-li změna údajů iniciovaná zapsanou osobou potvrzena, rozhodnutí by bylo jen zbytečným formalismem, proto se v takovém případě nevydává.</w:t>
      </w:r>
    </w:p>
    <w:p w:rsidR="00CC0F90" w:rsidRPr="00077E0A" w:rsidRDefault="00CC0F90" w:rsidP="00CC0F90">
      <w:pPr>
        <w:spacing w:before="240"/>
      </w:pPr>
      <w:r>
        <w:t xml:space="preserve">Popsané postupy změn údajů zapsaných v Seznamu se týkají pouze výrobců a pověřených zástupců, kteří jsou v Seznamu zapsáni jako osoby plnící své povinnosti v individuálním </w:t>
      </w:r>
      <w:r>
        <w:lastRenderedPageBreak/>
        <w:t xml:space="preserve">systému. Změny údajů o výrobcích a pověřených zástupcích, kteří plní </w:t>
      </w:r>
      <w:r w:rsidRPr="00AA4A38">
        <w:t>své povinnosti</w:t>
      </w:r>
      <w:r>
        <w:t xml:space="preserve"> </w:t>
      </w:r>
      <w:r w:rsidRPr="00AA4A38">
        <w:t>prostřednictvím</w:t>
      </w:r>
      <w:r w:rsidRPr="00AF4624">
        <w:t xml:space="preserve"> </w:t>
      </w:r>
      <w:r>
        <w:t xml:space="preserve">provozovatele kolektivního systému, nebo jejich výmaz provádí příslušný provozovatel kolektivního systému </w:t>
      </w:r>
      <w:r w:rsidRPr="00C02F67">
        <w:t>dálkovým přístupem</w:t>
      </w:r>
      <w:r>
        <w:t xml:space="preserve">. I v tomto případě ale platí provádění změn </w:t>
      </w:r>
      <w:r>
        <w:rPr>
          <w:bCs/>
        </w:rPr>
        <w:t xml:space="preserve">údajů o zapsaných osobách ministerstvem </w:t>
      </w:r>
      <w:r>
        <w:t>na základě údajů získaných ze základních registrů a možnost ministerstva provést rozhodnutím změnu údajů na základě vlastního zjištění.</w:t>
      </w:r>
    </w:p>
    <w:p w:rsidR="00CC0F90" w:rsidRDefault="00CC0F90" w:rsidP="00CC0F90">
      <w:pPr>
        <w:spacing w:before="240"/>
      </w:pPr>
      <w:r>
        <w:t xml:space="preserve">Výrobce nebo pověřený zástupce, který plní své povinnosti v individuálním systému, je dále povinen </w:t>
      </w:r>
      <w:r w:rsidRPr="0056360B">
        <w:t xml:space="preserve">oznámit ministerstvu, že zanikly důvody pro její zápis v Seznamu, </w:t>
      </w:r>
      <w:r>
        <w:t xml:space="preserve">a to </w:t>
      </w:r>
      <w:r w:rsidRPr="0056360B">
        <w:t>do 30 dnů ode dne, kdy tato skutečnost nastala.</w:t>
      </w:r>
      <w:r>
        <w:t xml:space="preserve"> Tuto povinnost mají i v případě, že se uzavřením smlouvy o kolektivním plnění (viz dále § 30) zapojí do kolektivního systému. Takového výrobce nebo pověřeného zástupce totiž již nelze vést v Seznamu samostatně, ale údaje o něm bude vkládat do Seznamu a aktualizovat příslušný provozovatel kolektivního systému.</w:t>
      </w:r>
    </w:p>
    <w:p w:rsidR="00CC0F90" w:rsidRPr="0056360B" w:rsidRDefault="00CC0F90" w:rsidP="00CC0F90">
      <w:pPr>
        <w:spacing w:before="240"/>
      </w:pPr>
      <w:r>
        <w:t>O vyřazení zapsané osoby ze Seznamu na základě jejího oznámení ministerstvo rozhodnutí nevydává. Pokud má ale být vyřazení ze Seznamu na základě oznámení zapsané osoby zamítnuto (zejm. zjistí-li ministerstvo, že důvody pro vedení osoby v Seznamu stále trvají), jakož i v případě vyřazení osoby na základě vlastního zjištění ministerstva, je nutné z důvodu ochrany jejích práv rozhodnutí vydat. Výjimkou je případ vyřazení z důvodu smrti fyzické osoby nebo zániku právnické osoby, neboť touto skutečností výrobce, resp. pověřený zástupce ve smyslu zákona přestává existovat, k žádnému zásahu do práv zde nemůže docházet a rozhodnutí by ani nebylo komu doručit.</w:t>
      </w:r>
    </w:p>
    <w:p w:rsidR="00CC0F90" w:rsidRPr="00E958B8" w:rsidRDefault="00CC0F90" w:rsidP="00CC0F90">
      <w:pPr>
        <w:spacing w:before="240"/>
        <w:rPr>
          <w:b/>
        </w:rPr>
      </w:pPr>
      <w:r w:rsidRPr="00E958B8">
        <w:rPr>
          <w:b/>
        </w:rPr>
        <w:t>K </w:t>
      </w:r>
      <w:r>
        <w:rPr>
          <w:b/>
        </w:rPr>
        <w:t>§</w:t>
      </w:r>
      <w:r w:rsidRPr="00E958B8">
        <w:rPr>
          <w:b/>
        </w:rPr>
        <w:t xml:space="preserve"> </w:t>
      </w:r>
      <w:r>
        <w:rPr>
          <w:b/>
        </w:rPr>
        <w:t>23</w:t>
      </w:r>
    </w:p>
    <w:p w:rsidR="00CC0F90" w:rsidRDefault="00CC0F90" w:rsidP="00CC0F90">
      <w:pPr>
        <w:spacing w:before="240"/>
      </w:pPr>
      <w:r>
        <w:t xml:space="preserve">Vzhledem k tomu, že </w:t>
      </w:r>
      <w:r w:rsidRPr="008241E8">
        <w:t>ve věcech zápisu do Seznamu</w:t>
      </w:r>
      <w:r>
        <w:t xml:space="preserve"> se rozhodnutí vydává pouze v některých zákonem stanovených případech (viz výše) a v řízeních o žádosti pouze v případě jejího zamítnutí, stanoví zákon, že rozhodnutí v těchto věcech </w:t>
      </w:r>
      <w:r w:rsidRPr="008241E8">
        <w:t>je prvním úkonem v řízení.</w:t>
      </w:r>
      <w:r>
        <w:t xml:space="preserve"> Účastník bude moci uplatnit v plném rozsahu svá procesní práva, podá-li proti rozhodnutí ministerstva rozklad. Navržené řešení je nezbytné z důvodu požadavku na pružnost a rychlost provádění zápisů v Seznamu a jejich změn tak, aby zapsané údaje odpovídaly skutečnostem a nebyla znesnadněna kontrola a vynucování povinností výrobců stanovených tímto zákonem. S ohledem na povahu zápisu do Seznamu jako aktu nikoliv konstitutivního a s tím spojený relativně jednoduchý postup v řízení vyžadující zpravidla pouze minimální dokazování na základě předložených listin, lze takové řešení považovat za přiměřené. </w:t>
      </w:r>
    </w:p>
    <w:p w:rsidR="00CC0F90" w:rsidRDefault="00CC0F90" w:rsidP="00CC0F90">
      <w:pPr>
        <w:spacing w:before="240"/>
      </w:pPr>
      <w:r>
        <w:t>Jelikož zápis v Seznamu se vždy týká jedné konkrétní osoby, stanoví zákon za účelem zamezení případným neodůvodněným nárokům jiných osob na účastenství v řízení, o nichž by muselo být rozhodováno, že ú</w:t>
      </w:r>
      <w:r w:rsidRPr="008241E8">
        <w:t>častníkem řízení o zápisu do Seznamu je pouze žadatel</w:t>
      </w:r>
      <w:r>
        <w:t xml:space="preserve"> a ú</w:t>
      </w:r>
      <w:r w:rsidRPr="008241E8">
        <w:t>častníkem řízení o změně zápisu v Seznamu nebo o vyřazení osoby ze Seznamu je pouze osoba, které se změna nebo vyřazení ze Seznamu týká</w:t>
      </w:r>
      <w:r>
        <w:t>.</w:t>
      </w:r>
    </w:p>
    <w:p w:rsidR="00CC0F90" w:rsidRPr="00E958B8" w:rsidRDefault="00CC0F90" w:rsidP="00BD7946">
      <w:pPr>
        <w:keepNext/>
        <w:spacing w:before="240"/>
        <w:rPr>
          <w:b/>
        </w:rPr>
      </w:pPr>
      <w:r w:rsidRPr="00E958B8">
        <w:rPr>
          <w:b/>
        </w:rPr>
        <w:lastRenderedPageBreak/>
        <w:t>K </w:t>
      </w:r>
      <w:r>
        <w:rPr>
          <w:b/>
        </w:rPr>
        <w:t>§</w:t>
      </w:r>
      <w:r w:rsidRPr="00E958B8">
        <w:rPr>
          <w:b/>
        </w:rPr>
        <w:t xml:space="preserve"> </w:t>
      </w:r>
      <w:r>
        <w:rPr>
          <w:b/>
        </w:rPr>
        <w:t>24</w:t>
      </w:r>
    </w:p>
    <w:p w:rsidR="00CC0F90" w:rsidRDefault="00CC0F90" w:rsidP="00CC0F90">
      <w:pPr>
        <w:spacing w:before="240"/>
      </w:pPr>
      <w:r>
        <w:t>Seznam je veřejně přístupnou databází, v níž může každý zjistit, zda se konkrétní výrobce „přihlásil“ k plnění povinností zpětného odběru, zpracování, využití nebo odstranění výrobků s ukončenou životností, pro jaké výrobky s ukončenou životností a jakým způsobem tyto povinnosti plní, zda tyto povinnosti plní namísto výrobce pověřený zástupce, jakož i některé další údaje o výrobci, resp. pověřeném zástupci v souvislosti s plněním povinností podle tohoto zákona. Seznam bude veřejně přístupný na internetových stránkách ministerstva (obdobně jako dnes Seznam výrobců elektrozařízení, Seznam výrobců baterií a akumulátorů a Seznam povinných osob v oblasti zpětného odběru pneumatik), a to v rozsahu zákonem stanovených údajů. Zveřejňovány tedy nebudou všechny údaje, které se předkládají v žádosti o zápis do Seznamu.</w:t>
      </w:r>
    </w:p>
    <w:p w:rsidR="00CC0F90" w:rsidRPr="00E958B8" w:rsidRDefault="00CC0F90" w:rsidP="00CC0F90">
      <w:pPr>
        <w:spacing w:before="240"/>
        <w:rPr>
          <w:b/>
        </w:rPr>
      </w:pPr>
      <w:r w:rsidRPr="00E958B8">
        <w:rPr>
          <w:b/>
        </w:rPr>
        <w:t>K </w:t>
      </w:r>
      <w:r>
        <w:rPr>
          <w:b/>
        </w:rPr>
        <w:t>§</w:t>
      </w:r>
      <w:r w:rsidRPr="00E958B8">
        <w:rPr>
          <w:b/>
        </w:rPr>
        <w:t xml:space="preserve"> </w:t>
      </w:r>
      <w:r>
        <w:rPr>
          <w:b/>
        </w:rPr>
        <w:t>25</w:t>
      </w:r>
    </w:p>
    <w:p w:rsidR="00CC0F90" w:rsidRDefault="00CC0F90" w:rsidP="00CC0F90">
      <w:pPr>
        <w:spacing w:before="240"/>
      </w:pPr>
      <w:r>
        <w:t>Pro případ, že na trh nebo do oběhu bude uveden vybraný výrobek, který nepochází od výrobce, jenž</w:t>
      </w:r>
      <w:r w:rsidRPr="0086295B">
        <w:t xml:space="preserve"> je zapsán v Seznamu, nebo je místo něj v Seznamu zapsán pověřený zástupce,</w:t>
      </w:r>
      <w:r>
        <w:t xml:space="preserve"> stanoví zákon, že </w:t>
      </w:r>
      <w:r w:rsidRPr="0086295B">
        <w:t>práva a povinnosti výrobce</w:t>
      </w:r>
      <w:r>
        <w:t xml:space="preserve"> má distributor takového výrobku. Povinnost zajistit zpětný odběr a následné nakládání s takovým výrobkem po ukončení jeho životnosti by pak mohla být vynucována na distributorovi. Neznamená to však, že by se výrobce odpovědnosti za plnění povinností stanovených tímto zákonem zbavil. Výrobce bude mít stále povinnosti zapsat se do Seznamu a zajistit zpětný odběr a další nakládání s výrobky s ukončenou životností, které uvádí na trh. Předmětné ustanovení má význam především v případech, pokud by distributor namítal, že není výrobcem ve smyslu tohoto zákona, avšak vzhledem k okolnostem by nebylo možné zjistit, která jiná osoba je výrobcem pro daný vybraný výrobek.</w:t>
      </w:r>
    </w:p>
    <w:p w:rsidR="00CC0F90" w:rsidRPr="00E958B8" w:rsidRDefault="00CC0F90" w:rsidP="00CC0F90">
      <w:pPr>
        <w:spacing w:before="240"/>
        <w:rPr>
          <w:b/>
        </w:rPr>
      </w:pPr>
      <w:r w:rsidRPr="00E958B8">
        <w:rPr>
          <w:b/>
        </w:rPr>
        <w:t>K </w:t>
      </w:r>
      <w:r>
        <w:rPr>
          <w:b/>
        </w:rPr>
        <w:t>§</w:t>
      </w:r>
      <w:r w:rsidRPr="00E958B8">
        <w:rPr>
          <w:b/>
        </w:rPr>
        <w:t xml:space="preserve"> </w:t>
      </w:r>
      <w:r>
        <w:rPr>
          <w:b/>
        </w:rPr>
        <w:t>26 až 29</w:t>
      </w:r>
    </w:p>
    <w:p w:rsidR="00CC0F90" w:rsidRDefault="00CC0F90" w:rsidP="00CC0F90">
      <w:pPr>
        <w:spacing w:before="240"/>
      </w:pPr>
      <w:r>
        <w:t xml:space="preserve">Ačkoliv dosavadní zákon o odpadech nestanoví samostatně plnícím výrobcům, s výjimkou oblasti elektrozařízení, evidenční povinnosti, je již dnes vedení evidencí množství vybraných výrobků uvedených na trh, </w:t>
      </w:r>
      <w:r w:rsidRPr="00A12989">
        <w:rPr>
          <w:bCs/>
        </w:rPr>
        <w:t>toku zpětně odebraných</w:t>
      </w:r>
      <w:r>
        <w:rPr>
          <w:bCs/>
        </w:rPr>
        <w:t xml:space="preserve"> výrobků s ukončenou životností a osob, které pro výrobce zajišťují nakládání s výrobky s ukončenou životností fakticky nezbytné pro vypracování roční zprávy o plnění povinností zpětného odběru a zpracování odpadních elektrozařízení, baterií a akumulátorů nebo pneumatik. Aby údaje zpracovávané jednou ročně v podobě roční zprávy byly i průběžně kontrolovatelné a aby byla zajištěna jejich spolehlivost tím, že budou evidovány ve stanovených intervalech v požadovaném rozsahu a stanoveným způsobem, stanoví nový zákon výrobcům povinnost tyto evidence vést. Jedná se o evidenci </w:t>
      </w:r>
      <w:r w:rsidRPr="00190E2E">
        <w:t>množství vybraných výrobků</w:t>
      </w:r>
      <w:r>
        <w:t>, které</w:t>
      </w:r>
      <w:r w:rsidRPr="00190E2E">
        <w:t xml:space="preserve"> </w:t>
      </w:r>
      <w:r>
        <w:t xml:space="preserve">výrobce </w:t>
      </w:r>
      <w:r w:rsidRPr="00190E2E">
        <w:t>uved</w:t>
      </w:r>
      <w:r>
        <w:t>l</w:t>
      </w:r>
      <w:r w:rsidRPr="00190E2E">
        <w:t xml:space="preserve"> na trh</w:t>
      </w:r>
      <w:r>
        <w:t xml:space="preserve">, evidenci </w:t>
      </w:r>
      <w:r w:rsidRPr="00022FF7">
        <w:t xml:space="preserve">osob, které pro </w:t>
      </w:r>
      <w:r>
        <w:t>výrobce</w:t>
      </w:r>
      <w:r w:rsidRPr="00022FF7">
        <w:t xml:space="preserve"> zajišťují zpětný odběr, svoz, zpracování či jiné nakládání se zpětně odebranými výrobky s ukončenou životností</w:t>
      </w:r>
      <w:r>
        <w:t xml:space="preserve">, a evidenci </w:t>
      </w:r>
      <w:r w:rsidRPr="0064607E">
        <w:rPr>
          <w:bCs/>
        </w:rPr>
        <w:t xml:space="preserve">toku zpětně odebraných výrobků </w:t>
      </w:r>
      <w:r w:rsidRPr="0064607E">
        <w:t>s ukončenou životností</w:t>
      </w:r>
      <w:r w:rsidRPr="0064607E">
        <w:rPr>
          <w:bCs/>
        </w:rPr>
        <w:t xml:space="preserve"> od místa zpětného odběru až po jejich konečné využití, včetně přípravy k opětovnému použití, nebo odstranění</w:t>
      </w:r>
      <w:r w:rsidRPr="0064607E">
        <w:t>.</w:t>
      </w:r>
      <w:r>
        <w:t xml:space="preserve"> V návaznosti na to je výrobci stanovena povinnost zpracovat pravdivou a </w:t>
      </w:r>
      <w:r w:rsidRPr="00223F27">
        <w:t xml:space="preserve">úplnou roční zprávu o plnění povinností stanovených pro zpětný odběr, zpracování, využití a odstranění výrobků s ukončenou životností za uplynulý </w:t>
      </w:r>
      <w:r>
        <w:t xml:space="preserve">kalendářní rok („roční zpráva </w:t>
      </w:r>
      <w:r>
        <w:lastRenderedPageBreak/>
        <w:t>o </w:t>
      </w:r>
      <w:r w:rsidRPr="00223F27">
        <w:t>výrobcích s ukončenou životností“) a tuto zprávu do 31. března zaslat ministerstvu</w:t>
      </w:r>
      <w:r>
        <w:t>. Tuto povinnost mají výrobci elektrozařízení, výrobci baterií nebo akumulátorů a povinné osoby v oblasti zpětného odběru pneumatik již podle stávající právní úpravy.</w:t>
      </w:r>
    </w:p>
    <w:p w:rsidR="00CC0F90" w:rsidRDefault="00CC0F90" w:rsidP="00CC0F90">
      <w:pPr>
        <w:spacing w:before="240"/>
      </w:pPr>
      <w:r>
        <w:t xml:space="preserve">Povinnosti vést evidence a zpracovat a zaslat ministerstvu </w:t>
      </w:r>
      <w:r w:rsidRPr="00223F27">
        <w:t>roční zpráv</w:t>
      </w:r>
      <w:r>
        <w:t>u</w:t>
      </w:r>
      <w:r w:rsidRPr="00223F27">
        <w:t xml:space="preserve"> o výrobcích s ukončenou životností</w:t>
      </w:r>
      <w:r>
        <w:t xml:space="preserve"> se nevztahuje na výrobce, kteří plní </w:t>
      </w:r>
      <w:r w:rsidRPr="00AA4A38">
        <w:t>své povinnosti</w:t>
      </w:r>
      <w:r>
        <w:t xml:space="preserve"> pro všechny vybrané výrobky, jež uvádějí na trh, </w:t>
      </w:r>
      <w:r w:rsidRPr="00AA4A38">
        <w:t>prostřednictvím</w:t>
      </w:r>
      <w:r>
        <w:t xml:space="preserve"> provozovatele kolektivního systému. Tito výrobci pouze vykazují provozovateli kolektivního systému množství vybraných výrobků uvedených na trh; povinnost vést evidence a zpracovat a zaslat ministerstvu </w:t>
      </w:r>
      <w:r w:rsidRPr="00223F27">
        <w:t>roční zpráv</w:t>
      </w:r>
      <w:r>
        <w:t>u</w:t>
      </w:r>
      <w:r w:rsidRPr="00223F27">
        <w:t xml:space="preserve"> o výrobcích s ukončenou životností</w:t>
      </w:r>
      <w:r>
        <w:t xml:space="preserve"> pak má pouze provozovatel kolektivního systému (viz § 46, § 55 a § 56). Rozsah a způsob vedení evidencí a o</w:t>
      </w:r>
      <w:r w:rsidRPr="00242950">
        <w:t>bsahové náležitosti a rozsah roční zprávy</w:t>
      </w:r>
      <w:r>
        <w:t xml:space="preserve"> </w:t>
      </w:r>
      <w:r w:rsidRPr="006C7B3C">
        <w:t xml:space="preserve">o </w:t>
      </w:r>
      <w:r>
        <w:t>výrobcích s ukončenou životností stanoví ministerstvo vyhláškou.</w:t>
      </w:r>
    </w:p>
    <w:p w:rsidR="00CC0F90" w:rsidRPr="00223F27" w:rsidRDefault="00CC0F90" w:rsidP="00CC0F90">
      <w:pPr>
        <w:spacing w:before="240"/>
      </w:pPr>
      <w:r>
        <w:t xml:space="preserve">Povinnost výrobce uchovávat údaje z evidencí a </w:t>
      </w:r>
      <w:r w:rsidRPr="00242950">
        <w:t>roční zpráv</w:t>
      </w:r>
      <w:r>
        <w:t xml:space="preserve">u </w:t>
      </w:r>
      <w:r w:rsidRPr="006C7B3C">
        <w:t xml:space="preserve">o </w:t>
      </w:r>
      <w:r>
        <w:t xml:space="preserve">výrobcích s ukončenou životností </w:t>
      </w:r>
      <w:r w:rsidRPr="000A17BC">
        <w:t xml:space="preserve">nejméně po dobu </w:t>
      </w:r>
      <w:r>
        <w:t>7</w:t>
      </w:r>
      <w:r w:rsidRPr="000A17BC">
        <w:t xml:space="preserve"> let</w:t>
      </w:r>
      <w:r>
        <w:t xml:space="preserve"> je stanovena s ohledem na potřebu kontroly splnění povinnosti dosáhnout minimální úroveň zpětného odběru, která se v případě elektrozařízení počítá z údajů za 4 kalendářní roky (daný rok a 3 předcházející roky – viz § 80 písm. c)), a s přihlédnutím k tříleté promlčecí době podle návrhu zákona o přestupcích.</w:t>
      </w:r>
    </w:p>
    <w:p w:rsidR="00CC0F90" w:rsidRDefault="00CC0F90" w:rsidP="00CC0F90">
      <w:pPr>
        <w:spacing w:before="240"/>
      </w:pPr>
      <w:r>
        <w:t>Ú</w:t>
      </w:r>
      <w:r w:rsidRPr="00242950">
        <w:t>daje získané z ročních zpráv</w:t>
      </w:r>
      <w:r>
        <w:t xml:space="preserve"> </w:t>
      </w:r>
      <w:r w:rsidRPr="006C7B3C">
        <w:t xml:space="preserve">o </w:t>
      </w:r>
      <w:r>
        <w:t xml:space="preserve">výrobcích s ukončenou životností budou ministerstvem </w:t>
      </w:r>
      <w:r w:rsidRPr="00242950">
        <w:t>zveřejň</w:t>
      </w:r>
      <w:r>
        <w:t>ovány</w:t>
      </w:r>
      <w:r w:rsidRPr="00242950">
        <w:t xml:space="preserve"> </w:t>
      </w:r>
      <w:r>
        <w:t>prostřednictvím internetu, avšak pouze v podobě sumarizovaných dat, které nebudou spojeny s konkrétním výrobcem.</w:t>
      </w:r>
    </w:p>
    <w:p w:rsidR="00CC0F90" w:rsidRPr="00E958B8" w:rsidRDefault="00CC0F90" w:rsidP="00CC0F90">
      <w:pPr>
        <w:spacing w:before="240"/>
        <w:rPr>
          <w:b/>
        </w:rPr>
      </w:pPr>
      <w:r w:rsidRPr="00E958B8">
        <w:rPr>
          <w:b/>
        </w:rPr>
        <w:t>K </w:t>
      </w:r>
      <w:r>
        <w:rPr>
          <w:b/>
        </w:rPr>
        <w:t>§</w:t>
      </w:r>
      <w:r w:rsidRPr="00E958B8">
        <w:rPr>
          <w:b/>
        </w:rPr>
        <w:t xml:space="preserve"> </w:t>
      </w:r>
      <w:r>
        <w:rPr>
          <w:b/>
        </w:rPr>
        <w:t>30</w:t>
      </w:r>
    </w:p>
    <w:p w:rsidR="00CC0F90" w:rsidRPr="00F74207" w:rsidRDefault="00CC0F90" w:rsidP="00CC0F90">
      <w:pPr>
        <w:spacing w:before="240"/>
      </w:pPr>
      <w:r>
        <w:t xml:space="preserve">Zákon umožňuje výrobcům dva způsoby, jakými mohou plnit povinnosti </w:t>
      </w:r>
      <w:r w:rsidRPr="00F74207">
        <w:t>stanovené pro zpětný odběr, zpracování, využití a odstranění výrobků s ukončenou životností, informování konečného uživatele o zpětném odběru a další povinnosti s tím související</w:t>
      </w:r>
      <w:r>
        <w:t xml:space="preserve">. Prvním z nich je samostatné plnění povinností v individuálním systému, který si výrobce vytvoří a provozuje </w:t>
      </w:r>
      <w:r w:rsidRPr="00DE10B8">
        <w:rPr>
          <w:iCs/>
        </w:rPr>
        <w:t>samostatně a na</w:t>
      </w:r>
      <w:r>
        <w:rPr>
          <w:iCs/>
        </w:rPr>
        <w:t xml:space="preserve"> vlastní náklady. Systémem se v souladu s definicí obsaženou v § 3 rozumí </w:t>
      </w:r>
      <w:r w:rsidRPr="00DE10B8">
        <w:rPr>
          <w:iCs/>
        </w:rPr>
        <w:t>síť míst zpětného odběru a zařízení ke zpracování výrobků s ukončenou životností a smluvní vztahy mezi</w:t>
      </w:r>
      <w:r>
        <w:rPr>
          <w:iCs/>
        </w:rPr>
        <w:t xml:space="preserve"> jejich provozovateli a výrobci, resp. </w:t>
      </w:r>
      <w:r w:rsidRPr="00DE10B8">
        <w:rPr>
          <w:iCs/>
        </w:rPr>
        <w:t>provozovateli kolektivního systému, jejichž cílem je zajištění zpracování a využití zpětně odebraných výrobků s ukončenou životností</w:t>
      </w:r>
      <w:r>
        <w:rPr>
          <w:iCs/>
        </w:rPr>
        <w:t>.</w:t>
      </w:r>
    </w:p>
    <w:p w:rsidR="00CC0F90" w:rsidRDefault="00CC0F90" w:rsidP="00CC0F90">
      <w:pPr>
        <w:spacing w:before="240"/>
      </w:pPr>
      <w:r>
        <w:t xml:space="preserve">Druhou z možností je kolektivní plnění povinností </w:t>
      </w:r>
      <w:r w:rsidRPr="005E4234">
        <w:t xml:space="preserve">společně s jinými výrobci </w:t>
      </w:r>
      <w:r>
        <w:t xml:space="preserve">v kolektivním systému. K tomu je zapotřebí, aby výrobce uzavřel s provozovatelem kolektivního systému písemnou </w:t>
      </w:r>
      <w:r w:rsidRPr="005E4234">
        <w:t>sml</w:t>
      </w:r>
      <w:r>
        <w:t>ouvu</w:t>
      </w:r>
      <w:r w:rsidRPr="005E4234">
        <w:t xml:space="preserve"> o kolektivním plnění</w:t>
      </w:r>
      <w:r>
        <w:t xml:space="preserve">. Obsah smlouvy není zákonem přímo stanoven, nicméně z jeho ustanovení vyplývá, že předmětem smlouvy je na jedné straně závazek provozovatele </w:t>
      </w:r>
      <w:r w:rsidRPr="005E4234">
        <w:t>kolektivního systému</w:t>
      </w:r>
      <w:r>
        <w:t xml:space="preserve"> zajistit pro výrobce plnění jeho </w:t>
      </w:r>
      <w:r w:rsidRPr="005E4234">
        <w:t>povinností zpětného odběru, zpracování a využití nebo odstranění výrobků s </w:t>
      </w:r>
      <w:r>
        <w:t xml:space="preserve">ukončenou životností, včetně povinnosti informovat </w:t>
      </w:r>
      <w:r w:rsidRPr="00F74207">
        <w:t xml:space="preserve">konečného uživatele o zpětném odběru a </w:t>
      </w:r>
      <w:r>
        <w:t xml:space="preserve">některých </w:t>
      </w:r>
      <w:r w:rsidRPr="00F74207">
        <w:t>další</w:t>
      </w:r>
      <w:r>
        <w:t>ch</w:t>
      </w:r>
      <w:r w:rsidRPr="00F74207">
        <w:t xml:space="preserve"> povinnost</w:t>
      </w:r>
      <w:r>
        <w:t>í</w:t>
      </w:r>
      <w:r w:rsidRPr="00F74207">
        <w:t xml:space="preserve"> </w:t>
      </w:r>
      <w:r>
        <w:t xml:space="preserve">(např. zpracovat a zaslat ministerstvu </w:t>
      </w:r>
      <w:r w:rsidRPr="00242950">
        <w:t>roční zpráv</w:t>
      </w:r>
      <w:r>
        <w:t xml:space="preserve">u </w:t>
      </w:r>
      <w:r w:rsidRPr="006C7B3C">
        <w:t xml:space="preserve">o </w:t>
      </w:r>
      <w:r>
        <w:t xml:space="preserve">výrobcích s ukončenou životností) a na druhé straně závazek výrobce zaplatit provozovateli kolektivního systému za tuto službu úhradu v podobě příspěvku podle § 47 odst. 1. Provozovatel </w:t>
      </w:r>
      <w:r w:rsidRPr="005E4234">
        <w:t xml:space="preserve">kolektivního </w:t>
      </w:r>
      <w:r>
        <w:t xml:space="preserve">systému tedy </w:t>
      </w:r>
      <w:r w:rsidRPr="007D22A2">
        <w:t xml:space="preserve">na základě </w:t>
      </w:r>
      <w:r>
        <w:t>s</w:t>
      </w:r>
      <w:r w:rsidRPr="007D22A2">
        <w:t xml:space="preserve">mluv </w:t>
      </w:r>
      <w:r>
        <w:t xml:space="preserve">o kolektivním plnění </w:t>
      </w:r>
      <w:r w:rsidRPr="007D22A2">
        <w:t>uzavřených s</w:t>
      </w:r>
      <w:r>
        <w:t xml:space="preserve"> jednotlivými </w:t>
      </w:r>
      <w:r w:rsidRPr="007D22A2">
        <w:t xml:space="preserve">výrobci </w:t>
      </w:r>
      <w:r>
        <w:t>zajišťuje</w:t>
      </w:r>
      <w:r w:rsidRPr="007D22A2">
        <w:t xml:space="preserve"> pro </w:t>
      </w:r>
      <w:r>
        <w:t xml:space="preserve">tyto </w:t>
      </w:r>
      <w:r w:rsidRPr="007D22A2">
        <w:lastRenderedPageBreak/>
        <w:t>výrobce společné</w:t>
      </w:r>
      <w:r>
        <w:t xml:space="preserve"> plnění uvedených povinností. Za plnění těchto povinností v rozsahu uzavřených smluv o kolektivním plnění je provozovatel </w:t>
      </w:r>
      <w:r w:rsidRPr="005E4234">
        <w:t>kolektivního systému</w:t>
      </w:r>
      <w:r>
        <w:t xml:space="preserve"> přímo odpovědný (viz § 45 odst. 1). O</w:t>
      </w:r>
      <w:r w:rsidRPr="005E4234">
        <w:t xml:space="preserve">dpovědnost výrobce za plnění těchto povinností </w:t>
      </w:r>
      <w:r>
        <w:t xml:space="preserve">nicméně </w:t>
      </w:r>
      <w:r w:rsidRPr="005E4234">
        <w:t>nezaniká, pokud provozovatel</w:t>
      </w:r>
      <w:r w:rsidRPr="007600DF">
        <w:t xml:space="preserve"> kolektivního systému jejich plnění nezajistí</w:t>
      </w:r>
      <w:r>
        <w:t>. Vyloučen je v takovém případě pouze postih výrobce za přestupek, pokud se výrobce odpovědnosti zprostí za podmínek stanovených v § 130 odst. 1 ve spojení s úpravou liberačních důvodů v návrhu zákona o přestupcích („</w:t>
      </w:r>
      <w:r w:rsidRPr="000A5C95">
        <w:t>osoba za přestupek neodpovídá, jestliže prokáže, že vynaložila veškeré úsilí, které bylo možno požadovat, aby přestupku zabránila</w:t>
      </w:r>
      <w:r>
        <w:t>“).</w:t>
      </w:r>
    </w:p>
    <w:p w:rsidR="00CC0F90" w:rsidRPr="00561817" w:rsidRDefault="00CC0F90" w:rsidP="00CC0F90">
      <w:pPr>
        <w:spacing w:before="240"/>
      </w:pPr>
      <w:r>
        <w:t xml:space="preserve">Možnost plnění povinností v solidárním systému jako podle dosavadní právní úpravy v oblasti elektrozařízení a baterií a akumulátorů již není zákonem </w:t>
      </w:r>
      <w:r w:rsidRPr="00561817">
        <w:t xml:space="preserve">upravována. </w:t>
      </w:r>
      <w:r>
        <w:t xml:space="preserve">Solidární formu plnění povinností lze považovat za </w:t>
      </w:r>
      <w:r w:rsidRPr="004636E9">
        <w:rPr>
          <w:bCs/>
        </w:rPr>
        <w:t xml:space="preserve">nadbytečnou platformu, s níž jsou spojena rizika obcházení povinností, nefunkčnosti systémů a problémů s kontrolou. </w:t>
      </w:r>
      <w:r w:rsidRPr="00561817">
        <w:t>Zákon nicméně nebrání tomu, aby se výrobci, kteří plní své povinnosti</w:t>
      </w:r>
      <w:r w:rsidRPr="005A30C1">
        <w:t xml:space="preserve"> </w:t>
      </w:r>
      <w:r>
        <w:t>samostatně</w:t>
      </w:r>
      <w:r w:rsidRPr="00561817">
        <w:t>, dohodli na společném postupu při plnění těchto povinností</w:t>
      </w:r>
      <w:r>
        <w:t>,</w:t>
      </w:r>
      <w:r w:rsidRPr="00561817">
        <w:t xml:space="preserve"> např</w:t>
      </w:r>
      <w:r>
        <w:t>íklad</w:t>
      </w:r>
      <w:r w:rsidRPr="00561817">
        <w:t xml:space="preserve"> na sdílení sítě sběrných míst nebo na společném vypracování ročních zpráv. </w:t>
      </w:r>
      <w:r>
        <w:t>Zákon dokonce počítá s tím, že individuálně plnící výrobci mohou mít společného zástupce, který pro každého z nich bude zajišťovat plnění některých povinností podle tohoto zákona. Taková forma spolupráce má však svá zákonem stanovená omezení, aby tímto způsobem nemohl být fakticky provozován kolektivní systém bez potřebného oprávnění a splnění všech zákonných podmínek (§ 34). Dále je třeba zdůraznit, že o</w:t>
      </w:r>
      <w:r w:rsidRPr="00561817">
        <w:t xml:space="preserve">dpovědnost za plnění svých povinností nese </w:t>
      </w:r>
      <w:r>
        <w:t xml:space="preserve">bez ohledu na formu spolupráce či zmocnění dané třetí osobě </w:t>
      </w:r>
      <w:r w:rsidRPr="00561817">
        <w:t>každý výrobce samostatně.</w:t>
      </w:r>
    </w:p>
    <w:p w:rsidR="00CC0F90" w:rsidRPr="002103FB" w:rsidRDefault="00CC0F90" w:rsidP="00CC0F90">
      <w:pPr>
        <w:spacing w:before="240"/>
        <w:rPr>
          <w:b/>
        </w:rPr>
      </w:pPr>
      <w:r>
        <w:rPr>
          <w:b/>
        </w:rPr>
        <w:t>K § 31 a 32</w:t>
      </w:r>
    </w:p>
    <w:p w:rsidR="00CC0F90" w:rsidRDefault="00CC0F90" w:rsidP="00CC0F90">
      <w:pPr>
        <w:spacing w:before="240"/>
      </w:pPr>
      <w:r>
        <w:t>V oddílu 2 jsou upraveny pouze ty povinnosti, které se vztahují specificky na individuálně plnící výrobce. Ostatní povinnosti výrobců stanovené v hlavách II a III</w:t>
      </w:r>
      <w:r w:rsidDel="00814E8E">
        <w:t xml:space="preserve"> </w:t>
      </w:r>
      <w:r>
        <w:t>se vztahují jak na samostatně plnící výrobce, tak na výrobce zapojené do kolektivního systému, za něž plnění těchto povinností zajišťuje provozovatel kolektivního systému.</w:t>
      </w:r>
    </w:p>
    <w:p w:rsidR="00CC0F90" w:rsidRDefault="00CC0F90" w:rsidP="00CC0F90">
      <w:pPr>
        <w:spacing w:before="240"/>
      </w:pPr>
      <w:r>
        <w:t xml:space="preserve">Jednou z povinností vztahujících se specificky na samostatně plnící výrobce, je povinnost </w:t>
      </w:r>
      <w:r w:rsidRPr="00A540E8">
        <w:t>poskytnout před uvedením vybraného výrobku na trh zár</w:t>
      </w:r>
      <w:r>
        <w:t>uku prokazující, že nakládání s </w:t>
      </w:r>
      <w:r w:rsidRPr="00A540E8">
        <w:t xml:space="preserve">výrobky s ukončenou životností bude finančně zajištěno. </w:t>
      </w:r>
      <w:r>
        <w:t xml:space="preserve">Tuto finanční záruku poskytne výrobce tak, že zřídí </w:t>
      </w:r>
      <w:r w:rsidRPr="00E06EC8">
        <w:t>zvláštní vázaný účet</w:t>
      </w:r>
      <w:r>
        <w:t xml:space="preserve"> </w:t>
      </w:r>
      <w:r w:rsidRPr="00F71CF2">
        <w:t>v bance se sídlem na území České republiky</w:t>
      </w:r>
      <w:r>
        <w:t xml:space="preserve"> nebo pobočce zahraniční banky </w:t>
      </w:r>
      <w:r w:rsidRPr="00F71CF2">
        <w:t>na území České republiky</w:t>
      </w:r>
      <w:r>
        <w:t xml:space="preserve">, na který bude ukládat peněžní prostředky. Zákon nestanoví konkrétní výši finanční záruky, ale pouze požadavek, že </w:t>
      </w:r>
      <w:r w:rsidRPr="00A540E8">
        <w:t>záruka musí být dostatečná k pokrytí financování zpětného odběru, zpracování a využití nebo odstranění všech výrobků s ukončenou životností, které výrobce uvedl na trh.</w:t>
      </w:r>
      <w:r>
        <w:t xml:space="preserve"> Způsob </w:t>
      </w:r>
      <w:r w:rsidRPr="00940436">
        <w:t>ukládání peněžních prostředků na zvláštní vázaný účet</w:t>
      </w:r>
      <w:r>
        <w:t xml:space="preserve"> včetně obecného způsobu určení jejich výše a intervalů jejich ukládání stanoví ministerstvo vyhláškou.</w:t>
      </w:r>
    </w:p>
    <w:p w:rsidR="00CC0F90" w:rsidRDefault="00CC0F90" w:rsidP="00CC0F90">
      <w:pPr>
        <w:spacing w:before="240"/>
      </w:pPr>
      <w:r>
        <w:t xml:space="preserve">Účelem finanční záruky je vytvoření dostatečné rezervy k pokrytí nákladů na zpětný odběr a další nakládání s </w:t>
      </w:r>
      <w:r w:rsidRPr="00A540E8">
        <w:t>v</w:t>
      </w:r>
      <w:r>
        <w:t>ýrobky</w:t>
      </w:r>
      <w:r w:rsidRPr="00A540E8">
        <w:t xml:space="preserve"> s ukončenou životností, které výrobce uvedl na trh</w:t>
      </w:r>
      <w:r>
        <w:t xml:space="preserve">, vzhledem k rizikům momentálního nedostatku prostředků k financování těchto činností na straně výrobce a především k riziku ukončení činnosti výrobce nebo jeho zániku bez právního </w:t>
      </w:r>
      <w:r>
        <w:lastRenderedPageBreak/>
        <w:t>nástupce, aniž by před tím výrobce zajistil splnění svých povinností podle tohoto zákona ke všem výrobkům, které uvedl na trh.</w:t>
      </w:r>
    </w:p>
    <w:p w:rsidR="00CC0F90" w:rsidRDefault="00CC0F90" w:rsidP="00CC0F90">
      <w:pPr>
        <w:spacing w:before="240"/>
      </w:pPr>
      <w:r>
        <w:t>P</w:t>
      </w:r>
      <w:r w:rsidRPr="00052C3B">
        <w:t>eněžní prostředk</w:t>
      </w:r>
      <w:r>
        <w:t>y uložené</w:t>
      </w:r>
      <w:r w:rsidRPr="00052C3B">
        <w:t xml:space="preserve"> na </w:t>
      </w:r>
      <w:r>
        <w:t xml:space="preserve">zvláštním </w:t>
      </w:r>
      <w:r w:rsidRPr="00052C3B">
        <w:t>vázaném účtu</w:t>
      </w:r>
      <w:r>
        <w:t xml:space="preserve"> jsou vyloučeny z</w:t>
      </w:r>
      <w:r w:rsidRPr="001B03F9">
        <w:t xml:space="preserve"> nařízení </w:t>
      </w:r>
      <w:r>
        <w:t>a provedení výkonu rozhodnutí</w:t>
      </w:r>
      <w:r w:rsidRPr="001B03F9">
        <w:t xml:space="preserve"> </w:t>
      </w:r>
      <w:r>
        <w:t>nebo</w:t>
      </w:r>
      <w:r w:rsidRPr="001B03F9">
        <w:t xml:space="preserve"> exekuce, </w:t>
      </w:r>
      <w:r>
        <w:t>i z</w:t>
      </w:r>
      <w:r w:rsidRPr="001B03F9">
        <w:t xml:space="preserve"> majetkové podstaty výrobce</w:t>
      </w:r>
      <w:r>
        <w:t xml:space="preserve"> v případě insolvenčního řízení, neboť jejich jediným účelem je zabezpečit, že vybrané výrobky uvedené výrobcem na trh budou po ukončení jejich životnosti zpětně odebrány a zpracovány tak, aby se nestaly zátěží pro životní prostředí.</w:t>
      </w:r>
    </w:p>
    <w:p w:rsidR="00CC0F90" w:rsidRDefault="00CC0F90" w:rsidP="00CC0F90">
      <w:pPr>
        <w:spacing w:before="240"/>
      </w:pPr>
      <w:r>
        <w:t>Použití p</w:t>
      </w:r>
      <w:r w:rsidRPr="001F7ED7">
        <w:t>eněžní</w:t>
      </w:r>
      <w:r>
        <w:t>ch</w:t>
      </w:r>
      <w:r w:rsidRPr="001F7ED7">
        <w:t xml:space="preserve"> prostředk</w:t>
      </w:r>
      <w:r>
        <w:t>ů</w:t>
      </w:r>
      <w:r w:rsidRPr="001F7ED7">
        <w:t xml:space="preserve"> finanční záruk</w:t>
      </w:r>
      <w:r>
        <w:t>y</w:t>
      </w:r>
      <w:r w:rsidRPr="001F7ED7">
        <w:t xml:space="preserve"> </w:t>
      </w:r>
      <w:r>
        <w:t xml:space="preserve">je možné pouze za účelem </w:t>
      </w:r>
      <w:r w:rsidRPr="001F7ED7">
        <w:t>financování zpětného odběru, zpracování a využití nebo odstranění výrobků s ukončenou životností, které výrobce uvedl na trh</w:t>
      </w:r>
      <w:r>
        <w:t>, a je podmíněno souhlasem ministerstva</w:t>
      </w:r>
      <w:r w:rsidRPr="001F7ED7">
        <w:t>.</w:t>
      </w:r>
      <w:r>
        <w:t xml:space="preserve"> Podmínkou udělení souhlasu je dostatečný zůstatek na zvláštním </w:t>
      </w:r>
      <w:r w:rsidRPr="00052C3B">
        <w:t>vázaném účtu</w:t>
      </w:r>
      <w:r>
        <w:t xml:space="preserve">, který musí po navrženém čerpání prostředků dostačovat alespoň k </w:t>
      </w:r>
      <w:r w:rsidRPr="00F07677">
        <w:t xml:space="preserve">pokrytí </w:t>
      </w:r>
      <w:r>
        <w:t xml:space="preserve">financování uvedených činností ve vztahu ke </w:t>
      </w:r>
      <w:r w:rsidRPr="00F07677">
        <w:t>vše</w:t>
      </w:r>
      <w:r>
        <w:t>m</w:t>
      </w:r>
      <w:r w:rsidRPr="00F07677">
        <w:t xml:space="preserve"> výrobků</w:t>
      </w:r>
      <w:r>
        <w:t>m</w:t>
      </w:r>
      <w:r w:rsidRPr="00F07677">
        <w:t xml:space="preserve"> s ukončenou životností, které výrobce uvedl na trh a které</w:t>
      </w:r>
      <w:r>
        <w:t xml:space="preserve"> nebyly dosud zpětně odebrány a </w:t>
      </w:r>
      <w:r w:rsidRPr="00F07677">
        <w:t>využity nebo odstraněny.</w:t>
      </w:r>
      <w:r>
        <w:t xml:space="preserve"> </w:t>
      </w:r>
    </w:p>
    <w:p w:rsidR="00CC0F90" w:rsidRPr="002103FB" w:rsidRDefault="00CC0F90" w:rsidP="00CC0F90">
      <w:pPr>
        <w:spacing w:before="240"/>
        <w:rPr>
          <w:b/>
        </w:rPr>
      </w:pPr>
      <w:r>
        <w:rPr>
          <w:b/>
        </w:rPr>
        <w:t>K § 33</w:t>
      </w:r>
      <w:r w:rsidRPr="002103FB">
        <w:rPr>
          <w:b/>
        </w:rPr>
        <w:t xml:space="preserve"> </w:t>
      </w:r>
    </w:p>
    <w:p w:rsidR="00CC0F90" w:rsidRDefault="00CC0F90" w:rsidP="00CC0F90">
      <w:pPr>
        <w:spacing w:before="240"/>
      </w:pPr>
      <w:r>
        <w:t xml:space="preserve">Výrobce může ukončit plnění povinností stanovených zákonem v individuálním systému, jestliže se rozhodl tyto povinnosti dále plnit prostřednictvím provozovatele kolektivního systému, nebo pokud přestane být výrobcem ve smyslu tohoto zákona (tím, že přestane uvádět vybrané výrobky na trh). Zpravidla ale jsou v tomto okamžiku stále v oběhu vybrané výrobky, které výrobce uvedl na trh a pro které dosud nezajistil </w:t>
      </w:r>
      <w:r w:rsidRPr="00924F84">
        <w:t>zpětn</w:t>
      </w:r>
      <w:r>
        <w:t>ý</w:t>
      </w:r>
      <w:r w:rsidRPr="00924F84">
        <w:t xml:space="preserve"> odběr, zprac</w:t>
      </w:r>
      <w:r>
        <w:t xml:space="preserve">ování a využití nebo odstranění. Zákon proto stanoví, že v takovém případě výrobce, neprokáže-li, že splnění uvedených povinností již zajistil, musí za tím účelem uzavřít smlouvu o kolektivním plnění s provozovatelem kolektivního systému. </w:t>
      </w:r>
    </w:p>
    <w:p w:rsidR="00CC0F90" w:rsidRDefault="00CC0F90" w:rsidP="00CC0F90">
      <w:pPr>
        <w:spacing w:before="240"/>
      </w:pPr>
      <w:r>
        <w:t>Smlouvu o kolektivním plnění, ať už uzavřenou na základě vlastního rozhodnutí pokračovat v plnění povinností v kolektivním systému, nebo na základě uvedené zákonné povinnosti při ukončení činnosti výrobce, je výrobce povinen předložit ministerstvu spolu s oznámením, na základě kterého bude výrobce vyřazen ze Seznamu. Totéž obdobně platí pro pověřeného zástupce za podmínek uvedených v odstavci 2.</w:t>
      </w:r>
    </w:p>
    <w:p w:rsidR="00CC0F90" w:rsidRDefault="00CC0F90" w:rsidP="00CC0F90">
      <w:pPr>
        <w:spacing w:before="240"/>
      </w:pPr>
      <w:r>
        <w:t>S</w:t>
      </w:r>
      <w:r w:rsidRPr="00924F84">
        <w:t>oučasně s vyřazením výrobce nebo pověřeného zástupce ze Seznam</w:t>
      </w:r>
      <w:r>
        <w:t xml:space="preserve">u dochází k převedení peněžních prostředků ze zvláštního vázaného účtu tvořících finanční záruku tak, aby tyto prostředky bylo možné použít k jejich původnímu účelu, tedy k financování </w:t>
      </w:r>
      <w:r w:rsidRPr="00924F84">
        <w:t>zpětn</w:t>
      </w:r>
      <w:r>
        <w:t>ého</w:t>
      </w:r>
      <w:r w:rsidRPr="00924F84">
        <w:t xml:space="preserve"> odběr</w:t>
      </w:r>
      <w:r>
        <w:t>u</w:t>
      </w:r>
      <w:r w:rsidRPr="00924F84">
        <w:t>, zprac</w:t>
      </w:r>
      <w:r>
        <w:t xml:space="preserve">ování a využití nebo odstranění výrobků s ukončenou životností, které výrobce uvedl na trh a pro které tyto povinnosti nebyly dosud zajištěny. Peněžní prostředky ze zvláštního vázaného účtu jsou tedy převáděny provozovateli kolektivního systému, který převzal plnění povinností výrobce k uvedeným výrobkům s ukončenou životností, a to </w:t>
      </w:r>
      <w:r w:rsidRPr="009C3733">
        <w:t>ve výši celého zůstatku na účtu, není-li ve smlouvě o kolektivním plnění uvedena částka nižší</w:t>
      </w:r>
      <w:r>
        <w:t xml:space="preserve">. Je-li na zvláštním vázaném účtu více prostředků, než je třeba k financování těchto povinností, mělo by být ponecháno na dohodě mezi výrobcem a provozovatelem kolektivního systému, zda převezme prostředky všechny, nebo pouze část. Pokud by provozovatel kolektivního systému </w:t>
      </w:r>
      <w:r>
        <w:lastRenderedPageBreak/>
        <w:t xml:space="preserve">nepřevzal peněžní prostředky z finanční záruky výrobce v dostatečné výši, půjde to k jeho tíži, neboť na základě uzavřené smlouvy o kolektivním plnění odpovídá za zajištění splnění uvedených povinností výrobce. </w:t>
      </w:r>
      <w:r w:rsidRPr="009C3733">
        <w:t xml:space="preserve">Zbývající část peněžních prostředků </w:t>
      </w:r>
      <w:r>
        <w:t xml:space="preserve">je </w:t>
      </w:r>
      <w:r w:rsidRPr="009C3733">
        <w:t>uvoln</w:t>
      </w:r>
      <w:r>
        <w:t>ěna</w:t>
      </w:r>
      <w:r w:rsidRPr="009C3733">
        <w:t xml:space="preserve"> ve prospěch výrobce nebo jeho právního nástupce.</w:t>
      </w:r>
    </w:p>
    <w:p w:rsidR="00CC0F90" w:rsidRDefault="00CC0F90" w:rsidP="00CC0F90">
      <w:pPr>
        <w:spacing w:before="240"/>
      </w:pPr>
      <w:r>
        <w:t xml:space="preserve">Peněžní prostředky ze zvláštního vázaného účtu tvořící finanční záruku výrobce mohou být převedeny také do </w:t>
      </w:r>
      <w:r w:rsidRPr="00AE6A10">
        <w:t>Státního fondu životního prostředí České republiky</w:t>
      </w:r>
      <w:r>
        <w:t xml:space="preserve">, a to v případě, že výrobce nebo pověřený zástupce nesplní svou povinnost předložit ministerstvu výše uvedenou smlouvu o kolektivním plnění ani na výzvu ministerstva ve lhůtě jím stanovené, anebo v případě, že výrobce zanikl </w:t>
      </w:r>
      <w:r w:rsidRPr="00AE6A10">
        <w:t>a jeho právní nástupce není znám nebo neexistuje</w:t>
      </w:r>
      <w:r>
        <w:t>.</w:t>
      </w:r>
    </w:p>
    <w:p w:rsidR="00CC0F90" w:rsidRPr="002103FB" w:rsidRDefault="00CC0F90" w:rsidP="00CC0F90">
      <w:pPr>
        <w:spacing w:before="240"/>
        <w:rPr>
          <w:b/>
        </w:rPr>
      </w:pPr>
      <w:r>
        <w:rPr>
          <w:b/>
        </w:rPr>
        <w:t>K § 34</w:t>
      </w:r>
    </w:p>
    <w:p w:rsidR="00CC0F90" w:rsidRDefault="00CC0F90" w:rsidP="00CC0F90">
      <w:pPr>
        <w:spacing w:before="240"/>
      </w:pPr>
      <w:r>
        <w:t>V souvislosti s možností individuálně plnících výrobců, kteří zmocní k zajišťování plnění svých povinností společného zástupce, stanoví zákon, že takové plnění povinností nesmí vykazovat znaky provozování kolektivního systému. Jelikož je velmi obtížné, ne-li nemožné, přesně definovat, kdy takový způsob plnění povinností vykazuje znaky provozování kolektivního systému, vyjmenovává zákon formou demonstrativního výčtu pouze obecné znaky, které by měly být v těchto případech považovány za znaky provozování kolektivního systému. Pokud ministerstvo zjistí, že samostatné plnění povinností výrobců prostřednictvím společného zástupce vykazuje znaky provozování kolektivního systému, uloží všem zúčastněným výrobcům i jejich společnému zástupci, aby ve stanovené lhůtě, která nesmí být kratší než 30 dnů, zjednali nápravu. Nápravu lze v takovém případě zjednat především ukončením nebo změnou tohoto způsobu spolupráce a v případě výrobců dále pokračováním v plnění povinností řádným způsobem v individuálním systému nebo uzavřením smlouvy o kolektivním plnění s provozovatelem kolektivního systému. Nezjednání nápravy ve lhůtě stanovené ministerstvem bude postihováno pokutou jako přestupek.</w:t>
      </w:r>
    </w:p>
    <w:p w:rsidR="00CC0F90" w:rsidRPr="002103FB" w:rsidRDefault="00CC0F90" w:rsidP="00CC0F90">
      <w:pPr>
        <w:spacing w:before="240"/>
        <w:rPr>
          <w:b/>
        </w:rPr>
      </w:pPr>
      <w:r w:rsidRPr="002103FB">
        <w:rPr>
          <w:b/>
        </w:rPr>
        <w:t xml:space="preserve">K § 35 </w:t>
      </w:r>
    </w:p>
    <w:p w:rsidR="00CC0F90" w:rsidRPr="00847E37" w:rsidRDefault="00CC0F90" w:rsidP="00CC0F90">
      <w:pPr>
        <w:spacing w:before="240"/>
      </w:pPr>
      <w:r w:rsidRPr="00847E37">
        <w:t xml:space="preserve">Zákon stanovuje, že provozování kolektivního systému je možné pouze na základě platného </w:t>
      </w:r>
      <w:r>
        <w:t>oprávnění</w:t>
      </w:r>
      <w:r w:rsidRPr="00847E37">
        <w:t xml:space="preserve"> vydaného </w:t>
      </w:r>
      <w:r>
        <w:t>m</w:t>
      </w:r>
      <w:r w:rsidRPr="00847E37">
        <w:t xml:space="preserve">inisterstvem. Rozhodování o udělení </w:t>
      </w:r>
      <w:r>
        <w:t xml:space="preserve">tohoto </w:t>
      </w:r>
      <w:r w:rsidRPr="00847E37">
        <w:t>oprávnění probíhá podle správního řádu.</w:t>
      </w:r>
    </w:p>
    <w:p w:rsidR="00CC0F90" w:rsidRPr="00847E37" w:rsidRDefault="00CC0F90" w:rsidP="00CC0F90">
      <w:pPr>
        <w:spacing w:before="240"/>
      </w:pPr>
      <w:r w:rsidRPr="00847E37">
        <w:t xml:space="preserve">Ustanovení odstavce 2 </w:t>
      </w:r>
      <w:r>
        <w:t>dále</w:t>
      </w:r>
      <w:r w:rsidRPr="00847E37">
        <w:t xml:space="preserve"> </w:t>
      </w:r>
      <w:r>
        <w:t>brání tomu</w:t>
      </w:r>
      <w:r w:rsidRPr="00847E37">
        <w:t>, aby jedn</w:t>
      </w:r>
      <w:r>
        <w:t>a</w:t>
      </w:r>
      <w:r w:rsidRPr="00847E37">
        <w:t xml:space="preserve"> </w:t>
      </w:r>
      <w:r>
        <w:t xml:space="preserve">a táž osoba </w:t>
      </w:r>
      <w:r w:rsidRPr="00847E37">
        <w:t>mohl</w:t>
      </w:r>
      <w:r>
        <w:t>a</w:t>
      </w:r>
      <w:r w:rsidRPr="00847E37">
        <w:t xml:space="preserve"> </w:t>
      </w:r>
      <w:r>
        <w:t xml:space="preserve">provozováním více než jednoho kolektivního systému </w:t>
      </w:r>
      <w:r w:rsidRPr="00847E37">
        <w:t>zajišťovat kolektivní plnění pro více druhů vybraných výrobků (např. současně pro elektrozařízení a pneumatiky)</w:t>
      </w:r>
      <w:r>
        <w:t>.</w:t>
      </w:r>
      <w:r w:rsidRPr="00847E37">
        <w:t xml:space="preserve"> Hlavním důvodem pro toto omezení je snaha zabránit křížovému financování mezi systémy kolektivní</w:t>
      </w:r>
      <w:r>
        <w:t>ho</w:t>
      </w:r>
      <w:r w:rsidRPr="00847E37">
        <w:t xml:space="preserve"> plnění </w:t>
      </w:r>
      <w:r>
        <w:t xml:space="preserve">povinností pro </w:t>
      </w:r>
      <w:r w:rsidRPr="00847E37">
        <w:t>různ</w:t>
      </w:r>
      <w:r>
        <w:t>é</w:t>
      </w:r>
      <w:r w:rsidRPr="00847E37">
        <w:t xml:space="preserve"> </w:t>
      </w:r>
      <w:r>
        <w:t xml:space="preserve">vybrané </w:t>
      </w:r>
      <w:r w:rsidRPr="00847E37">
        <w:t>výrobk</w:t>
      </w:r>
      <w:r>
        <w:t>y a snaha</w:t>
      </w:r>
      <w:r w:rsidRPr="00847E37">
        <w:t xml:space="preserve"> zamez</w:t>
      </w:r>
      <w:r>
        <w:t>it</w:t>
      </w:r>
      <w:r w:rsidRPr="00847E37">
        <w:t xml:space="preserve"> spekulativnímu </w:t>
      </w:r>
      <w:r>
        <w:t>provozování</w:t>
      </w:r>
      <w:r w:rsidRPr="00847E37">
        <w:t xml:space="preserve"> více kolektivních systémů jedn</w:t>
      </w:r>
      <w:r>
        <w:t>ím</w:t>
      </w:r>
      <w:r w:rsidRPr="00847E37">
        <w:t xml:space="preserve"> provozovatele</w:t>
      </w:r>
      <w:r>
        <w:t>m</w:t>
      </w:r>
      <w:r w:rsidRPr="00847E37">
        <w:t xml:space="preserve">. Ustanovení má tedy zabránit situacím, kdy by např. </w:t>
      </w:r>
      <w:r>
        <w:t xml:space="preserve">provozovatel </w:t>
      </w:r>
      <w:r w:rsidRPr="00847E37">
        <w:t>kolektivní</w:t>
      </w:r>
      <w:r>
        <w:t>ho</w:t>
      </w:r>
      <w:r w:rsidRPr="00847E37">
        <w:t xml:space="preserve"> systém</w:t>
      </w:r>
      <w:r>
        <w:t>u</w:t>
      </w:r>
      <w:r w:rsidRPr="00847E37">
        <w:t xml:space="preserve">, který </w:t>
      </w:r>
      <w:r>
        <w:t>by byl</w:t>
      </w:r>
      <w:r w:rsidRPr="00847E37">
        <w:t xml:space="preserve"> oprávněn </w:t>
      </w:r>
      <w:r>
        <w:t>zajišťovat</w:t>
      </w:r>
      <w:r w:rsidRPr="00847E37">
        <w:t xml:space="preserve"> kolektivní plnění současně pro elektrozařízení</w:t>
      </w:r>
      <w:r>
        <w:t>,</w:t>
      </w:r>
      <w:r w:rsidRPr="00847E37">
        <w:t xml:space="preserve"> baterie a akumulátory</w:t>
      </w:r>
      <w:r>
        <w:t xml:space="preserve"> a</w:t>
      </w:r>
      <w:r w:rsidRPr="00847E37">
        <w:t xml:space="preserve"> pneumatiky</w:t>
      </w:r>
      <w:r>
        <w:t>,</w:t>
      </w:r>
      <w:r w:rsidRPr="00847E37">
        <w:t xml:space="preserve"> částečně financoval systémy </w:t>
      </w:r>
      <w:r>
        <w:t>zpětného od</w:t>
      </w:r>
      <w:r w:rsidRPr="00847E37">
        <w:t xml:space="preserve">běru </w:t>
      </w:r>
      <w:r>
        <w:t xml:space="preserve">odpadních </w:t>
      </w:r>
      <w:r w:rsidRPr="00847E37">
        <w:t xml:space="preserve">baterií a akumulátorů a </w:t>
      </w:r>
      <w:r>
        <w:t xml:space="preserve">odpadních </w:t>
      </w:r>
      <w:r w:rsidRPr="00847E37">
        <w:t xml:space="preserve">pneumatik z finančního zisku vzniklého v rámci provozování systému </w:t>
      </w:r>
      <w:r>
        <w:t>zpětného odběru odpadních</w:t>
      </w:r>
      <w:r w:rsidRPr="00847E37">
        <w:t xml:space="preserve"> elektrozařízení. Takováto situace by měla významný dopad na fungování ostatních kolektivních systémů a vznikaly by tak </w:t>
      </w:r>
      <w:r w:rsidRPr="00847E37">
        <w:lastRenderedPageBreak/>
        <w:t xml:space="preserve">nerovné podmínky na trhu. Provozovatel kolektivního systému tedy může provozovat pouze jeden kolektivní systém pro plnění povinností výrobců téhož druhu vybraných výrobků. </w:t>
      </w:r>
    </w:p>
    <w:p w:rsidR="00CC0F90" w:rsidRPr="002103FB" w:rsidRDefault="00CC0F90" w:rsidP="00BD7946">
      <w:pPr>
        <w:keepNext/>
        <w:spacing w:before="240"/>
        <w:rPr>
          <w:b/>
        </w:rPr>
      </w:pPr>
      <w:r w:rsidRPr="002103FB">
        <w:rPr>
          <w:b/>
        </w:rPr>
        <w:t>K § 36</w:t>
      </w:r>
    </w:p>
    <w:p w:rsidR="00CC0F90" w:rsidRDefault="00CC0F90" w:rsidP="00CC0F90">
      <w:pPr>
        <w:spacing w:before="240"/>
      </w:pPr>
      <w:r w:rsidRPr="002103FB">
        <w:t xml:space="preserve">Vydání rozhodnutí </w:t>
      </w:r>
      <w:r>
        <w:t>m</w:t>
      </w:r>
      <w:r w:rsidRPr="002103FB">
        <w:t>inisterstva k provozování kolektivního systému je podmíněno žádostí osoby (žadatele), která prokáže splnění podmínek stanovených tímto zákonem.</w:t>
      </w:r>
      <w:r>
        <w:t xml:space="preserve"> Z</w:t>
      </w:r>
      <w:r w:rsidRPr="002103FB">
        <w:t xml:space="preserve">ákon </w:t>
      </w:r>
      <w:r>
        <w:t>pak</w:t>
      </w:r>
      <w:r w:rsidRPr="002103FB">
        <w:t xml:space="preserve"> </w:t>
      </w:r>
      <w:r>
        <w:t>vymezuje</w:t>
      </w:r>
      <w:r w:rsidRPr="002103FB">
        <w:t xml:space="preserve"> </w:t>
      </w:r>
      <w:r>
        <w:t xml:space="preserve">konkrétní </w:t>
      </w:r>
      <w:r w:rsidRPr="002103FB">
        <w:t xml:space="preserve">podmínky, které musí žadatel splnit, </w:t>
      </w:r>
      <w:r>
        <w:t>včetně</w:t>
      </w:r>
      <w:r w:rsidRPr="002103FB">
        <w:t xml:space="preserve"> </w:t>
      </w:r>
      <w:r>
        <w:t>požadavků</w:t>
      </w:r>
      <w:r w:rsidRPr="002103FB">
        <w:t xml:space="preserve"> na </w:t>
      </w:r>
      <w:r>
        <w:t xml:space="preserve">osobu </w:t>
      </w:r>
      <w:r w:rsidRPr="002103FB">
        <w:t>žadatele, resp. potenciálního provozovatele kolektivního systému.</w:t>
      </w:r>
      <w:r>
        <w:t xml:space="preserve"> Většinu ze stanovených podmínek musí </w:t>
      </w:r>
      <w:r w:rsidRPr="002103FB">
        <w:t>provozovatel kolektivního systému</w:t>
      </w:r>
      <w:r>
        <w:t xml:space="preserve"> splňovat i po vydání oprávnění k </w:t>
      </w:r>
      <w:r w:rsidRPr="002103FB">
        <w:t>provozování kolektivního systému</w:t>
      </w:r>
      <w:r>
        <w:t xml:space="preserve">. Pokud by některou z těchto podmínek následně splňovat přestal, stanoví zákon postup směřující k nápravě takového stavu a jestliže k nápravě nedojde, může být oprávnění k </w:t>
      </w:r>
      <w:r w:rsidRPr="002103FB">
        <w:t>provozování kolektivního systému</w:t>
      </w:r>
      <w:r>
        <w:t xml:space="preserve"> ministerstvem zrušeno (viz dále).</w:t>
      </w:r>
    </w:p>
    <w:p w:rsidR="00CC0F90" w:rsidRPr="004257E2" w:rsidRDefault="00CC0F90" w:rsidP="00CC0F90">
      <w:pPr>
        <w:spacing w:before="240"/>
      </w:pPr>
      <w:r w:rsidRPr="004257E2">
        <w:t>Provozování kolektivního systému je specifickou činností, jejímž cílem není podnikání za účelem dosažení zisku, ale plnění zákonných povinn</w:t>
      </w:r>
      <w:r>
        <w:t>ostí výrobců pro zpětný odběr a </w:t>
      </w:r>
      <w:r w:rsidRPr="004257E2">
        <w:t xml:space="preserve">nakládání s výrobky s ukončenou životností. Z toho důvodu jsou stanoveny zvláštní požadavky na právnickou osobu, která je </w:t>
      </w:r>
      <w:r>
        <w:t xml:space="preserve">žadatelem o vydání oprávnění k </w:t>
      </w:r>
      <w:r w:rsidRPr="004257E2">
        <w:t>provozov</w:t>
      </w:r>
      <w:r>
        <w:t>ání</w:t>
      </w:r>
      <w:r w:rsidRPr="004257E2">
        <w:t xml:space="preserve"> kolektivního systému. V prvé řadě se musí jednat o společenství výrobců – korporaci, která má povahu kapitálové společnosti (vytváří základní kapitál tvořený podíly společníků</w:t>
      </w:r>
      <w:r>
        <w:t>, resp. akcionářů</w:t>
      </w:r>
      <w:r w:rsidRPr="004257E2">
        <w:t xml:space="preserve">), což je nezbytné z hlediska záruky dostatečné finanční stability kolektivního systému, který musí být vždy schopen zajistit splnění povinností zapojených výrobců. </w:t>
      </w:r>
    </w:p>
    <w:p w:rsidR="00CC0F90" w:rsidRPr="004257E2" w:rsidRDefault="00CC0F90" w:rsidP="00CC0F90">
      <w:pPr>
        <w:spacing w:before="240"/>
      </w:pPr>
      <w:r w:rsidRPr="004257E2">
        <w:t xml:space="preserve">Třebaže ne všichni výrobci zapojení do kolektivního systému musí být společníky </w:t>
      </w:r>
      <w:r>
        <w:t xml:space="preserve">či akcionáři (zákon hovoří souhrnně o „společnících“) </w:t>
      </w:r>
      <w:r w:rsidRPr="004257E2">
        <w:t>právnické osoby, která je jeho provozovatelem (ostatní jsou pouze klienty), je nutné, aby společenství výrobců vytvářející tuto právnickou osobu fungovalo na dostatečně pluralitní bázi, kde všichni</w:t>
      </w:r>
      <w:r>
        <w:t xml:space="preserve"> společníci mají stejná práva a </w:t>
      </w:r>
      <w:r w:rsidRPr="004257E2">
        <w:t>povinnosti. Z toho důvodu není například vhodná</w:t>
      </w:r>
      <w:r>
        <w:t xml:space="preserve"> forma komanditní společnosti a </w:t>
      </w:r>
      <w:r w:rsidRPr="004257E2">
        <w:t>nejsou připuštěny podíly, resp. akcie, s nimiž b</w:t>
      </w:r>
      <w:r>
        <w:t>y byla spojena zvláštní práva a </w:t>
      </w:r>
      <w:r w:rsidRPr="004257E2">
        <w:t xml:space="preserve">povinnosti, ani rozdílná váha hlasů. Míra účasti na rozhodování o záležitostech provozovatele kolektivního systému, tj. hlasovací síla by přitom měla odpovídat výši podílu každého </w:t>
      </w:r>
      <w:r>
        <w:t>společníka</w:t>
      </w:r>
      <w:r w:rsidRPr="004257E2">
        <w:t>.</w:t>
      </w:r>
      <w:r>
        <w:t xml:space="preserve"> </w:t>
      </w:r>
      <w:r w:rsidRPr="00B9708B">
        <w:t xml:space="preserve">Provozovatelem kolektivního systému </w:t>
      </w:r>
      <w:r>
        <w:t xml:space="preserve">proto </w:t>
      </w:r>
      <w:r w:rsidRPr="00B9708B">
        <w:t>může být pouze</w:t>
      </w:r>
      <w:r>
        <w:t xml:space="preserve"> </w:t>
      </w:r>
      <w:r w:rsidRPr="00B9708B">
        <w:t>společnost s ručením omezeným nebo akciov</w:t>
      </w:r>
      <w:r>
        <w:t>á</w:t>
      </w:r>
      <w:r w:rsidRPr="00B9708B">
        <w:t xml:space="preserve"> společnost</w:t>
      </w:r>
      <w:r>
        <w:t>.</w:t>
      </w:r>
      <w:r w:rsidRPr="00B9708B">
        <w:t xml:space="preserve"> </w:t>
      </w:r>
      <w:r>
        <w:t xml:space="preserve">Z hlediska zachování svobody usazování a respektování pravidel </w:t>
      </w:r>
      <w:r w:rsidRPr="00C02F66">
        <w:t>pro volný pohyb služeb</w:t>
      </w:r>
      <w:r>
        <w:t xml:space="preserve"> vyplývajících z práva Evropské unie zákon připouští, aby kolektivní systém mohla provozovat rovněž </w:t>
      </w:r>
      <w:r w:rsidRPr="00B9708B">
        <w:t>právnick</w:t>
      </w:r>
      <w:r>
        <w:t>á</w:t>
      </w:r>
      <w:r w:rsidRPr="00B9708B">
        <w:t xml:space="preserve"> osob</w:t>
      </w:r>
      <w:r>
        <w:t>a</w:t>
      </w:r>
      <w:r w:rsidRPr="00B9708B">
        <w:t xml:space="preserve"> obdobné právní formy založen</w:t>
      </w:r>
      <w:r>
        <w:t>á</w:t>
      </w:r>
      <w:r w:rsidRPr="00B9708B">
        <w:t xml:space="preserve"> podle práva jiného členského státu </w:t>
      </w:r>
      <w:r>
        <w:t xml:space="preserve">EU, případně smluvního státu Dohody </w:t>
      </w:r>
      <w:r w:rsidRPr="00C02F66">
        <w:t>o Evropském hospodářském prostoru</w:t>
      </w:r>
      <w:r>
        <w:t xml:space="preserve">, která </w:t>
      </w:r>
      <w:r w:rsidRPr="00B9708B">
        <w:t>má sídlo v</w:t>
      </w:r>
      <w:r>
        <w:t xml:space="preserve"> tomto </w:t>
      </w:r>
      <w:r w:rsidRPr="00B9708B">
        <w:t xml:space="preserve">členském </w:t>
      </w:r>
      <w:r>
        <w:t xml:space="preserve">nebo smluvním </w:t>
      </w:r>
      <w:r w:rsidRPr="00B9708B">
        <w:t>státě</w:t>
      </w:r>
      <w:r>
        <w:t>.</w:t>
      </w:r>
    </w:p>
    <w:p w:rsidR="00CC0F90" w:rsidRDefault="00CC0F90" w:rsidP="00CC0F90">
      <w:pPr>
        <w:spacing w:before="240"/>
      </w:pPr>
      <w:r>
        <w:t xml:space="preserve">Kolektivní systém musí být založen minimálně čtyřmi výrobci. Zákon za tím účelem stanoví, že podíl </w:t>
      </w:r>
      <w:r w:rsidRPr="00CA6C1A">
        <w:t xml:space="preserve">žádného společníka žadatele nebo společníků žadatele jednajících ve shodě na základním kapitálu žadatele </w:t>
      </w:r>
      <w:r>
        <w:t xml:space="preserve">(resp. na hlasovacích právech) nesmí přesáhnout 33 %. Tuto podmínku lze chápat jako </w:t>
      </w:r>
      <w:r w:rsidRPr="00CB6266">
        <w:t>minim</w:t>
      </w:r>
      <w:r>
        <w:t xml:space="preserve">ální požadavek </w:t>
      </w:r>
      <w:r w:rsidRPr="00CB6266">
        <w:t>z hlediska zabezpečení pluralitní vlastnické struktury této výrobci vy</w:t>
      </w:r>
      <w:r>
        <w:t>tvořené právnické osoby, který</w:t>
      </w:r>
      <w:r w:rsidRPr="00CB6266">
        <w:t xml:space="preserve"> má současně minimalizovat riziko ovládnutí a možného zneužití kolektivního systému jediným společníkem či společníky jednajícími ve shodě v neprospěch jiných výrobců, kteří jsou společníky nebo klienty </w:t>
      </w:r>
      <w:r w:rsidRPr="00CB6266">
        <w:lastRenderedPageBreak/>
        <w:t>provozovatele kolektivního systému. Jedná se tedy o významný autokontrolní mechanismus činnosti kolektivního systému.</w:t>
      </w:r>
      <w:r>
        <w:t xml:space="preserve"> V souvislosti s tím zákon rovněž stanoví, že </w:t>
      </w:r>
      <w:r w:rsidRPr="008518EB">
        <w:t>společenská smlouva, zakladatelská listina nebo stanovy žadatele ne</w:t>
      </w:r>
      <w:r>
        <w:t>mohou připustit</w:t>
      </w:r>
      <w:r w:rsidRPr="008518EB">
        <w:t xml:space="preserve"> rozdílný počet hlasů ve vztahu k výši vkladu společníka žadatele nebo vydáván</w:t>
      </w:r>
      <w:r>
        <w:t>í akcií s rozdílnou váhou hlasů.</w:t>
      </w:r>
    </w:p>
    <w:p w:rsidR="00CC0F90" w:rsidRDefault="00CC0F90" w:rsidP="00CC0F90">
      <w:pPr>
        <w:spacing w:before="240"/>
      </w:pPr>
      <w:r w:rsidRPr="004257E2">
        <w:t>Dále je třeba zajistit, zejména z důvodu ochrany finančních prostředků pocházejících od výrobců, dostatečné kontrolní mechanismy pro fungování a hospodaření kolektivního systému, a to jak ze strany státu, tak mechanismy vnitřní kontroly, což se odráží kromě jiného v požadavku povinného zřízení dozorčí rady. V neposlední řadě je nutné trvat na transparentní vlastnické struktuře provozovatele kolektivního systému (zaknihované nebo imobilizované akci</w:t>
      </w:r>
      <w:r>
        <w:t>e znějící na jméno</w:t>
      </w:r>
      <w:r w:rsidRPr="004257E2">
        <w:t>), což je významné opět především z hlediska kontroly, zda provozovatel kolektivního systému dodržuje požadavky a omezení kladené na něj tímto zákonem</w:t>
      </w:r>
      <w:r>
        <w:t xml:space="preserve">, ale i </w:t>
      </w:r>
      <w:r w:rsidRPr="00B22908">
        <w:t xml:space="preserve">pro samotné výrobce, kteří se do </w:t>
      </w:r>
      <w:r>
        <w:t xml:space="preserve">kolektivního systému </w:t>
      </w:r>
      <w:r w:rsidRPr="00B22908">
        <w:t>zapoj</w:t>
      </w:r>
      <w:r>
        <w:t>í</w:t>
      </w:r>
      <w:r w:rsidRPr="004257E2">
        <w:t>.</w:t>
      </w:r>
    </w:p>
    <w:p w:rsidR="00CC0F90" w:rsidRDefault="00CC0F90" w:rsidP="00CC0F90">
      <w:pPr>
        <w:spacing w:before="240"/>
      </w:pPr>
      <w:r>
        <w:t xml:space="preserve">Ze shora uvedených důvodů stanoví zákon podmínku minimální výše základního kapitálu bez ohledu na právní formu žadatele, která činí 2 000 000 Kč nebo 80 000 EUR, což odpovídá minimální výši základního kapitálu vyžadované zákonem o obchodních korporacích u akciové společnosti. </w:t>
      </w:r>
    </w:p>
    <w:p w:rsidR="00CC0F90" w:rsidRDefault="00CC0F90" w:rsidP="00CC0F90">
      <w:pPr>
        <w:spacing w:before="240"/>
      </w:pPr>
      <w:r w:rsidRPr="00581C40">
        <w:t xml:space="preserve">Ke dni podání žádosti o vydání oprávnění k provozování kolektivního systému musí výrobci, kteří jsou společníky </w:t>
      </w:r>
      <w:r>
        <w:t>žadatele</w:t>
      </w:r>
      <w:r w:rsidRPr="00581C40">
        <w:t>, uvádět vybrané výrobky v rámci dané</w:t>
      </w:r>
      <w:r>
        <w:t xml:space="preserve">ho druhu </w:t>
      </w:r>
      <w:r w:rsidRPr="00581C40">
        <w:t xml:space="preserve">na trh minimálně po dobu </w:t>
      </w:r>
      <w:r>
        <w:t xml:space="preserve">tří let </w:t>
      </w:r>
      <w:r w:rsidRPr="00581C40">
        <w:t>a v množství</w:t>
      </w:r>
      <w:r>
        <w:t>ch</w:t>
      </w:r>
      <w:r w:rsidRPr="00581C40">
        <w:t xml:space="preserve">, které </w:t>
      </w:r>
      <w:r>
        <w:t>jsou individuálně</w:t>
      </w:r>
      <w:r w:rsidRPr="00581C40">
        <w:t xml:space="preserve"> stanoveny </w:t>
      </w:r>
      <w:r>
        <w:t>pro každý druh vybraných výrobků (rozdílně pak ještě pro přenosné a ostatní baterie a akumulátory)</w:t>
      </w:r>
      <w:r w:rsidRPr="00581C40">
        <w:t xml:space="preserve">. Smyslem tohoto omezení je zabránit zakládání kolektivních systémů </w:t>
      </w:r>
      <w:r>
        <w:t>ze strany účelových (minoritních) výrobců</w:t>
      </w:r>
      <w:r w:rsidRPr="00581C40">
        <w:t>.</w:t>
      </w:r>
      <w:r>
        <w:t xml:space="preserve"> U takovýchto kolektivních systémů existuje riziko, že mohou být založeny ze spekulativních důvodů, nebo proto, aby v rozporu se zákonem provozování kolektivního systému přinášelo výhody některému z účelových výrobců nebo jiným skupinám osob. </w:t>
      </w:r>
      <w:r w:rsidRPr="00581C40">
        <w:t xml:space="preserve"> Kolektivní systém by měl být založen a řízen pouze výrobci, kteří soustavně (tedy ne na </w:t>
      </w:r>
      <w:r w:rsidRPr="0063135C">
        <w:rPr>
          <w:i/>
        </w:rPr>
        <w:t>ad hoc</w:t>
      </w:r>
      <w:r w:rsidRPr="00581C40">
        <w:t xml:space="preserve"> bázi) a nikoliv v zanedbatelném množství uvádějí vybrané výrobky na trh</w:t>
      </w:r>
      <w:r>
        <w:t>,</w:t>
      </w:r>
      <w:r w:rsidRPr="00581C40">
        <w:t xml:space="preserve"> a kteří </w:t>
      </w:r>
      <w:r>
        <w:t xml:space="preserve">tudíž </w:t>
      </w:r>
      <w:r w:rsidRPr="00581C40">
        <w:t xml:space="preserve">mají skutečný zájem na kolektivním zajištění plnění svých zákonných povinností pro zpětný odběr a nakládání s výrobky s ukončenou životností. Parametry tohoto omezení </w:t>
      </w:r>
      <w:r>
        <w:t>jsou</w:t>
      </w:r>
      <w:r w:rsidRPr="00581C40">
        <w:t xml:space="preserve"> nastaveny tak, aby nepředstavovaly pro výrobce nepřiměřenou bariéru pro založení kolektivního systému. Co se týče možnosti vstupu na trh kolektivních systémů ze strany nových výrobců, budou tito moci </w:t>
      </w:r>
      <w:r>
        <w:t xml:space="preserve">z počátku </w:t>
      </w:r>
      <w:r w:rsidRPr="00581C40">
        <w:t xml:space="preserve">své povinnosti standardně plnit prostřednictvím </w:t>
      </w:r>
      <w:r>
        <w:t>již fungujících</w:t>
      </w:r>
      <w:r w:rsidRPr="00581C40">
        <w:t xml:space="preserve"> kolektivních systémů, a následně po uplynutí stanovené doby působení na trhu budou moci např. majetkově vstoupit do </w:t>
      </w:r>
      <w:r>
        <w:t>některého</w:t>
      </w:r>
      <w:r w:rsidRPr="00581C40">
        <w:t xml:space="preserve"> provozovatele kolektivního systému nebo společně s dalšími výrobci založit vlastní kolektivní systém a požádat ministerstvo o udělení oprávnění k jeho provozování.</w:t>
      </w:r>
    </w:p>
    <w:p w:rsidR="00CC0F90" w:rsidRDefault="00CC0F90" w:rsidP="00CC0F90">
      <w:pPr>
        <w:spacing w:before="240"/>
      </w:pPr>
      <w:r>
        <w:t xml:space="preserve">Vedle toho, že zákon omezuje předmět činnosti provozovatele kolektivního systému (viz dále § 41), klade také pro udělení oprávnění k provozování kolektivního systému podmínku v tom smyslu, že žadatel nesmí být </w:t>
      </w:r>
      <w:r w:rsidRPr="008518EB">
        <w:t>společníkem</w:t>
      </w:r>
      <w:r>
        <w:t xml:space="preserve"> nebo členem</w:t>
      </w:r>
      <w:r w:rsidRPr="008518EB">
        <w:t xml:space="preserve"> jiné právnické osoby nebo členem orgánu jiné právnické osoby</w:t>
      </w:r>
      <w:r>
        <w:t xml:space="preserve">. Tato podmínka odráží premisu, že provozovatel kolektivního systému by se neměl podílet na činnostech, které nesouvisejí s plněním zákonných povinností výrobců, jež </w:t>
      </w:r>
      <w:r w:rsidRPr="0063135C">
        <w:rPr>
          <w:i/>
        </w:rPr>
        <w:t>de facto</w:t>
      </w:r>
      <w:r>
        <w:t xml:space="preserve"> zastupuje. Omezení neplatí pro případy, kdy provozovatel kolektivního </w:t>
      </w:r>
      <w:r>
        <w:lastRenderedPageBreak/>
        <w:t xml:space="preserve">systému je členem </w:t>
      </w:r>
      <w:r w:rsidRPr="008518EB">
        <w:t>právnické osoby sdružující osoby s obdobným předmětem činnosti</w:t>
      </w:r>
      <w:r>
        <w:t xml:space="preserve">. Provozovatelé kolektivních systémů se tedy mohou účastnit např. sdružení nebo asociací kolektivních systémů s mezinárodním přesahem apod.    </w:t>
      </w:r>
    </w:p>
    <w:p w:rsidR="00CC0F90" w:rsidRDefault="00CC0F90" w:rsidP="00CC0F90">
      <w:pPr>
        <w:spacing w:before="240"/>
      </w:pPr>
      <w:r>
        <w:t>Další podmínky pro vydání</w:t>
      </w:r>
      <w:r w:rsidRPr="0038489E">
        <w:t xml:space="preserve"> </w:t>
      </w:r>
      <w:r>
        <w:t xml:space="preserve">oprávnění k provozování kolektivního systému se týkají omezení podnikání jak žadatele samotného, tak jeho společníků a </w:t>
      </w:r>
      <w:r w:rsidRPr="0038489E">
        <w:t>osob, kter</w:t>
      </w:r>
      <w:r>
        <w:t>é</w:t>
      </w:r>
      <w:r w:rsidRPr="0038489E">
        <w:t xml:space="preserve"> j</w:t>
      </w:r>
      <w:r>
        <w:t xml:space="preserve">sou </w:t>
      </w:r>
      <w:r w:rsidRPr="0038489E">
        <w:t>členem</w:t>
      </w:r>
      <w:r>
        <w:t xml:space="preserve"> jeho</w:t>
      </w:r>
      <w:r w:rsidRPr="0038489E">
        <w:t xml:space="preserve"> statutární</w:t>
      </w:r>
      <w:r>
        <w:t>ho</w:t>
      </w:r>
      <w:r w:rsidRPr="0038489E">
        <w:t xml:space="preserve"> orgán</w:t>
      </w:r>
      <w:r>
        <w:t>u</w:t>
      </w:r>
      <w:r w:rsidRPr="0038489E">
        <w:t xml:space="preserve"> nebo vedoucím pracovníkem v přímé řídící působnosti statutárního orgánu</w:t>
      </w:r>
      <w:r>
        <w:t>. Z důvodu ochrany hospodářské soutěže</w:t>
      </w:r>
      <w:r w:rsidRPr="00BC2D7F">
        <w:t xml:space="preserve"> </w:t>
      </w:r>
      <w:r>
        <w:t>je s provozováním kolektivního systému</w:t>
      </w:r>
      <w:r w:rsidRPr="00BC2D7F">
        <w:t xml:space="preserve"> </w:t>
      </w:r>
      <w:r>
        <w:t xml:space="preserve">neslučitelné podnikání v oblasti nakládání s odpady </w:t>
      </w:r>
      <w:r w:rsidRPr="008518EB">
        <w:t xml:space="preserve">z vybraných výrobků toho druhu, pro který </w:t>
      </w:r>
      <w:r>
        <w:t xml:space="preserve">žadatel </w:t>
      </w:r>
      <w:r w:rsidRPr="008518EB">
        <w:t>hodlá zajišťovat kolektivní plnění povinností</w:t>
      </w:r>
      <w:r>
        <w:t xml:space="preserve"> výrobců. Provozovatel kolektivního systému má vzhledem ke své zákonem vymezené činnosti velmi významnou úlohu na trhu v oblasti zpracování odpadů z vybraných výrobků. Není proto žádoucí, aby provozovatel kolektivního systému</w:t>
      </w:r>
      <w:r w:rsidDel="00705539">
        <w:t xml:space="preserve"> </w:t>
      </w:r>
      <w:r>
        <w:t xml:space="preserve">mohl sám podnikat v oblasti nakládání s odpady ze zpětně odebraných výrobků s ukončenou životností. Ustanovení tedy zamezuje vertikální integraci, tzn., že kolektivní systém není oprávněn vstupovat na trh zpracování odpadů </w:t>
      </w:r>
      <w:r w:rsidRPr="000975DC">
        <w:t>z vybraných výrobků toho druhu, pro který zajišť</w:t>
      </w:r>
      <w:r>
        <w:t>uje</w:t>
      </w:r>
      <w:r w:rsidRPr="000975DC">
        <w:t xml:space="preserve"> kolektivní plnění povinností</w:t>
      </w:r>
      <w:r>
        <w:t xml:space="preserve"> výrobců. Zpracování odpadů z těchto vybraných výrobků bude muset provozovatel kolektivního systému zajišťovat výhradně prostřednictvím externích subjektů (zpracovatelů), a to prostřednictvím komoditní burzy nebo vyhlášení veřejné soutěže o nejvhodnější nabídku (detailněji je tato problematika upravena v § 51 a násl.). V souvislosti s tím je z důvodu předcházení střetu zájmu provozovatele kolektivního systému a komoditní burzy stanoveno, že oprávnění k </w:t>
      </w:r>
      <w:r w:rsidRPr="008518EB">
        <w:t>provozování kolektivního systému nelze vydat, jestliže žadatel</w:t>
      </w:r>
      <w:r>
        <w:t xml:space="preserve"> je </w:t>
      </w:r>
      <w:r w:rsidRPr="0007462E">
        <w:t xml:space="preserve">zakladatelem </w:t>
      </w:r>
      <w:r>
        <w:t>nebo</w:t>
      </w:r>
      <w:r w:rsidRPr="0007462E">
        <w:t xml:space="preserve"> členem komoditní burzy</w:t>
      </w:r>
      <w:r>
        <w:t xml:space="preserve"> nebo je tímto zakladatelem nebo členem osoba, </w:t>
      </w:r>
      <w:r w:rsidRPr="0007462E">
        <w:t xml:space="preserve">která je vůči </w:t>
      </w:r>
      <w:r>
        <w:t>žadateli</w:t>
      </w:r>
      <w:r w:rsidRPr="0007462E">
        <w:t xml:space="preserve"> v postavení ovládající osoby nebo ovládané osoby</w:t>
      </w:r>
      <w:r>
        <w:t xml:space="preserve">.  Obdobné omezení jako pro žadatele o vydání oprávnění platí z důvodu úzkého personálního propojení i pro </w:t>
      </w:r>
      <w:r w:rsidRPr="008518EB">
        <w:t>osob</w:t>
      </w:r>
      <w:r>
        <w:t>u</w:t>
      </w:r>
      <w:r w:rsidRPr="008518EB">
        <w:t>, která je statutárním orgánem žadatele nebo jeho členem nebo vedoucím pracovníkem žadatele v přímé řídící působnosti statutárního orgánu</w:t>
      </w:r>
      <w:r>
        <w:t xml:space="preserve">. V případě společníků žadatele, resp. provozovatele kolektivního systému se omezení ve stejném rozsahu nejeví přiměřené, neboť podnikání </w:t>
      </w:r>
      <w:r w:rsidRPr="00E76177">
        <w:t>v oblasti nakládání s</w:t>
      </w:r>
      <w:r>
        <w:t> </w:t>
      </w:r>
      <w:r w:rsidRPr="00E76177">
        <w:t>odpady</w:t>
      </w:r>
      <w:r>
        <w:t xml:space="preserve"> jako vedlejší činnost některých výrobců s širším spektrem předmětu činnosti není neobvyklým jevem a z hlediska naplnění cílů tohoto zákona není na překážku. Proto zákon připouští, aby </w:t>
      </w:r>
      <w:r w:rsidRPr="00E76177">
        <w:t xml:space="preserve">společník </w:t>
      </w:r>
      <w:r>
        <w:t>provozovatele kolektivního systému</w:t>
      </w:r>
      <w:r w:rsidRPr="00E76177">
        <w:t xml:space="preserve"> </w:t>
      </w:r>
      <w:r>
        <w:t xml:space="preserve">nebo jím </w:t>
      </w:r>
      <w:r w:rsidRPr="00E76177">
        <w:t>ovládan</w:t>
      </w:r>
      <w:r>
        <w:t>á osoba</w:t>
      </w:r>
      <w:r w:rsidRPr="00E76177">
        <w:t xml:space="preserve"> </w:t>
      </w:r>
      <w:r>
        <w:t>podnikali</w:t>
      </w:r>
      <w:r w:rsidRPr="00E76177">
        <w:t xml:space="preserve"> v oblasti nakládání s odpady, </w:t>
      </w:r>
      <w:r>
        <w:t>pokud</w:t>
      </w:r>
      <w:r w:rsidRPr="00E76177">
        <w:t xml:space="preserve"> taková činnost má pouze doplňkový nebo vedlejší charakter</w:t>
      </w:r>
      <w:r>
        <w:t>.</w:t>
      </w:r>
    </w:p>
    <w:p w:rsidR="00CC0F90" w:rsidRDefault="00CC0F90" w:rsidP="00CC0F90">
      <w:pPr>
        <w:spacing w:before="240"/>
      </w:pPr>
      <w:r>
        <w:t>S provozováním kolektivního systému je dále neslučitelné tiché společenství, a to jak v podobě podílu provozovatele kolektivního systému na podnikání jiného podnikatele, tak v podobě podílu jiné osoby na hospodářském výsledku provozovatele kolektivního systému. To je dáno především již výše popsanou povahou činnosti a posláním provozovatele kolektivního systému, ale i netransparentní formou účasti v případě tichého společenství.</w:t>
      </w:r>
    </w:p>
    <w:p w:rsidR="00CC0F90" w:rsidRDefault="00CC0F90" w:rsidP="00CC0F90">
      <w:pPr>
        <w:spacing w:before="240"/>
      </w:pPr>
      <w:r>
        <w:t xml:space="preserve">Za klíčové podmínky udělení oprávnění k provozování kolektivního systému lze považovat dostatečnost </w:t>
      </w:r>
      <w:r w:rsidRPr="00E76177">
        <w:t>projekt</w:t>
      </w:r>
      <w:r>
        <w:t>u</w:t>
      </w:r>
      <w:r w:rsidRPr="00E76177">
        <w:t xml:space="preserve"> zajišťování kolektivního plnění</w:t>
      </w:r>
      <w:r>
        <w:t xml:space="preserve"> a financování tohoto projektu. Předložený p</w:t>
      </w:r>
      <w:r w:rsidRPr="00E76177">
        <w:t xml:space="preserve">rojekt zajišťování kolektivního plnění </w:t>
      </w:r>
      <w:r>
        <w:t xml:space="preserve">musí </w:t>
      </w:r>
      <w:r w:rsidRPr="00E76177">
        <w:t>poskyt</w:t>
      </w:r>
      <w:r>
        <w:t>ovat</w:t>
      </w:r>
      <w:r w:rsidRPr="00E76177">
        <w:t xml:space="preserve"> dostatečné záruky, že kolektivní plnění bude provozováno řádně a dostatečně dlouhodobě,</w:t>
      </w:r>
      <w:r>
        <w:t xml:space="preserve"> a žadatel musí současně</w:t>
      </w:r>
      <w:r w:rsidRPr="00E76177">
        <w:t xml:space="preserve"> </w:t>
      </w:r>
      <w:r w:rsidRPr="00E76177">
        <w:lastRenderedPageBreak/>
        <w:t>dolož</w:t>
      </w:r>
      <w:r>
        <w:t>it</w:t>
      </w:r>
      <w:r w:rsidRPr="00E76177">
        <w:t>, že má dostatečné finanční prostředky na zajištění řádného a dlouhodobého financování projektu zajišťování kolektivního plnění</w:t>
      </w:r>
      <w:r>
        <w:t xml:space="preserve">. V rámci posouzení </w:t>
      </w:r>
      <w:r w:rsidRPr="00E76177">
        <w:t>projekt</w:t>
      </w:r>
      <w:r>
        <w:t>u</w:t>
      </w:r>
      <w:r w:rsidRPr="00E76177">
        <w:t xml:space="preserve"> zajišťování kolektivního plnění</w:t>
      </w:r>
      <w:r>
        <w:t xml:space="preserve"> ministerstvo například zkoumá, zda žadatel má zajištěnou dostatečně hustou síť míst zpětného odběru dle zákonem stanovených požadavků, zda bude schopen zajistit realizaci zpětného odběru alespoň v zákonem stanoveném minimálním rozsahu (resp. zda dosáhne splnění stanovených sběrných kvót), zda bude schopen zajistit zpracování všech zpětně odebraných výrobků s ukončenou životností v souladu se zákonem stanovenými požadavky atd. Dostatečnost finančního </w:t>
      </w:r>
      <w:r w:rsidRPr="008518EB">
        <w:t xml:space="preserve">zajištění řádného a dlouhodobého financování projektu zajišťování kolektivního plnění se </w:t>
      </w:r>
      <w:r>
        <w:t xml:space="preserve">posuzuje s ohledem na </w:t>
      </w:r>
      <w:r w:rsidRPr="008518EB">
        <w:t>rozsah zamýšlené činnosti provozovatele kolektivního systému</w:t>
      </w:r>
      <w:r>
        <w:t xml:space="preserve"> a</w:t>
      </w:r>
      <w:r w:rsidRPr="008518EB">
        <w:t xml:space="preserve"> druh a skupiny vybraných výrobků, pro které žadatel hodlá zajišťovat kolektivní plnění povinností </w:t>
      </w:r>
      <w:r>
        <w:t>výrobců</w:t>
      </w:r>
      <w:r w:rsidRPr="008518EB">
        <w:t>.</w:t>
      </w:r>
      <w:r>
        <w:t xml:space="preserve"> </w:t>
      </w:r>
      <w:r w:rsidRPr="00CE1D56">
        <w:t xml:space="preserve">Minimálně však musí finanční zajištění žadatele zahrnovat schopnost pokrýt okamžitě alespoň 25 % </w:t>
      </w:r>
      <w:r w:rsidRPr="00CE1D56">
        <w:rPr>
          <w:bCs/>
        </w:rPr>
        <w:t xml:space="preserve">předpokládaných ročních </w:t>
      </w:r>
      <w:r w:rsidRPr="00CE1D56">
        <w:t>nákladů na provozování kolektivního systému v plánovaném rozsahu (např. peněžní prostředky uložené na účtu nebo otevřený úvěr v dostatečné výši apod.).</w:t>
      </w:r>
    </w:p>
    <w:p w:rsidR="00CC0F90" w:rsidRPr="009B0FE1" w:rsidRDefault="00CC0F90" w:rsidP="00CC0F90">
      <w:pPr>
        <w:spacing w:before="240"/>
        <w:rPr>
          <w:b/>
        </w:rPr>
      </w:pPr>
      <w:r>
        <w:rPr>
          <w:b/>
        </w:rPr>
        <w:t>K § 37 až 40</w:t>
      </w:r>
    </w:p>
    <w:p w:rsidR="00CC0F90" w:rsidRDefault="00CC0F90" w:rsidP="00CC0F90">
      <w:pPr>
        <w:spacing w:before="240"/>
      </w:pPr>
      <w:r>
        <w:t>Zákon upravuje způsob podání a náležitosti ž</w:t>
      </w:r>
      <w:r w:rsidRPr="008213EF">
        <w:t>ádost</w:t>
      </w:r>
      <w:r>
        <w:t>i</w:t>
      </w:r>
      <w:r w:rsidRPr="008213EF">
        <w:t xml:space="preserve"> o vydání oprávnění k provozování kolektivního systému</w:t>
      </w:r>
      <w:r>
        <w:t xml:space="preserve"> včetně jejích povinných příloh. Na základě těchto údajů a dokumentů má být především prokázáno, že žadatel splňuje požadavky pro vydání oprávnění k </w:t>
      </w:r>
      <w:r w:rsidRPr="008213EF">
        <w:t>provozování kolektivního systému</w:t>
      </w:r>
      <w:r>
        <w:t xml:space="preserve"> a </w:t>
      </w:r>
      <w:r w:rsidRPr="007E6A3A">
        <w:t>že kolektivní plnění bude provozováno řádně a</w:t>
      </w:r>
      <w:r>
        <w:t> </w:t>
      </w:r>
      <w:r w:rsidRPr="007E6A3A">
        <w:t>dostatečně dlouhodobě</w:t>
      </w:r>
      <w:r>
        <w:t xml:space="preserve"> a bude pro ně zajištěno dostatečné financování. O žádosti rozhoduje Ministerstvo životního prostředí </w:t>
      </w:r>
      <w:r w:rsidRPr="00B57D10">
        <w:t>po projednání s Ministerstvem průmyslu</w:t>
      </w:r>
      <w:r>
        <w:t xml:space="preserve"> a obchodu, které v řízení podává vyjádření. K vydání rozhodnutí je z důvodu složitosti věci a nutnosti posoudit splnění mnoha podmínek stanovena odchylně od správního řádu lhůta 90 dnů od </w:t>
      </w:r>
      <w:r w:rsidRPr="00B57D10">
        <w:t>zahájení řízení</w:t>
      </w:r>
      <w:r>
        <w:t xml:space="preserve"> (tím není vyloučena možnost přerušení řízení, jsou-li k tomu podle správního řádu důvody).</w:t>
      </w:r>
    </w:p>
    <w:p w:rsidR="00CC0F90" w:rsidRDefault="00CC0F90" w:rsidP="00CC0F90">
      <w:pPr>
        <w:spacing w:before="240"/>
      </w:pPr>
      <w:r>
        <w:t xml:space="preserve">K vydání </w:t>
      </w:r>
      <w:r w:rsidRPr="008213EF">
        <w:t>oprávnění k provozování kolektivního systému</w:t>
      </w:r>
      <w:r>
        <w:t xml:space="preserve"> musí být splněny všechny podmínky uvedené </w:t>
      </w:r>
      <w:r w:rsidRPr="003C55A1">
        <w:t>§ 36 odst. 2 až 4</w:t>
      </w:r>
      <w:r>
        <w:t xml:space="preserve">, jinak ministerstvo žádost zamítne. Oprávnění se vždy vydává pro zajišťování kolektivního plnění konkrétního druhu a skupin </w:t>
      </w:r>
      <w:r w:rsidRPr="006927FC">
        <w:t>vybraných výrobků</w:t>
      </w:r>
      <w:r>
        <w:t xml:space="preserve">, které musejí být v rozhodnutí uvedeny, stejně jako </w:t>
      </w:r>
      <w:r w:rsidRPr="006927FC">
        <w:t xml:space="preserve">v případě elektrozařízení </w:t>
      </w:r>
      <w:r>
        <w:t xml:space="preserve">též </w:t>
      </w:r>
      <w:r w:rsidRPr="006927FC">
        <w:t>údaj o tom, zda jde o elektrozařízení určená k použití v do</w:t>
      </w:r>
      <w:r>
        <w:t xml:space="preserve">mácnostech nebo mimo domácnosti. Dále musí být v rozhodnutí uvedeno, zda je </w:t>
      </w:r>
      <w:r w:rsidRPr="006927FC">
        <w:t>oprávnění k provozování kolektivního systému výrobců elektrozařízení vydáno též pro zajišťování plnění povinností provozovatelů solárních elektráren, jejichž součástí jsou solární panely uvedené na trh do dne 1. ledna 2013</w:t>
      </w:r>
      <w:r>
        <w:t xml:space="preserve">. </w:t>
      </w:r>
      <w:r w:rsidRPr="00317101">
        <w:t>Oprávnění k provozování kolektivního systému se vydává na dobu neurčitou a nepřechází na jinou osobu (např. v případě zániku provozovatele kolektivního systému s právním nástupcem).</w:t>
      </w:r>
    </w:p>
    <w:p w:rsidR="00CC0F90" w:rsidRDefault="00CC0F90" w:rsidP="00CC0F90">
      <w:pPr>
        <w:spacing w:before="240"/>
      </w:pPr>
      <w:r>
        <w:t>Změny o</w:t>
      </w:r>
      <w:r w:rsidRPr="00B57D10">
        <w:t>právnění k provozování kolektivního systému</w:t>
      </w:r>
      <w:r>
        <w:t xml:space="preserve"> je možné učinit rozhodnutím Ministerstva životního prostředí </w:t>
      </w:r>
      <w:r w:rsidRPr="00B57D10">
        <w:t>po projednání s Ministerstvem průmyslu</w:t>
      </w:r>
      <w:r>
        <w:t xml:space="preserve"> a obchodu </w:t>
      </w:r>
      <w:r w:rsidRPr="00B57D10">
        <w:t>na žádost provozovatele kolektivního systému</w:t>
      </w:r>
      <w:r>
        <w:t xml:space="preserve">, </w:t>
      </w:r>
      <w:r w:rsidRPr="00B57D10">
        <w:t>z důvodu změny v právním předpise mající vliv na kolektivní plnění povinností výrobců, nebo</w:t>
      </w:r>
      <w:r>
        <w:t xml:space="preserve"> </w:t>
      </w:r>
      <w:r w:rsidRPr="00B57D10">
        <w:t xml:space="preserve">je-li ohroženo plnění závazných cílů v oblasti zpětného odběru a využití výrobků s ukončenou životností vyplývajících pro Českou </w:t>
      </w:r>
      <w:r w:rsidRPr="00B57D10">
        <w:lastRenderedPageBreak/>
        <w:t>republiku z předpisů Evropské unie.</w:t>
      </w:r>
      <w:r>
        <w:t xml:space="preserve"> </w:t>
      </w:r>
      <w:r w:rsidRPr="00317101">
        <w:t xml:space="preserve">O změnu rozhodnutí o vydání oprávnění k provozování kolektivního systému by měl jeho provozovatel požádat zejména v případě, že hodlá podstatným způsobem upravit projekt zajišťování kolektivního plnění, neboť ten je vydáním oprávnění </w:t>
      </w:r>
      <w:r w:rsidRPr="00317101">
        <w:rPr>
          <w:i/>
        </w:rPr>
        <w:t>de facto</w:t>
      </w:r>
      <w:r w:rsidRPr="00317101">
        <w:t xml:space="preserve"> schvalován.</w:t>
      </w:r>
    </w:p>
    <w:p w:rsidR="00CC0F90" w:rsidRDefault="00CC0F90" w:rsidP="00CC0F90">
      <w:pPr>
        <w:spacing w:before="240"/>
      </w:pPr>
      <w:r>
        <w:t>V řízeních ve věcech vydání, změn nebo zrušení o</w:t>
      </w:r>
      <w:r w:rsidRPr="00B57D10">
        <w:t>právnění k provozování kolektivního systému</w:t>
      </w:r>
      <w:r>
        <w:t xml:space="preserve"> by měl být účastníkem vždy jen žadatel, resp. provozovatel kolektivního systému, neboť oprávnění provozovat kolektivní systém nezakládá žádné výhradní právo k vykonávání této činnosti. V případě kolektivních systémů si nicméně lze představit, že řada osob by mohla tvrdit, že rozhodnutím budou dotčeny na svých právech. Přestože tato tvrzení by mělo být vždy možné vyvrátit, z důvodu </w:t>
      </w:r>
      <w:r w:rsidRPr="007F3952">
        <w:t>zamezení případným neodůvodněným nárokům jiných osob na účastenství v řízení, o nichž by muselo být rozhodováno,</w:t>
      </w:r>
      <w:r>
        <w:t xml:space="preserve"> zákon stanoví, že </w:t>
      </w:r>
      <w:r w:rsidRPr="007F3952">
        <w:t xml:space="preserve">účastníkem řízení </w:t>
      </w:r>
      <w:r>
        <w:t xml:space="preserve">v těchto věcech je </w:t>
      </w:r>
      <w:r w:rsidRPr="00B57D10">
        <w:t>pouze žadatel</w:t>
      </w:r>
      <w:r>
        <w:t>, resp.</w:t>
      </w:r>
      <w:r w:rsidRPr="00B57D10">
        <w:t xml:space="preserve"> pouze osoba, jíž bylo oprávnění vydáno</w:t>
      </w:r>
      <w:r>
        <w:t>.</w:t>
      </w:r>
    </w:p>
    <w:p w:rsidR="00CC0F90" w:rsidRPr="008E061F" w:rsidRDefault="00CC0F90" w:rsidP="00CC0F90">
      <w:pPr>
        <w:spacing w:before="240"/>
      </w:pPr>
      <w:r>
        <w:t>Provozovatelé kolektivního systému se nezapisují do Seznamu výrobců. Aby byla k dispozici veřejně přístupná databáze kolektivních systémů včetně informací o obsahu jejich oprávnění, vede ministerstvo s</w:t>
      </w:r>
      <w:r w:rsidRPr="008E061F">
        <w:t>eznam vydaných oprávnění k p</w:t>
      </w:r>
      <w:r>
        <w:t>rovozování kolektivního systému a </w:t>
      </w:r>
      <w:r w:rsidRPr="008E061F">
        <w:t>rozhodnutí</w:t>
      </w:r>
      <w:r>
        <w:t xml:space="preserve"> o jejich změnách nebo zrušení, který </w:t>
      </w:r>
      <w:r w:rsidRPr="008E061F">
        <w:t>zveřejňuje způsobem umožňujícím dálkový přístup</w:t>
      </w:r>
      <w:r>
        <w:t xml:space="preserve">. Zveřejňován je </w:t>
      </w:r>
      <w:r w:rsidRPr="008E061F">
        <w:t xml:space="preserve">i obsah těchto oprávnění a rozhodnutí s výjimkou údajů, které jsou předmětem obchodního tajemství nebo na které se vztahuje zákon o ochraně osobních údajů. </w:t>
      </w:r>
    </w:p>
    <w:p w:rsidR="00CC0F90" w:rsidRPr="008E061F" w:rsidRDefault="00CC0F90" w:rsidP="00CC0F90">
      <w:pPr>
        <w:spacing w:before="240"/>
      </w:pPr>
      <w:r>
        <w:t>P</w:t>
      </w:r>
      <w:r w:rsidRPr="008E061F">
        <w:t>rovozovatel kolektivníh</w:t>
      </w:r>
      <w:r>
        <w:t>o systému</w:t>
      </w:r>
      <w:r w:rsidRPr="008E061F">
        <w:t xml:space="preserve"> </w:t>
      </w:r>
      <w:r>
        <w:t xml:space="preserve">má oznamovací povinnost vůči ministerstvu, jestliže on nebo některý z jeho </w:t>
      </w:r>
      <w:r w:rsidRPr="008E061F">
        <w:t>společní</w:t>
      </w:r>
      <w:r>
        <w:t>ků</w:t>
      </w:r>
      <w:r w:rsidRPr="008E061F">
        <w:t xml:space="preserve"> </w:t>
      </w:r>
      <w:r>
        <w:t xml:space="preserve">přestane </w:t>
      </w:r>
      <w:r w:rsidRPr="008E061F">
        <w:t>splňovat</w:t>
      </w:r>
      <w:r>
        <w:t xml:space="preserve"> </w:t>
      </w:r>
      <w:r w:rsidRPr="008E061F">
        <w:t>některou z podmínek nutných pro vydání oprávnění k provozování kolektivního systému</w:t>
      </w:r>
      <w:r>
        <w:t>.</w:t>
      </w:r>
      <w:r w:rsidRPr="008E061F">
        <w:t xml:space="preserve"> </w:t>
      </w:r>
      <w:r>
        <w:t>S</w:t>
      </w:r>
      <w:r w:rsidRPr="008E061F">
        <w:t xml:space="preserve">oučasně </w:t>
      </w:r>
      <w:r>
        <w:t xml:space="preserve">je povinen </w:t>
      </w:r>
      <w:r w:rsidRPr="008E061F">
        <w:t>sdělit, jakým způsobem bude zjednána náprava.</w:t>
      </w:r>
      <w:r>
        <w:t xml:space="preserve"> Na tuto povinnost navazují ustanovení o dohledu ministerstva nad činností provozovatele kolektivního systému.</w:t>
      </w:r>
    </w:p>
    <w:p w:rsidR="00CC0F90" w:rsidRPr="009B0FE1" w:rsidRDefault="00CC0F90" w:rsidP="00CC0F90">
      <w:pPr>
        <w:spacing w:before="240"/>
        <w:rPr>
          <w:b/>
        </w:rPr>
      </w:pPr>
      <w:r>
        <w:rPr>
          <w:b/>
        </w:rPr>
        <w:t>K § 41</w:t>
      </w:r>
    </w:p>
    <w:p w:rsidR="00CC0F90" w:rsidRDefault="00CC0F90" w:rsidP="00CC0F90">
      <w:pPr>
        <w:spacing w:before="240"/>
      </w:pPr>
      <w:r w:rsidRPr="009B0FE1">
        <w:t xml:space="preserve">Ustanovení jednoznačně vymezuje rozsah činností, které smějí provozovatelé kolektivních systémů vykonávat. Stávající úprava </w:t>
      </w:r>
      <w:r>
        <w:t xml:space="preserve">v </w:t>
      </w:r>
      <w:r w:rsidRPr="009B0FE1">
        <w:t>zákon</w:t>
      </w:r>
      <w:r>
        <w:t>ě</w:t>
      </w:r>
      <w:r w:rsidRPr="009B0FE1">
        <w:t xml:space="preserve"> o odpadech bohužel reguluje tuto problematiku nedostatečně</w:t>
      </w:r>
      <w:r>
        <w:t xml:space="preserve"> (v oblasti elektrozařízení dokonce vůbec)</w:t>
      </w:r>
      <w:r w:rsidRPr="009B0FE1">
        <w:t xml:space="preserve">, a není tedy </w:t>
      </w:r>
      <w:r>
        <w:t>zřejmé</w:t>
      </w:r>
      <w:r w:rsidRPr="009B0FE1">
        <w:t xml:space="preserve">, zda </w:t>
      </w:r>
      <w:r>
        <w:t xml:space="preserve">provozovatel </w:t>
      </w:r>
      <w:r w:rsidRPr="009B0FE1">
        <w:t>kolektivní</w:t>
      </w:r>
      <w:r>
        <w:t>ho</w:t>
      </w:r>
      <w:r w:rsidRPr="009B0FE1">
        <w:t xml:space="preserve"> systém</w:t>
      </w:r>
      <w:r>
        <w:t>u</w:t>
      </w:r>
      <w:r w:rsidRPr="009B0FE1">
        <w:t xml:space="preserve"> může vykonávat i jiné činnosti</w:t>
      </w:r>
      <w:r>
        <w:t>,</w:t>
      </w:r>
      <w:r w:rsidRPr="009B0FE1">
        <w:t xml:space="preserve"> </w:t>
      </w:r>
      <w:r>
        <w:t>které</w:t>
      </w:r>
      <w:r w:rsidRPr="009B0FE1">
        <w:t xml:space="preserve"> s kolektivní</w:t>
      </w:r>
      <w:r>
        <w:t>m</w:t>
      </w:r>
      <w:r w:rsidRPr="009B0FE1">
        <w:t xml:space="preserve"> plnění</w:t>
      </w:r>
      <w:r>
        <w:t>m povinností výrobců třeba vůbec nesouvisejí</w:t>
      </w:r>
      <w:r w:rsidRPr="009B0FE1">
        <w:t xml:space="preserve">. Vykonávání </w:t>
      </w:r>
      <w:r>
        <w:t xml:space="preserve">takových </w:t>
      </w:r>
      <w:r w:rsidRPr="009B0FE1">
        <w:t xml:space="preserve">činností je </w:t>
      </w:r>
      <w:r>
        <w:t>přitom</w:t>
      </w:r>
      <w:r w:rsidRPr="009B0FE1">
        <w:t xml:space="preserve"> velmi problematické, neboť hrozí rizik</w:t>
      </w:r>
      <w:r>
        <w:t>a</w:t>
      </w:r>
      <w:r w:rsidRPr="009B0FE1">
        <w:t xml:space="preserve"> střetu zájmů </w:t>
      </w:r>
      <w:r>
        <w:t>a</w:t>
      </w:r>
      <w:r w:rsidRPr="009B0FE1">
        <w:t xml:space="preserve"> vyvádění finančních prostředků výrobců mimo kolektivní systémy. </w:t>
      </w:r>
      <w:r>
        <w:t>Provozovatelé k</w:t>
      </w:r>
      <w:r w:rsidRPr="009B0FE1">
        <w:t>olektivní</w:t>
      </w:r>
      <w:r>
        <w:t>ch</w:t>
      </w:r>
      <w:r w:rsidRPr="009B0FE1">
        <w:t xml:space="preserve"> systém</w:t>
      </w:r>
      <w:r>
        <w:t>ů</w:t>
      </w:r>
      <w:r w:rsidRPr="009B0FE1">
        <w:t xml:space="preserve"> podle navrhované úpravy budou oprávněn</w:t>
      </w:r>
      <w:r>
        <w:t>i</w:t>
      </w:r>
      <w:r w:rsidRPr="009B0FE1">
        <w:t xml:space="preserve"> pouze zajišťovat kolektivní plnění povinností výrobců v rozsahu oprávnění</w:t>
      </w:r>
      <w:r>
        <w:t> k provozování</w:t>
      </w:r>
      <w:r w:rsidRPr="009B0FE1">
        <w:t xml:space="preserve"> kolektivního systému, dále budou smět realizovat osvětov</w:t>
      </w:r>
      <w:r>
        <w:t>ou</w:t>
      </w:r>
      <w:r w:rsidRPr="009B0FE1">
        <w:t xml:space="preserve"> a propagační činnost (</w:t>
      </w:r>
      <w:r>
        <w:t xml:space="preserve">tyto aktivity jsou </w:t>
      </w:r>
      <w:r w:rsidRPr="009B0FE1">
        <w:t>podrobn</w:t>
      </w:r>
      <w:r>
        <w:t>ěji</w:t>
      </w:r>
      <w:r w:rsidRPr="009B0FE1">
        <w:t xml:space="preserve"> </w:t>
      </w:r>
      <w:r>
        <w:t>upraveny</w:t>
      </w:r>
      <w:r w:rsidRPr="009B0FE1">
        <w:t xml:space="preserve"> v § 50) a v neposlední řadě je </w:t>
      </w:r>
      <w:r>
        <w:t xml:space="preserve">provozovateli </w:t>
      </w:r>
      <w:r w:rsidRPr="009B0FE1">
        <w:t>kolektivní</w:t>
      </w:r>
      <w:r>
        <w:t>ho</w:t>
      </w:r>
      <w:r w:rsidRPr="009B0FE1">
        <w:t xml:space="preserve"> systému umožněn </w:t>
      </w:r>
      <w:r>
        <w:t>výkon</w:t>
      </w:r>
      <w:r w:rsidRPr="009B0FE1">
        <w:t xml:space="preserve"> poradenské, výzkumné a publikační činnosti v oblasti zpětného odběru, opětovného použití a recyklace výrobků s ukončenou životností toho druhu, pro který zajišťuje kolektivní plnění povinností výrobců.</w:t>
      </w:r>
    </w:p>
    <w:p w:rsidR="00CC0F90" w:rsidRDefault="00CC0F90" w:rsidP="00CC0F90">
      <w:pPr>
        <w:spacing w:before="240"/>
      </w:pPr>
      <w:r>
        <w:lastRenderedPageBreak/>
        <w:t xml:space="preserve">Specifickým předmětem činnosti provozovatele </w:t>
      </w:r>
      <w:r w:rsidRPr="00955453">
        <w:t xml:space="preserve">kolektivního systému </w:t>
      </w:r>
      <w:r>
        <w:t xml:space="preserve">může být také </w:t>
      </w:r>
      <w:r w:rsidRPr="00380CCB">
        <w:t xml:space="preserve">zajišťování plnění povinností provozovatelů solárních elektráren, jejichž součástí jsou solární panely uvedené na trh do dne 1. ledna </w:t>
      </w:r>
      <w:r w:rsidRPr="00955453">
        <w:t>2013</w:t>
      </w:r>
      <w:r>
        <w:t>. Pro odpadní solární panely, které byly uvedeny na trh</w:t>
      </w:r>
      <w:r w:rsidRPr="00897885">
        <w:rPr>
          <w:rFonts w:ascii="Arial" w:hAnsi="Arial" w:cs="Arial"/>
          <w:lang w:eastAsia="cs-CZ" w:bidi="ar-SA"/>
        </w:rPr>
        <w:t xml:space="preserve"> </w:t>
      </w:r>
      <w:r w:rsidRPr="00897885">
        <w:t>do dne 1. ledna 2013</w:t>
      </w:r>
      <w:r>
        <w:t xml:space="preserve"> (tzv. historické solární panely), stanoví zákon v § 91 zvláštní režim, pokud jde o financování jejich zpětného odběru a zpracování včetně plnění těchto povinností. Povinnou osobou v tomto případě totiž není výrobce, ale provozovatel solární elektrárny, jíž jsou tyto solární panely součástí, tedy </w:t>
      </w:r>
      <w:r w:rsidRPr="00897885">
        <w:rPr>
          <w:i/>
        </w:rPr>
        <w:t>de facto</w:t>
      </w:r>
      <w:r>
        <w:t xml:space="preserve"> konečný uživatel. Provozovatel solární elektrárny přitom může splnit uvedené povinnosti k těmto solárním panelům pouze prostřednictvím provozovatele kolektivního systému, který je k zajišťování plnění těchto povinností oprávněn. Tento model vychází z již platné právní úpravy, která byla do stávajícího zákona o odpadech včleněna zákonem č. 165/2012 Sb., </w:t>
      </w:r>
      <w:r w:rsidRPr="003571B6">
        <w:t>o podporovaných zdrojích energie a o změně některých zákonů</w:t>
      </w:r>
      <w:r>
        <w:t xml:space="preserve">. Dle navrhovaného zákona však nově může jít o dva typy kolektivních systémů. Prvním z nich je klasický kolektivní systém </w:t>
      </w:r>
      <w:r w:rsidRPr="00955453">
        <w:t>výrobců elektrozařízení</w:t>
      </w:r>
      <w:r>
        <w:t xml:space="preserve">, jehož provozovateli bylo vydáno oprávnění k provozování kolektivního systému vedle jiného elektrozařízení také pro historické solární panely. Druhým, specifickým typem je kolektivní systém vytvořený provozovateli solárních elektráren, jejichž součástí jsou historické solární panely, který však smí vykonávat pouze činnost spočívající v zajišťování plnění povinností provozovatelů solárních elektráren, pokud jde o historické solární panely (činnost podle § 41 odst. 2).  Ustanovení zákona týkající se oprávnění k provozování kolektivního systému, včetně podmínek pro jeho vydání a náležitostí žádosti o jeho vydání, se aplikují i ve vztahu k tomuto předmětu činnosti v případě obou uvedených typů kolektivních systémů, přestože tato ustanovení hovoří o </w:t>
      </w:r>
      <w:r w:rsidRPr="00955453">
        <w:t>kolektivním plnění povinností výrobců</w:t>
      </w:r>
      <w:r>
        <w:t xml:space="preserve"> a o smlouvách o kolektivním plnění (například vedle</w:t>
      </w:r>
      <w:r w:rsidRPr="005E2538">
        <w:t xml:space="preserve"> </w:t>
      </w:r>
      <w:r>
        <w:t xml:space="preserve">projektu zajišťování kolektivního plnění, resp. namísto něj v případě kolektivního systému podle § 63, předkládá žadatel o vydání oprávnění projekt zajišťování </w:t>
      </w:r>
      <w:r w:rsidRPr="00955453">
        <w:t xml:space="preserve">plnění povinností provozovatelů solárních elektráren, jejichž součástí jsou </w:t>
      </w:r>
      <w:r>
        <w:t xml:space="preserve">historické </w:t>
      </w:r>
      <w:r w:rsidRPr="00955453">
        <w:t>solární panely</w:t>
      </w:r>
      <w:r>
        <w:t>).</w:t>
      </w:r>
    </w:p>
    <w:p w:rsidR="00CC0F90" w:rsidRPr="00D410FB" w:rsidRDefault="00CC0F90" w:rsidP="00CC0F90">
      <w:pPr>
        <w:spacing w:before="240"/>
        <w:rPr>
          <w:b/>
        </w:rPr>
      </w:pPr>
      <w:r w:rsidRPr="00D410FB">
        <w:rPr>
          <w:b/>
        </w:rPr>
        <w:t>K § 42</w:t>
      </w:r>
      <w:r>
        <w:rPr>
          <w:b/>
        </w:rPr>
        <w:t xml:space="preserve"> až 44</w:t>
      </w:r>
    </w:p>
    <w:p w:rsidR="00CC0F90" w:rsidRDefault="00CC0F90" w:rsidP="00CC0F90">
      <w:pPr>
        <w:spacing w:before="240"/>
      </w:pPr>
      <w:r>
        <w:t xml:space="preserve">Vzhledem k podmínce minimální výše základního kapitálu, který má plnit i určitou garanční funkci, omezuje zákon možnosti zvyšování a snižování základního kapitálu provozovatele kolektivního systému. Zvýšení základního kapitálu bude možné pouze </w:t>
      </w:r>
      <w:r w:rsidRPr="00791094">
        <w:t>převzetím vkladové povinnosti ke zvýšení dosavadních vkladů nebo k novému vkladu nebo upsáním nových akcií</w:t>
      </w:r>
      <w:r>
        <w:t>. Navýšení</w:t>
      </w:r>
      <w:r w:rsidRPr="00AC1A6D">
        <w:t xml:space="preserve"> </w:t>
      </w:r>
      <w:r>
        <w:t xml:space="preserve">základního kapitálu by mělo být vždy doprovázeno vkladem dodatečných finančních prostředků ze strany společníků. Proto zákon nepřipouští zvýšení základního kapitálu z vlastních zdrojů nebo zvýšení podmíněným způsobem. Snížení základního kapitálu nesmí být prostředkem k vyvádění finančních prostředků z kolektivního systému. Zákon proto umožňuje snížení základního kapitálu pouze </w:t>
      </w:r>
      <w:r w:rsidRPr="005A7433">
        <w:t>za ú</w:t>
      </w:r>
      <w:r>
        <w:t>čelem úhrady ztráty nebo v souvislosti s </w:t>
      </w:r>
      <w:r w:rsidRPr="005A7433">
        <w:t>plnění</w:t>
      </w:r>
      <w:r>
        <w:t>m</w:t>
      </w:r>
      <w:r w:rsidRPr="005A7433">
        <w:t xml:space="preserve"> povinností </w:t>
      </w:r>
      <w:r>
        <w:t xml:space="preserve">provozovatele kolektivního systému </w:t>
      </w:r>
      <w:r w:rsidRPr="005A7433">
        <w:t>stanovených zákonem</w:t>
      </w:r>
      <w:r>
        <w:t>.</w:t>
      </w:r>
    </w:p>
    <w:p w:rsidR="00CC0F90" w:rsidRDefault="00CC0F90" w:rsidP="00CC0F90">
      <w:pPr>
        <w:spacing w:before="240"/>
      </w:pPr>
      <w:r>
        <w:t xml:space="preserve">Vzhledem ke skutečnosti, že provozovatel kolektivního systému spravuje řadu informací, které mají významně citlivou povahu, je nezbytné, aby zákon stanovoval omezení, pokud jde o nakládání s nimi. Provozovatel kolektivního systému proto nesmí sdělovat </w:t>
      </w:r>
      <w:r w:rsidRPr="00D01EA2">
        <w:t>třetím osobám</w:t>
      </w:r>
      <w:r>
        <w:t xml:space="preserve"> </w:t>
      </w:r>
      <w:r w:rsidRPr="00D01EA2">
        <w:t xml:space="preserve">informace o množství vybraných výrobků uvedených na trh jednotlivými výrobci, s nimiž </w:t>
      </w:r>
      <w:r w:rsidRPr="00D01EA2">
        <w:lastRenderedPageBreak/>
        <w:t>uzavřel smlouvu o kolektivním plnění, a informace o příspěvcích, které provozovateli kolektivního systému hradí jednotliví výrobci</w:t>
      </w:r>
      <w:r>
        <w:t xml:space="preserve">. Toto omezení se vztahuje i na sdělování informací společníků </w:t>
      </w:r>
      <w:r w:rsidRPr="00D01EA2">
        <w:t>provozovatele kolektivního systému</w:t>
      </w:r>
      <w:r>
        <w:t>, neboť ti jsou současně výrobci a informace o jiných výrobcích by jim mohly poskytnout neoprávněnou konkurenční výhodu na trhu. Naopak ustanovení se nevztahuje na poskytování informací příslušným správním úřadům, které tyto informace využívají v rámci jejich kontrolní a dozorové činnosti.</w:t>
      </w:r>
    </w:p>
    <w:p w:rsidR="00CC0F90" w:rsidRDefault="00CC0F90" w:rsidP="00CC0F90">
      <w:pPr>
        <w:spacing w:before="240"/>
      </w:pPr>
      <w:r>
        <w:t xml:space="preserve">Zákon zakazuje provozovateli kolektivního systému z důvodu ochrany hospodářské soutěže nakládat se </w:t>
      </w:r>
      <w:r w:rsidRPr="002E3D2B">
        <w:t>zpětně odebranými výrobky s ukončenou životností</w:t>
      </w:r>
      <w:r>
        <w:t>. Tento zákaz však neplatí pro samotnou realizaci zpětného odběru a nezbytnou manipulaci se zpětně odebranými výrobky před jejich předáním zpracovatelům.</w:t>
      </w:r>
    </w:p>
    <w:p w:rsidR="00CC0F90" w:rsidRDefault="00CC0F90" w:rsidP="00CC0F90">
      <w:pPr>
        <w:spacing w:before="240"/>
      </w:pPr>
      <w:r>
        <w:t xml:space="preserve">Ustanovení § 42 odst. 4 má za cíl minimalizovat riziko vyvádění finančních prostředků z kolektivního systému směrem k samotným výrobcům – společníkům nebo jiným osobám majícím „zvláštní vztah“ k provozovateli kolektivního systému, které vymezuje § 44. Jde o členy </w:t>
      </w:r>
      <w:r w:rsidRPr="008B4E52">
        <w:t>statutární</w:t>
      </w:r>
      <w:r>
        <w:t>c</w:t>
      </w:r>
      <w:r w:rsidRPr="008B4E52">
        <w:t>h orgán</w:t>
      </w:r>
      <w:r>
        <w:t xml:space="preserve">ů provozovatele kolektivního systému a jeho společníků, členy </w:t>
      </w:r>
      <w:r w:rsidRPr="002E3D2B">
        <w:t>dozorčí rady nebo správní rady</w:t>
      </w:r>
      <w:r>
        <w:t xml:space="preserve"> provozovatele kolektivního systému,</w:t>
      </w:r>
      <w:r w:rsidRPr="002E3D2B">
        <w:t xml:space="preserve"> vedoucí pracovn</w:t>
      </w:r>
      <w:r>
        <w:t>íky v </w:t>
      </w:r>
      <w:r w:rsidRPr="002E3D2B">
        <w:t>přímé řídící působnosti statutárního orgánu</w:t>
      </w:r>
      <w:r>
        <w:t xml:space="preserve">, osoby blízké ve smyslu občanského zákoníku uvedeným osobám, dále osoby určitým způsobem majetkově propojené s těmito osobami a v neposlední řadě o společníky a </w:t>
      </w:r>
      <w:r w:rsidRPr="002E3D2B">
        <w:t>jimi ovládané právnické osoby</w:t>
      </w:r>
      <w:r>
        <w:t xml:space="preserve">. U těchto osob lze vzhledem k jejich vazbě na provozovatele kolektivního systému nebo jeho společníky předpokládat zvýšené riziko, že by jejich prostřednictvím mohlo docházet k nezákonnému vyvádění finančních prostředků z kolektivního systému. </w:t>
      </w:r>
      <w:r w:rsidRPr="002E3D2B">
        <w:t>Provozovatel kolektivního systému nesmí uzavřít s</w:t>
      </w:r>
      <w:r>
        <w:t xml:space="preserve"> takovou </w:t>
      </w:r>
      <w:r w:rsidRPr="002E3D2B">
        <w:t xml:space="preserve">osobou </w:t>
      </w:r>
      <w:r w:rsidRPr="00955453">
        <w:t>smlouvu, která by vzhledem ke své povaze, účelu nebo riziku nebyla uzavřena při vynaložení péče řádného hospodáře s jinou osobou, nesmí zajišťovat dluhy této osoby ani na ni bezúplatně převádět majetek.</w:t>
      </w:r>
      <w:r>
        <w:t xml:space="preserve"> Následkem porušení stanoveného zákazu je neplatnost smlouvy, ledaže </w:t>
      </w:r>
      <w:r w:rsidRPr="00955453">
        <w:t>druhá strana jednala v dobré víře.</w:t>
      </w:r>
      <w:r>
        <w:t xml:space="preserve"> </w:t>
      </w:r>
      <w:r w:rsidRPr="00B22908">
        <w:t xml:space="preserve">Cílem </w:t>
      </w:r>
      <w:r>
        <w:t xml:space="preserve">tohoto omezení </w:t>
      </w:r>
      <w:r w:rsidRPr="00B22908">
        <w:t xml:space="preserve">je zabránit tzv. </w:t>
      </w:r>
      <w:r w:rsidRPr="00931B1A">
        <w:rPr>
          <w:i/>
        </w:rPr>
        <w:t>insider tradingu</w:t>
      </w:r>
      <w:r w:rsidRPr="00B22908">
        <w:t xml:space="preserve"> a obecně tomu, aby příspěvky výrobců byly zneužívány k jinému účelu,</w:t>
      </w:r>
      <w:r>
        <w:t xml:space="preserve"> než ke kterému byly vybrány</w:t>
      </w:r>
      <w:r w:rsidRPr="00B22908">
        <w:t>.</w:t>
      </w:r>
    </w:p>
    <w:p w:rsidR="00CC0F90" w:rsidRDefault="00CC0F90" w:rsidP="00CC0F90">
      <w:pPr>
        <w:spacing w:before="240"/>
      </w:pPr>
      <w:r>
        <w:t>Ustanovení § 42 odst. 5 navazuje na podmínku stanovenou v § 36 odst. 2 písm. k), přičemž má zabraňovat, aby se na řízení kolektivního systému podíleli výhradně bagatelní nebo účeloví výrobci. Na rozdíl od uvedené podmínky, jejíž splnění se zkoumá pouze před vydáním oprávnění k provozování kolektivního systému, omezení podle § 42 odst. 5 platí následně v průběhu činnosti provozovatele kolektivního systému.</w:t>
      </w:r>
    </w:p>
    <w:p w:rsidR="00CC0F90" w:rsidRDefault="00CC0F90" w:rsidP="00CC0F90">
      <w:pPr>
        <w:spacing w:before="240"/>
      </w:pPr>
      <w:r>
        <w:t>Kolektivní systém by měl být výrobci založen a provozován za tím účelem, aby pro ně zajišťoval společné plnění povinností stanových tímto zákonem. Pro společníka by provozování kolektivního systému mělo být výlučně prostředkem k plnění těchto povinností, nikoliv nástrojem k naplňování jiných cílů, například dosahování zisku za poskytování služeb. To i přesto, že kolektivní systém musí být otevřen i výrobcům, kteří nemají majetkovou účast na jeho provozovateli. Proto zákon stanoví, že společník provozovatele kolektivního systému musí své povinnosti stanovené tímto zákonem plnit prostřednictvím tohoto provozovatele, resp. musí s ním za tím účelem uzavřít smlouvu o kolektivním plnění.</w:t>
      </w:r>
    </w:p>
    <w:p w:rsidR="00CC0F90" w:rsidRDefault="00CC0F90" w:rsidP="00CC0F90">
      <w:pPr>
        <w:spacing w:before="240"/>
      </w:pPr>
      <w:r>
        <w:lastRenderedPageBreak/>
        <w:t xml:space="preserve">Obdobně jako u provozovatele kolektivního systému stanoví zákon i v případě jeho společníků omezení mající za cíl minimalizovat riziko vyvádění finančních prostředků výrobců mimo kolektivní systém. Konkrétně je zakázáno, aby společník provozovatele kolektivního systému nebo některá z osob podle § 44, která má ke společníkovi zvláštní vztah, získávali výhody na úkor </w:t>
      </w:r>
      <w:r w:rsidRPr="002E3D2B">
        <w:t>ostatních účastníků kolektivního systému</w:t>
      </w:r>
      <w:r>
        <w:t xml:space="preserve"> (tj. jiných společníků nebo výrobců).</w:t>
      </w:r>
    </w:p>
    <w:p w:rsidR="00CC0F90" w:rsidRPr="00AC392D" w:rsidRDefault="00CC0F90" w:rsidP="00CC0F90">
      <w:pPr>
        <w:spacing w:before="240"/>
        <w:rPr>
          <w:b/>
        </w:rPr>
      </w:pPr>
      <w:r w:rsidRPr="00AC392D">
        <w:rPr>
          <w:b/>
        </w:rPr>
        <w:t>K § 45</w:t>
      </w:r>
    </w:p>
    <w:p w:rsidR="00CC0F90" w:rsidRPr="00AE5E61" w:rsidRDefault="00CC0F90" w:rsidP="00CC0F90">
      <w:pPr>
        <w:spacing w:before="240"/>
      </w:pPr>
      <w:r>
        <w:t xml:space="preserve">Provozovatel kolektivního systému nepřebírá pouze smluvní odpovědnost za plnění povinností výrobců, s nimiž uzavřel smlouvu o kolektivním plnění. Zákon v § 45 odst. 1 výslovně stanoví provozovateli kolektivního systému povinnost </w:t>
      </w:r>
      <w:r w:rsidRPr="00B12569">
        <w:t xml:space="preserve">zajišťovat kolektivní plnění povinností výrobců, </w:t>
      </w:r>
      <w:r>
        <w:t>jestliže s nimi</w:t>
      </w:r>
      <w:r w:rsidRPr="00B12569">
        <w:t xml:space="preserve"> uzavřel smlouvu o kolektivním plnění, </w:t>
      </w:r>
      <w:r>
        <w:t xml:space="preserve">a to </w:t>
      </w:r>
      <w:r w:rsidRPr="00B12569">
        <w:t>v souladu s podmínkami stanovenými tímto zákonem a v rozhodnutí o vydání oprávnění k provozování kolektivního systému</w:t>
      </w:r>
      <w:r>
        <w:t xml:space="preserve">. Na základě tohoto ustanovení tedy provozovatel kolektivního systému odpovídá v rovině veřejnoprávní za řádné plnění povinností výrobců. O jaké povinnosti jde, vyplývá z § 30 – </w:t>
      </w:r>
      <w:r w:rsidRPr="00AE5E61">
        <w:t xml:space="preserve">povinnosti stanovené </w:t>
      </w:r>
      <w:r>
        <w:t>p</w:t>
      </w:r>
      <w:r w:rsidRPr="00AE5E61">
        <w:t>ro zpětný odběr, zpracování, využití a odstranění výrobků s ukončenou životností, informování konečného uživatele o zpětném odběru a další povinnosti s tím související</w:t>
      </w:r>
      <w:r>
        <w:t>. Přestože jde o povinnosti stanovené primárně výrobci, jejich neplnění provozovatelem kolektivního systému může být skrze § 45 odst. 1 postihováno jako přestupek podle § 129 odst. 4 písm. a).</w:t>
      </w:r>
    </w:p>
    <w:p w:rsidR="00CC0F90" w:rsidRDefault="00CC0F90" w:rsidP="00CC0F90">
      <w:pPr>
        <w:spacing w:before="240"/>
      </w:pPr>
      <w:r>
        <w:t xml:space="preserve"> Provozovateli kolektivního systému ukládá zákon povinnost uzavřít smlouvu o kolektivním plnění s každým výrobcem, který </w:t>
      </w:r>
      <w:r w:rsidRPr="00A47CED">
        <w:t>o uzavření smlouvy projeví zájem a nemá vůči provozovateli kolektivnímu systému nesplněné splatné dluhy</w:t>
      </w:r>
      <w:r>
        <w:t xml:space="preserve">, a to pro všechny </w:t>
      </w:r>
      <w:r w:rsidRPr="00A47CED">
        <w:t>vybrané výrobky uváděné výrobcem na trh</w:t>
      </w:r>
      <w:r>
        <w:t>. Předpokladem samozřejmě je, že provozovatel kolektivního systému je oprávněn kolektivní plnění povinností k takovým výrobkům zajišťovat. Je třeba uvést, že jde o povinnost provozovatele kolektivního systému, takže není vyloučeno, aby smlouva o kolektivním plnění byla uzavřena jen pro část vybraných výrobků uváděných výrobcem na trh, jestliže výrobce nemá zájem uzavřít smlouvu pro všechny výrobky (plnění povinností ve vztahu k ostatním vybraným výrobkům si zajistí jinak). Zákon rovněž</w:t>
      </w:r>
      <w:r w:rsidRPr="00E71195">
        <w:rPr>
          <w:szCs w:val="20"/>
          <w:lang w:eastAsia="cs-CZ" w:bidi="ar-SA"/>
        </w:rPr>
        <w:t xml:space="preserve"> </w:t>
      </w:r>
      <w:r w:rsidRPr="00E71195">
        <w:t xml:space="preserve">zakazuje </w:t>
      </w:r>
      <w:r>
        <w:t xml:space="preserve">provozovateli kolektivního systému </w:t>
      </w:r>
      <w:r w:rsidRPr="00E71195">
        <w:t>diskrimin</w:t>
      </w:r>
      <w:r>
        <w:t>ovat</w:t>
      </w:r>
      <w:r w:rsidRPr="00E71195">
        <w:t xml:space="preserve"> </w:t>
      </w:r>
      <w:r>
        <w:t xml:space="preserve">výrobce tím, že jim </w:t>
      </w:r>
      <w:r w:rsidRPr="00E71195">
        <w:t>stanoví nejednotn</w:t>
      </w:r>
      <w:r>
        <w:t>é</w:t>
      </w:r>
      <w:r w:rsidRPr="00E71195">
        <w:t xml:space="preserve"> smluvní podmínk</w:t>
      </w:r>
      <w:r>
        <w:t>y</w:t>
      </w:r>
      <w:r w:rsidRPr="00E71195">
        <w:t>.</w:t>
      </w:r>
      <w:r>
        <w:t xml:space="preserve"> To platí i pro případy zvýhodnění či znevýhodnění výrobce v závislosti na </w:t>
      </w:r>
      <w:r w:rsidRPr="003032B5">
        <w:t>typu nebo znač</w:t>
      </w:r>
      <w:r>
        <w:t>ce</w:t>
      </w:r>
      <w:r w:rsidRPr="003032B5">
        <w:t xml:space="preserve"> vybraných výrobků</w:t>
      </w:r>
      <w:r>
        <w:t>, které uvádí na trh.</w:t>
      </w:r>
    </w:p>
    <w:p w:rsidR="00CC0F90" w:rsidRDefault="00CC0F90" w:rsidP="00CC0F90">
      <w:pPr>
        <w:spacing w:before="240"/>
      </w:pPr>
      <w:r>
        <w:t xml:space="preserve">Jestliže provozovatel kolektivního systému hodlá podstatným způsobem změnit systém zajišťování kolektivního plnění povinností výrobců, měl by postupovat podle § 39 odst. 1 písm. a) a požádat ministerstvo o změnu oprávnění k provozování kolektivního systému na základě pozměněného projektu zajišťování kolektivního plnění. K takovému postupu však není důvod, jestliže provozovatel kolektivního systému pouze mění podmínky smluv uzavíraných s výrobci a jinými partnery (smlouvy o kolektivním plnění, smlouvy </w:t>
      </w:r>
      <w:r w:rsidRPr="008213EF">
        <w:t>o zřízení místa zpětného odběru</w:t>
      </w:r>
      <w:r>
        <w:t xml:space="preserve">, smlouvy s obcemi a zpracovateli atd.). Zákon tedy ukládá provozovateli kolektivního systému pouze povinnost </w:t>
      </w:r>
      <w:r w:rsidRPr="008B44FD">
        <w:t xml:space="preserve">zaslat nový vzor </w:t>
      </w:r>
      <w:r>
        <w:t xml:space="preserve">takové </w:t>
      </w:r>
      <w:r w:rsidRPr="008B44FD">
        <w:t>smlouvy</w:t>
      </w:r>
      <w:r w:rsidRPr="00A83905">
        <w:t xml:space="preserve"> </w:t>
      </w:r>
      <w:r w:rsidRPr="008B44FD">
        <w:t>ministerstvu</w:t>
      </w:r>
      <w:r>
        <w:t xml:space="preserve"> </w:t>
      </w:r>
      <w:r w:rsidRPr="008B44FD">
        <w:t xml:space="preserve">před tím, než </w:t>
      </w:r>
      <w:r>
        <w:t>ho</w:t>
      </w:r>
      <w:r w:rsidRPr="008B44FD">
        <w:t xml:space="preserve"> poprvé použije</w:t>
      </w:r>
      <w:r>
        <w:t xml:space="preserve">. V zájmu transparentnosti fungování </w:t>
      </w:r>
      <w:r>
        <w:lastRenderedPageBreak/>
        <w:t xml:space="preserve">kolektivních systémů zároveň v případě smlouvy o </w:t>
      </w:r>
      <w:r w:rsidRPr="008B44FD">
        <w:t>kolektivním plnění</w:t>
      </w:r>
      <w:r>
        <w:t xml:space="preserve"> stanoví</w:t>
      </w:r>
      <w:r w:rsidRPr="000300DD">
        <w:t xml:space="preserve"> </w:t>
      </w:r>
      <w:r>
        <w:t>provozovateli kolektivního systému povinnost vzor smlouvy zveřejnit na jeho internetových stránkách.</w:t>
      </w:r>
    </w:p>
    <w:p w:rsidR="00CC0F90" w:rsidRDefault="00CC0F90" w:rsidP="00CC0F90">
      <w:pPr>
        <w:spacing w:before="240"/>
      </w:pPr>
      <w:r>
        <w:t xml:space="preserve">Ministerstvo by mělo průběžně dohlížet na to, zda provozovatel kolektivního systému a jeho společníci stále splňují podmínky pro vydání oprávnění k provozování kolektivního systému, zejména zda společníky jsou pouze výrobci daného druhu vybraných výrobků a zda </w:t>
      </w:r>
      <w:r w:rsidRPr="008518EB">
        <w:t>podíl žádného</w:t>
      </w:r>
      <w:r>
        <w:t xml:space="preserve"> ze</w:t>
      </w:r>
      <w:r w:rsidRPr="008518EB">
        <w:t xml:space="preserve"> společník</w:t>
      </w:r>
      <w:r>
        <w:t>ů</w:t>
      </w:r>
      <w:r w:rsidRPr="008518EB">
        <w:t xml:space="preserve"> nebo společníků jednajících ve shodě na základním kapitálu </w:t>
      </w:r>
      <w:r>
        <w:t>nebo</w:t>
      </w:r>
      <w:r w:rsidRPr="008518EB">
        <w:t xml:space="preserve"> na hlasovacích právech </w:t>
      </w:r>
      <w:r>
        <w:t>provozovatele kolektivního systému</w:t>
      </w:r>
      <w:r w:rsidRPr="008518EB">
        <w:t xml:space="preserve"> nepřesahuje 33 %</w:t>
      </w:r>
      <w:r>
        <w:t xml:space="preserve">. Za tím účelem stanoví zákon provozovateli kolektivního systému povinnost předložit ministerstvu dokumenty, kterými splnění těchto podmínek doloží, a to </w:t>
      </w:r>
      <w:r w:rsidRPr="00A47CED">
        <w:t xml:space="preserve">před konáním </w:t>
      </w:r>
      <w:r>
        <w:t xml:space="preserve">každé </w:t>
      </w:r>
      <w:r w:rsidRPr="00A47CED">
        <w:t>valné hromady</w:t>
      </w:r>
      <w:r>
        <w:t xml:space="preserve"> jakožto nejvyššího orgánu společnosti, v němž společníci vykonávají své právo podílet se na jejím řízení. Jde o </w:t>
      </w:r>
      <w:r w:rsidRPr="00A47CED">
        <w:t>opis seznamu společníků s uvedením jejich</w:t>
      </w:r>
      <w:r>
        <w:t xml:space="preserve"> podílu na základním kapitálu a </w:t>
      </w:r>
      <w:r w:rsidRPr="00A47CED">
        <w:t>na hlasovacích právech</w:t>
      </w:r>
      <w:r>
        <w:t xml:space="preserve"> v případě společnosti s ručením omezeným a </w:t>
      </w:r>
      <w:r w:rsidRPr="00A47CED">
        <w:t>výpis z evidence emise zaknihovaných cenných papírů nebo výpis z evidence imobilizovaných cenných papírů</w:t>
      </w:r>
      <w:r>
        <w:t xml:space="preserve"> v případě akciové společnosti. Je-li </w:t>
      </w:r>
      <w:r w:rsidRPr="00A47CED">
        <w:t>provozovatel kolektivního systému</w:t>
      </w:r>
      <w:r>
        <w:t xml:space="preserve"> </w:t>
      </w:r>
      <w:r w:rsidRPr="00A47CED">
        <w:t>právnickou osobou obdobné právní formy založenou podle práva jiného členského státu</w:t>
      </w:r>
      <w:r>
        <w:t xml:space="preserve">, předkládá kromě příslušného z uvedených dokumentů také </w:t>
      </w:r>
      <w:r w:rsidRPr="00A47CED">
        <w:t>výpis z veřejného rejstříku členského státu, v němž je zapsán</w:t>
      </w:r>
      <w:r>
        <w:t xml:space="preserve">, pokud není </w:t>
      </w:r>
      <w:r w:rsidRPr="00A47CED">
        <w:t>zapsán v</w:t>
      </w:r>
      <w:r>
        <w:t xml:space="preserve"> českém </w:t>
      </w:r>
      <w:r w:rsidRPr="00A47CED">
        <w:t>obchodním rejstříku</w:t>
      </w:r>
      <w:r>
        <w:t>. Důležitým nástrojem kontroly je rovněž zápis z </w:t>
      </w:r>
      <w:r w:rsidRPr="00A47CED">
        <w:t xml:space="preserve">jednání </w:t>
      </w:r>
      <w:r>
        <w:t>valné hromady, který je p</w:t>
      </w:r>
      <w:r w:rsidRPr="00A47CED">
        <w:t>rovozovatel kolektivního systému povinen zaslat ministerstvu do 30 dnů ode dne jejího ukončení</w:t>
      </w:r>
      <w:r>
        <w:t>.</w:t>
      </w:r>
    </w:p>
    <w:p w:rsidR="00CC0F90" w:rsidRPr="00484A9A" w:rsidRDefault="00CC0F90" w:rsidP="00CC0F90">
      <w:pPr>
        <w:spacing w:before="240"/>
        <w:rPr>
          <w:b/>
        </w:rPr>
      </w:pPr>
      <w:r w:rsidRPr="00484A9A">
        <w:rPr>
          <w:b/>
        </w:rPr>
        <w:t>K § 46</w:t>
      </w:r>
    </w:p>
    <w:p w:rsidR="00CC0F90" w:rsidRDefault="00CC0F90" w:rsidP="00CC0F90">
      <w:pPr>
        <w:spacing w:before="240"/>
      </w:pPr>
      <w:r>
        <w:t xml:space="preserve">Zákon stanoví některé zvláštní povinnosti výrobcům, kteří plní své povinnosti uvedené v § 30 v kolektivním systému. Povinnost </w:t>
      </w:r>
      <w:r w:rsidRPr="00B04937">
        <w:t xml:space="preserve">vykazovat provozovateli </w:t>
      </w:r>
      <w:r>
        <w:t>kolektivního systému pravdivé a </w:t>
      </w:r>
      <w:r w:rsidRPr="00B04937">
        <w:t>úplné údaje o množství vybraných výrobků, které uvedl na trh,</w:t>
      </w:r>
      <w:r>
        <w:t xml:space="preserve"> by zpravidla měl provozovatel</w:t>
      </w:r>
      <w:r w:rsidRPr="00B04937">
        <w:t xml:space="preserve"> kolektivního systému</w:t>
      </w:r>
      <w:r>
        <w:t xml:space="preserve"> zahrnout do smlouvy o kolektivním plnění. Tuto povinnost je ovšem třeba upravit zvlášť v zákoně s ohledem na povinnost provozovatele </w:t>
      </w:r>
      <w:r w:rsidRPr="00B04937">
        <w:t>kolektivního systému</w:t>
      </w:r>
      <w:r>
        <w:t xml:space="preserve"> auditovat výrobce, pokud jde o vykázané množství vybraných výrobků uvedených na trh (§ 58 odst. 2 písm. a)). Ze stejného důvodu je zákonem stanovena povinnost výrobce provedení těchto auditů strpět. Zákon naopak nestanoví výslovně povinnost výrobce platit provozovateli kolektivního systému příspěvky na zajištění zpětného odběru a nakládání s výrobky s ukončenou životností, přestože placení těchto příspěvků se v zákoně předpokládá. Vzhledem k tomu, že tyto příspěvky by neměly být chápány jako poplatek či platba podobná dani, je stanovení povinnosti k jejich placení ponecháno smluvní úpravě vztahů mezi provozovatelem kolektivního systému a výrobcem s tím, že zákon upravuje pouze základní kritéria, podle kterých provozovatel kolektivního systému příspěvek stanoví (§ 47 odst. 1).</w:t>
      </w:r>
    </w:p>
    <w:p w:rsidR="00CC0F90" w:rsidRDefault="00CC0F90" w:rsidP="00CC0F90">
      <w:pPr>
        <w:spacing w:before="240"/>
      </w:pPr>
      <w:r>
        <w:t xml:space="preserve">Za účelem zamezení spekulativního uzavírání smluv o kolektivním plnění je výrobci zakázáno plnit povinnosti prostřednictvím více provozovatelů kolektivních systémů, pokud jde o </w:t>
      </w:r>
      <w:r w:rsidRPr="006E4AB5">
        <w:t>elektrozařízení náležející do jedné skupiny</w:t>
      </w:r>
      <w:r>
        <w:t xml:space="preserve">, </w:t>
      </w:r>
      <w:r w:rsidRPr="00833684">
        <w:t>baterie nebo akumulátory náležející do jedné skupiny</w:t>
      </w:r>
      <w:r>
        <w:t xml:space="preserve"> nebo pneumatiky. Výrobce tak může plnit své povinnosti např. k elektrozařízení jedné skupiny nebo ke všem pneumatikám pouze v jednom kolektivním systému. Výjimka je stanovena pouze v případě solárních panelů, a to vzhledem k jejich specifické povaze.</w:t>
      </w:r>
    </w:p>
    <w:p w:rsidR="00CC0F90" w:rsidRPr="006C534E" w:rsidRDefault="00CC0F90" w:rsidP="00CC0F90">
      <w:pPr>
        <w:spacing w:before="240"/>
      </w:pPr>
      <w:r w:rsidRPr="006C534E">
        <w:lastRenderedPageBreak/>
        <w:t xml:space="preserve">Důvodem </w:t>
      </w:r>
      <w:r>
        <w:t>uvedeného</w:t>
      </w:r>
      <w:r w:rsidRPr="006C534E">
        <w:t xml:space="preserve"> omezení je skutečnost, že např. pneumatiky nebo elektrozařízení náležející do jedné skupiny netvoří materiálově homogenní skupinu. Jednotlivé typy výroků se mohou velmi významně lišit z hlediska jejich konstrukce, </w:t>
      </w:r>
      <w:r>
        <w:t>a tím se mohou významně lišit i </w:t>
      </w:r>
      <w:r w:rsidRPr="006C534E">
        <w:t xml:space="preserve">náklady na provedení jejich zpětného odběru </w:t>
      </w:r>
      <w:r>
        <w:t>a</w:t>
      </w:r>
      <w:r w:rsidRPr="006C534E">
        <w:t xml:space="preserve"> zpracování (recyklace). Bez zavedení </w:t>
      </w:r>
      <w:r>
        <w:t>navrhovaného</w:t>
      </w:r>
      <w:r w:rsidRPr="006C534E">
        <w:t xml:space="preserve"> omezení by mohlo docházet k situacím, kdy by někteří výrobci plnili své zákonné povinnosti k urči</w:t>
      </w:r>
      <w:r>
        <w:t>tému typu vybraných výrobků</w:t>
      </w:r>
      <w:r w:rsidRPr="006C534E">
        <w:t xml:space="preserve"> </w:t>
      </w:r>
      <w:r>
        <w:t>v</w:t>
      </w:r>
      <w:r w:rsidRPr="006C534E">
        <w:t xml:space="preserve"> kolektivní</w:t>
      </w:r>
      <w:r>
        <w:t>m</w:t>
      </w:r>
      <w:r w:rsidRPr="006C534E">
        <w:t xml:space="preserve"> systému, který by měl pro daný </w:t>
      </w:r>
      <w:r>
        <w:t xml:space="preserve">vybraný </w:t>
      </w:r>
      <w:r w:rsidRPr="006C534E">
        <w:t xml:space="preserve">výrobek sice </w:t>
      </w:r>
      <w:r>
        <w:t xml:space="preserve">stanoven </w:t>
      </w:r>
      <w:r w:rsidRPr="006C534E">
        <w:t xml:space="preserve">nejnižší </w:t>
      </w:r>
      <w:r>
        <w:t>„</w:t>
      </w:r>
      <w:r w:rsidRPr="006C534E">
        <w:t>recyklační</w:t>
      </w:r>
      <w:r>
        <w:t>“</w:t>
      </w:r>
      <w:r w:rsidRPr="006C534E">
        <w:t xml:space="preserve"> příspěv</w:t>
      </w:r>
      <w:r>
        <w:t>e</w:t>
      </w:r>
      <w:r w:rsidRPr="006C534E">
        <w:t xml:space="preserve">k, ale fakticky by </w:t>
      </w:r>
      <w:r>
        <w:t>zpětný odběr</w:t>
      </w:r>
      <w:r w:rsidRPr="006C534E">
        <w:t xml:space="preserve"> t</w:t>
      </w:r>
      <w:r>
        <w:t xml:space="preserve">akových </w:t>
      </w:r>
      <w:r w:rsidRPr="006C534E">
        <w:t>výrobk</w:t>
      </w:r>
      <w:r>
        <w:t>ů s ukončenou životností</w:t>
      </w:r>
      <w:r w:rsidRPr="006C534E">
        <w:t xml:space="preserve"> nezajišťoval, nebo by jej zajišťoval v minimální míře, zatímco faktický zpětný odběr by pak prováděli konkurenční provozovatelé kolektivních systémů na náklady jiných výrobců. Příkladem mohou být pneumatiky, které lze rozdělit na pneumatiky pro osobní vozidla a pneumatiky pro zemědělské či průmyslové stroje. Druhá skupina pneumatik je značně problematická z hledi</w:t>
      </w:r>
      <w:r>
        <w:t>ska provádění zpětného odběru a </w:t>
      </w:r>
      <w:r w:rsidRPr="006C534E">
        <w:t xml:space="preserve">též z hlediska zpracování (nutná speciální linka). Pokud by na trhu existovalo více kolektivních systémů, přičemž jeden by tento typ pneumatik nesbíral </w:t>
      </w:r>
      <w:r>
        <w:t xml:space="preserve">vůbec </w:t>
      </w:r>
      <w:r w:rsidRPr="006C534E">
        <w:t xml:space="preserve">nebo jen </w:t>
      </w:r>
      <w:r>
        <w:t>v minimální míře</w:t>
      </w:r>
      <w:r w:rsidRPr="006C534E">
        <w:t xml:space="preserve"> a </w:t>
      </w:r>
      <w:r>
        <w:t>zpětný odběr</w:t>
      </w:r>
      <w:r w:rsidRPr="006C534E">
        <w:t xml:space="preserve"> by nahrazoval </w:t>
      </w:r>
      <w:r>
        <w:t xml:space="preserve">odpadními </w:t>
      </w:r>
      <w:r w:rsidRPr="006C534E">
        <w:t>pneumatikami z osobních automobilů, dostávaly by se dané pneumatiky do sběrné sítě takového kolektivního sytému, který by měl rozvinutější síť zpětného odběru i pr</w:t>
      </w:r>
      <w:r>
        <w:t>o</w:t>
      </w:r>
      <w:r w:rsidRPr="006C534E">
        <w:t xml:space="preserve"> daný typ pneumatik, a tento by musel jejich zpětný odběr a zpracování hradit k tíži svých výrobců. Obdobně lze uvažovat i v oblasti elektrozařízení, kdy by </w:t>
      </w:r>
      <w:r>
        <w:t>například některý</w:t>
      </w:r>
      <w:r w:rsidRPr="006C534E">
        <w:t xml:space="preserve"> kolektivní systém nedostatečně sbíral světelné zdroje na bázi rtuti, jejichž zpracování je značně nákladné, a </w:t>
      </w:r>
      <w:r>
        <w:t>namísto toho</w:t>
      </w:r>
      <w:r w:rsidRPr="006C534E">
        <w:t xml:space="preserve"> by </w:t>
      </w:r>
      <w:r>
        <w:t>odebíral</w:t>
      </w:r>
      <w:r w:rsidRPr="006C534E">
        <w:t xml:space="preserve"> jin</w:t>
      </w:r>
      <w:r>
        <w:t>á</w:t>
      </w:r>
      <w:r w:rsidRPr="006C534E">
        <w:t xml:space="preserve"> </w:t>
      </w:r>
      <w:r>
        <w:t>odpadní elektrozařízení</w:t>
      </w:r>
      <w:r w:rsidRPr="006C534E">
        <w:t>. Kolektivní systém, který by pak světeln</w:t>
      </w:r>
      <w:r>
        <w:t>é zdroje na bázi rtuti sbíral a </w:t>
      </w:r>
      <w:r w:rsidRPr="006C534E">
        <w:t xml:space="preserve">předával ke zpracování, by neměl od </w:t>
      </w:r>
      <w:r>
        <w:t>příslušných</w:t>
      </w:r>
      <w:r w:rsidRPr="006C534E">
        <w:t xml:space="preserve"> výrobců na tuto činnost žádné finanční prostředky, a opět by tato činnost šla k tíži jiných výrobců. </w:t>
      </w:r>
    </w:p>
    <w:p w:rsidR="00CC0F90" w:rsidRDefault="00CC0F90" w:rsidP="00CC0F90">
      <w:pPr>
        <w:spacing w:before="240"/>
      </w:pPr>
      <w:r w:rsidRPr="006C534E">
        <w:t xml:space="preserve">Dalším důvodem je skutečnost, že kdyby dané omezení neplatilo, výrobce by mohl být zapsán pro </w:t>
      </w:r>
      <w:r>
        <w:t xml:space="preserve">vybrané </w:t>
      </w:r>
      <w:r w:rsidRPr="006C534E">
        <w:t>výrobky v rámci jedné skupiny u více kolektivních systémů, přičemž v </w:t>
      </w:r>
      <w:r>
        <w:t>jednotliv</w:t>
      </w:r>
      <w:r w:rsidRPr="006C534E">
        <w:t xml:space="preserve">ých kalendářních čtvrtletích by vždy vykázal své výrobky </w:t>
      </w:r>
      <w:r>
        <w:t xml:space="preserve">uvedené na trh </w:t>
      </w:r>
      <w:r w:rsidRPr="006C534E">
        <w:t>tomu kolektivnímu systému, který by měl aktuálně stanoven nižší příspěv</w:t>
      </w:r>
      <w:r>
        <w:t>e</w:t>
      </w:r>
      <w:r w:rsidRPr="006C534E">
        <w:t xml:space="preserve">k. Tato situace by značně zkomplikovala vnitřní kontrolní činnost samotných kolektivních systémů, resp. nově navrhovaného koordinačního centra (nemožnost použití automatických aplikací upozorňujících na významné odchylky v množství vykazovaných </w:t>
      </w:r>
      <w:r>
        <w:t xml:space="preserve">vybraných </w:t>
      </w:r>
      <w:r w:rsidRPr="006C534E">
        <w:t>výrobků ze strany výrobce mezi jednotlivými čtvrtletími), nehledě ke skutečnosti, že by významně negativně ovlivňovala samotné investiční a provozní aktivity těchto organizací, neboť příjmová stránka kolektivních systémů by byla v čase značně variabilní.</w:t>
      </w:r>
    </w:p>
    <w:p w:rsidR="00CC0F90" w:rsidRPr="001B52F8" w:rsidRDefault="00CC0F90" w:rsidP="00CC0F90">
      <w:pPr>
        <w:spacing w:before="240"/>
        <w:rPr>
          <w:b/>
        </w:rPr>
      </w:pPr>
      <w:r w:rsidRPr="001B52F8">
        <w:rPr>
          <w:b/>
        </w:rPr>
        <w:t>K § 47</w:t>
      </w:r>
    </w:p>
    <w:p w:rsidR="00CC0F90" w:rsidRDefault="00CC0F90" w:rsidP="00CC0F90">
      <w:pPr>
        <w:spacing w:before="240"/>
      </w:pPr>
      <w:r>
        <w:t>Zákon upravuje jednotná pravidla pro financování činnosti provozovatelů kolektivních systémů. V současnosti není tato problematika zákonem nijak upravena, což vede k tomu, že každý ze stávajících provozovatelů kolektivních systémů má nastaveno financování diametrálně odlišně. Jde zejména o přístup k tvorbě finančních rezerv.</w:t>
      </w:r>
    </w:p>
    <w:p w:rsidR="00CC0F90" w:rsidRDefault="00CC0F90" w:rsidP="00CC0F90">
      <w:pPr>
        <w:spacing w:before="240"/>
      </w:pPr>
      <w:r>
        <w:t xml:space="preserve">Zdrojem financování činnosti kolektivního systému jsou příspěvky výrobců, pro které provozovatel kolektivního systému zajišťuje kolektivní plnění povinností. Konkrétní výše těchto příspěvků nemůže být určena zákonem, neboť je závislá na mnoha vnějších faktorech </w:t>
      </w:r>
      <w:r>
        <w:lastRenderedPageBreak/>
        <w:t xml:space="preserve">(náklady kolektivního systému, ceny na trhu druhotných surovin atd.). Zákon však vymezuje základní kritéria, podle nichž musí provozovatel kolektivního systému příspěvek stanovit, a to typ a množství vybraných výrobků, které výrobce uvádí na trh. To souvisí se zákazem diskriminace zakotveným v § 45 odst. 2. Pro stejný typ vybraného výrobku tedy musí být provozovatelem kolektivního systému stanovena stejná sazba příspěvku a výše příspěvku pak musí být přímo úměrná množství vybraných výrobků uváděných výrobcem na trh (případně již uvedených na trh podle toho, zda provozovatel kolektivního systému stanoví splatnost příspěvku zpětně nebo předem). Konkrétní výše příspěvku splňující tato kritéria bude součástí smlouvy o kolektivním plnění mezi </w:t>
      </w:r>
      <w:r w:rsidRPr="006A1DD6">
        <w:t>provozovatel</w:t>
      </w:r>
      <w:r>
        <w:t>em</w:t>
      </w:r>
      <w:r w:rsidRPr="006A1DD6">
        <w:t xml:space="preserve"> kolektivního systému</w:t>
      </w:r>
      <w:r>
        <w:t xml:space="preserve"> a výrobcem.</w:t>
      </w:r>
    </w:p>
    <w:p w:rsidR="00CC0F90" w:rsidRDefault="00CC0F90" w:rsidP="00CC0F90">
      <w:pPr>
        <w:spacing w:before="240"/>
      </w:pPr>
      <w:r>
        <w:t>Účelem provozování kolektivního systému není dosahování zisku. Proto zákon zakazuje p</w:t>
      </w:r>
      <w:r w:rsidRPr="006A1DD6">
        <w:t>rovozovatel</w:t>
      </w:r>
      <w:r>
        <w:t>i</w:t>
      </w:r>
      <w:r w:rsidRPr="006A1DD6">
        <w:t xml:space="preserve"> kolektivního systému </w:t>
      </w:r>
      <w:r>
        <w:t>případný</w:t>
      </w:r>
      <w:r w:rsidRPr="006A1DD6">
        <w:t xml:space="preserve"> zisk ze své činnosti rozdělovat.</w:t>
      </w:r>
      <w:r>
        <w:t xml:space="preserve"> </w:t>
      </w:r>
      <w:r w:rsidRPr="006A1DD6">
        <w:t>Dosahuje-li provozovatel kolektivního systému při své činnosti zisku,</w:t>
      </w:r>
      <w:r>
        <w:t xml:space="preserve"> měl by být tento zisk použit buď k úhradě předchozí ztráty či </w:t>
      </w:r>
      <w:r w:rsidRPr="00090C26">
        <w:t>k tvorbě rezerv</w:t>
      </w:r>
      <w:r>
        <w:t xml:space="preserve">, anebo </w:t>
      </w:r>
      <w:r w:rsidRPr="00833684">
        <w:t>na provoz, rozvoj a zefektivnění kolektivního systému</w:t>
      </w:r>
      <w:r>
        <w:t xml:space="preserve">, což může znamenat například rozšíření sítě míst zpětného odběru, zvýšení kapacit pro zajištění zpětného odběru, zpracování a využití výrobků s ukončenou životností, ale i zintenzívnění osvětové a propagační činnosti, případně činnosti </w:t>
      </w:r>
      <w:r w:rsidRPr="00896C8F">
        <w:t>poradensk</w:t>
      </w:r>
      <w:r>
        <w:t>é</w:t>
      </w:r>
      <w:r w:rsidRPr="00896C8F">
        <w:t>, výzkumn</w:t>
      </w:r>
      <w:r>
        <w:t>é</w:t>
      </w:r>
      <w:r w:rsidRPr="00896C8F">
        <w:t xml:space="preserve"> a publikační</w:t>
      </w:r>
      <w:r>
        <w:t>. Hospodaří-li tedy provozovatel kolektivního systému se ziskem, měli by z toho mít užitek všichni výrobci zapojení do kolektivního systému, nikoliv pouze ti, kteří mají v jeho provozovateli majetkovou účast (společníci).</w:t>
      </w:r>
    </w:p>
    <w:p w:rsidR="00CC0F90" w:rsidRDefault="00CC0F90" w:rsidP="00CC0F90">
      <w:pPr>
        <w:spacing w:before="240"/>
      </w:pPr>
      <w:r w:rsidRPr="00CB0BAE">
        <w:t>Peněžní prostředky získané z příspěvků výrobců</w:t>
      </w:r>
      <w:r>
        <w:t xml:space="preserve"> včetně výnosů z nich je zakázáno používat k jiným účelům než k </w:t>
      </w:r>
      <w:r w:rsidRPr="00CB0BAE">
        <w:t xml:space="preserve">financování </w:t>
      </w:r>
      <w:r w:rsidRPr="007A3413">
        <w:t xml:space="preserve">zajišťování </w:t>
      </w:r>
      <w:r w:rsidRPr="00CB0BAE">
        <w:t>činností</w:t>
      </w:r>
      <w:r>
        <w:t xml:space="preserve">, které zákon provozovateli kolektivního systému dovoluje (resp. v případě některých činností ukládá) vykonávat. </w:t>
      </w:r>
      <w:r w:rsidRPr="00CB0BAE">
        <w:t xml:space="preserve">Tyto peněžní prostředky </w:t>
      </w:r>
      <w:r>
        <w:t>jsou vyloučeny z</w:t>
      </w:r>
      <w:r w:rsidRPr="00CB0BAE">
        <w:t xml:space="preserve"> majetkové podstaty provozovatele kolektivního systému</w:t>
      </w:r>
      <w:r>
        <w:t>, neboť i v případě jeho úpadku musí sloužit účelu, pro který byly vybrány, tedy k zajištění splnění povinností výrobců k vybraným výrobkům, které uvedli na trh. V opačném případě by pro tyto výrobky po ukončení jejich životnosti nebylo zajištěno financování nakládání s nimi, což by mohlo znamenat negativní dopady na životní prostředí, respektive náklady z toho plynoucí by nesla celá společnost. S p</w:t>
      </w:r>
      <w:r w:rsidRPr="00CB0BAE">
        <w:t>eněžní</w:t>
      </w:r>
      <w:r>
        <w:t>mi</w:t>
      </w:r>
      <w:r w:rsidRPr="00CB0BAE">
        <w:t xml:space="preserve"> prostředky</w:t>
      </w:r>
      <w:r>
        <w:t xml:space="preserve"> vyloučenými z</w:t>
      </w:r>
      <w:r w:rsidRPr="00CB0BAE">
        <w:t xml:space="preserve"> majetkové podstaty provozovatele kolektivního systému</w:t>
      </w:r>
      <w:r>
        <w:t xml:space="preserve"> bude naloženo v souladu s § 62 poté, co dojde ke zrušení </w:t>
      </w:r>
      <w:r w:rsidRPr="00CB0BAE">
        <w:t>provozovatele kolektivního systému</w:t>
      </w:r>
      <w:r>
        <w:t xml:space="preserve"> (§ 173 odst. 2 občanského zákoníku), což má podle § 61 odst. 1 písm. a) z</w:t>
      </w:r>
      <w:r w:rsidRPr="000831E2">
        <w:t>ánik oprávnění k provozování kolektivního systému</w:t>
      </w:r>
      <w:r>
        <w:t>.</w:t>
      </w:r>
    </w:p>
    <w:p w:rsidR="00CC0F90" w:rsidRDefault="00CC0F90" w:rsidP="00CC0F90">
      <w:pPr>
        <w:spacing w:before="240"/>
      </w:pPr>
      <w:r>
        <w:t xml:space="preserve">Zákon dále stanoví požadavek odděleného hospodaření s </w:t>
      </w:r>
      <w:r w:rsidRPr="00CB0BAE">
        <w:t xml:space="preserve">peněžními prostředky získanými z příspěvků výrobců a s výnosy z nich </w:t>
      </w:r>
      <w:r w:rsidRPr="00CB0BAE">
        <w:rPr>
          <w:bCs/>
        </w:rPr>
        <w:t>od jakýchkoliv jiných finančních prostředků</w:t>
      </w:r>
      <w:r>
        <w:rPr>
          <w:bCs/>
        </w:rPr>
        <w:t xml:space="preserve">. Při tom musí být zajištěna </w:t>
      </w:r>
      <w:r w:rsidRPr="00CB0BAE">
        <w:rPr>
          <w:bCs/>
        </w:rPr>
        <w:t>kontrolovatelnost nakládání</w:t>
      </w:r>
      <w:r>
        <w:rPr>
          <w:bCs/>
        </w:rPr>
        <w:t xml:space="preserve"> s těmito prostředky. Za tím účelem je v návaznosti na zákon o účetnictví stanoveno, jakým způsobem p</w:t>
      </w:r>
      <w:r w:rsidRPr="00CB0BAE">
        <w:t>rovozovatel kolektivního systému</w:t>
      </w:r>
      <w:r w:rsidRPr="00FB0E0C">
        <w:t xml:space="preserve"> </w:t>
      </w:r>
      <w:r w:rsidRPr="00CB0BAE">
        <w:t xml:space="preserve">člení </w:t>
      </w:r>
      <w:r>
        <w:t xml:space="preserve">odděleně </w:t>
      </w:r>
      <w:r w:rsidRPr="00CB0BAE">
        <w:t>náklady a výnosy</w:t>
      </w:r>
      <w:r>
        <w:t>, které se vážou k jednotlivým jím vykonávaným činnostem.</w:t>
      </w:r>
    </w:p>
    <w:p w:rsidR="00CC0F90" w:rsidRPr="0069525B" w:rsidRDefault="00CC0F90" w:rsidP="00BD7946">
      <w:pPr>
        <w:keepNext/>
        <w:spacing w:before="240"/>
        <w:rPr>
          <w:b/>
        </w:rPr>
      </w:pPr>
      <w:r w:rsidRPr="0069525B">
        <w:rPr>
          <w:b/>
        </w:rPr>
        <w:t>K § 48</w:t>
      </w:r>
    </w:p>
    <w:p w:rsidR="00CC0F90" w:rsidRDefault="00CC0F90" w:rsidP="00CC0F90">
      <w:pPr>
        <w:spacing w:before="240"/>
      </w:pPr>
      <w:r>
        <w:t xml:space="preserve">Ustanovení upravuje režim tzv. „refundací“, kdy ze strany výrobců je po kolektivních systémech nárokováno vrácení zaplacených příspěvků v případech, kdy vybrané výrobky </w:t>
      </w:r>
      <w:r>
        <w:lastRenderedPageBreak/>
        <w:t xml:space="preserve">původně uvedené na trh v ČR byly následně vyvezeny nebo v rámci EU dodány do jiného státu. Refundace předpokládá v případě elektrozařízení směrnice </w:t>
      </w:r>
      <w:r w:rsidRPr="00966787">
        <w:t xml:space="preserve">2012/19/EU </w:t>
      </w:r>
      <w:r>
        <w:t xml:space="preserve">v </w:t>
      </w:r>
      <w:r>
        <w:rPr>
          <w:bCs/>
        </w:rPr>
        <w:t xml:space="preserve">čl. 12 odst. 5, zákon nicméně obsahuje jednotnou úpravu i pro baterie a akumulátory a pneumatiky. </w:t>
      </w:r>
      <w:r w:rsidRPr="00966787">
        <w:rPr>
          <w:bCs/>
        </w:rPr>
        <w:t xml:space="preserve">Jelikož příspěvek zaplatil výrobce a provozovatel kolektivního systému má smluvní vztah pouze s ním, navrhuje se stanovit, že pokud osoba požadující refundaci příspěvku není výrobcem, může provozovatel kolektivního systému vyžadovat doložení souhlasu výrobce. Zároveň se stanoví časové omezení pro uplatnění nároku na refundaci příspěvku, a to do 28. února kalendářního roku následujícího po kalendářním roce, v němž byl příspěvek uhrazen. Uplatnění tohoto nároku po již uzavřeném období, za které byla podána roční zpráva, by totiž mohlo zpětně ovlivnit údaje o množství </w:t>
      </w:r>
      <w:r>
        <w:rPr>
          <w:bCs/>
        </w:rPr>
        <w:t>vybraných výrobků</w:t>
      </w:r>
      <w:r w:rsidRPr="00966787">
        <w:rPr>
          <w:bCs/>
        </w:rPr>
        <w:t xml:space="preserve"> uveden</w:t>
      </w:r>
      <w:r>
        <w:rPr>
          <w:bCs/>
        </w:rPr>
        <w:t xml:space="preserve">ých </w:t>
      </w:r>
      <w:r w:rsidRPr="00966787">
        <w:rPr>
          <w:bCs/>
        </w:rPr>
        <w:t>na tuzemský trh.</w:t>
      </w:r>
      <w:r>
        <w:rPr>
          <w:bCs/>
        </w:rPr>
        <w:t xml:space="preserve"> Za účelem eliminace </w:t>
      </w:r>
      <w:r w:rsidRPr="00633A5F">
        <w:t>rizik</w:t>
      </w:r>
      <w:r>
        <w:t>a</w:t>
      </w:r>
      <w:r w:rsidRPr="00633A5F">
        <w:t xml:space="preserve">, že </w:t>
      </w:r>
      <w:r>
        <w:t>o vrácení příspěvků</w:t>
      </w:r>
      <w:r w:rsidRPr="00633A5F">
        <w:t xml:space="preserve"> by mohl</w:t>
      </w:r>
      <w:r>
        <w:t>o</w:t>
      </w:r>
      <w:r w:rsidRPr="00633A5F">
        <w:t xml:space="preserve"> být žádán</w:t>
      </w:r>
      <w:r>
        <w:t>o</w:t>
      </w:r>
      <w:r w:rsidRPr="00633A5F">
        <w:t xml:space="preserve"> neoprávněně</w:t>
      </w:r>
      <w:r>
        <w:t xml:space="preserve">, zákon stanoví, že žadatel musí </w:t>
      </w:r>
      <w:r w:rsidRPr="00633A5F">
        <w:t>umožnit provozovateli kolektivního systému kontrolu oprávněnosti nároku.</w:t>
      </w:r>
      <w:r>
        <w:t xml:space="preserve"> </w:t>
      </w:r>
      <w:r w:rsidRPr="00633A5F">
        <w:t xml:space="preserve">V případě, že ověření prokáže nesplnění podmínek pro vrácení příspěvku, je žadatel povinen provozovateli kolektivního systému uhradit účelně </w:t>
      </w:r>
      <w:r>
        <w:t xml:space="preserve">vynaložené náklady na provedení </w:t>
      </w:r>
      <w:r w:rsidRPr="00633A5F">
        <w:t>kontroly.</w:t>
      </w:r>
    </w:p>
    <w:p w:rsidR="00CC0F90" w:rsidRDefault="00CC0F90" w:rsidP="00CC0F90">
      <w:pPr>
        <w:spacing w:before="240"/>
      </w:pPr>
      <w:r>
        <w:rPr>
          <w:b/>
        </w:rPr>
        <w:t>K § 49</w:t>
      </w:r>
    </w:p>
    <w:p w:rsidR="00CC0F90" w:rsidRPr="009F6376" w:rsidRDefault="00CC0F90" w:rsidP="00CC0F90">
      <w:pPr>
        <w:spacing w:before="240"/>
      </w:pPr>
      <w:r w:rsidRPr="009F6376">
        <w:t>Současná právní úprava prakticky nedefinuje způsob financování činnosti provozovatele kolektivního systému. Je tak umožněna paralelní existence různých systémů financování, které se obvykle rozdělují na dva základní modely označ</w:t>
      </w:r>
      <w:r>
        <w:t>ované</w:t>
      </w:r>
      <w:r w:rsidRPr="009F6376">
        <w:t xml:space="preserve"> jako „zálohové“ a „průběžné“. Tento stav považuje ministerstvo za nežádoucí, neboť pokud kolektivní systémy v rámci své činnosti nevytváří prakticky žádnou finanční rezervu (průběžné systémy financování), pak zde existuje značné riziko, že v případě výskytu fluktuací na trhu, které se odrazí ve zvýšení nákladů na zajišťování kolektivního plnění (pokles cen druhotných surovin, zvýšení cen za zpracování, zvýšení cen pohonných hmot, snížení množství</w:t>
      </w:r>
      <w:r>
        <w:t xml:space="preserve"> vybraných</w:t>
      </w:r>
      <w:r w:rsidRPr="009F6376">
        <w:t xml:space="preserve"> výrobků uváděných na trh apod.), kolektivní systém nemá vytvořeny dostatečné finanční prostředky, aby mohl nastalou situaci překlenout, a ve výsledku začne omezovat svoji činnost, což může být spojeno s poklesem míry zpětného odběru.  </w:t>
      </w:r>
    </w:p>
    <w:p w:rsidR="00CC0F90" w:rsidRPr="009F6376" w:rsidRDefault="00CC0F90" w:rsidP="00CC0F90">
      <w:pPr>
        <w:spacing w:before="240"/>
      </w:pPr>
      <w:r w:rsidRPr="009F6376">
        <w:t xml:space="preserve">Příkladem může být např. situace začínající ekonomické recese, kdy mj. dochází k poklesu cen druhotných surovin, což má za následek zvýšení nákladů ze strany kolektivního systému (vyšší náklady na zpracování). Pokud kolektivní systém </w:t>
      </w:r>
      <w:r>
        <w:t>ne</w:t>
      </w:r>
      <w:r w:rsidRPr="009F6376">
        <w:t>má vytvořen</w:t>
      </w:r>
      <w:r>
        <w:t>o</w:t>
      </w:r>
      <w:r w:rsidRPr="009F6376">
        <w:t>u finanční rezervu</w:t>
      </w:r>
      <w:r>
        <w:t xml:space="preserve"> nebo ji má</w:t>
      </w:r>
      <w:r w:rsidRPr="009F6376">
        <w:t xml:space="preserve"> jen minimální, je nucen (za předpokladu, že má v úmyslu dále řádně </w:t>
      </w:r>
      <w:r>
        <w:t>fungovat</w:t>
      </w:r>
      <w:r w:rsidRPr="009F6376">
        <w:t xml:space="preserve">) skokově zvýšit příspěvky stávajícím výrobcům, kteří do </w:t>
      </w:r>
      <w:r>
        <w:t>tohoto</w:t>
      </w:r>
      <w:r w:rsidRPr="009F6376">
        <w:t xml:space="preserve"> systému finančně přispívají. V době počátku ekonomické recese však obvykle zároveň klesají množství výrobků uváděných na trh, což obvykle zároveň vyvolá potřebu zvýšit příspěvky významněji než např. v případě pouhého poklesu cen druhotných surovin bez návaznosti na pokles množství prodávaných výrobků. V době počínající ekonomické recese je však jakékoliv zvyšování příspěvků vůči výrobcům ze strany kolektivních systémů krajně citlivé téma, a to platí o to více, pokud na trhu existuje více kolektivních systémů, které zajišťují kolektivní plnění v identické oblasti. Výsledkem takovéto situace je pak stav, že kolektivní systémy namísto zvyšování příspěvků výrobcům zavádějí různá „úsporná opatření“ (např. v oblasti osvěty, komunikace, vnitřní kontrolní činnosti, hustoty sběrné sítě), která však ve výsledku jdou proti </w:t>
      </w:r>
      <w:r w:rsidRPr="009F6376">
        <w:lastRenderedPageBreak/>
        <w:t xml:space="preserve">samotnému cíli zákona, </w:t>
      </w:r>
      <w:r>
        <w:t>jímž</w:t>
      </w:r>
      <w:r w:rsidRPr="009F6376">
        <w:t xml:space="preserve"> je zvyšování množství zpětně odebraných výrobků s ukončenou životností. Je zde i riziko snížení relevance vykazovaných dat, což se přímo dotýká povinností vyplývajících pro ČR v návaznosti na příslušné směrnice</w:t>
      </w:r>
      <w:r>
        <w:t xml:space="preserve"> EU</w:t>
      </w:r>
      <w:r w:rsidRPr="009F6376">
        <w:t xml:space="preserve">.    </w:t>
      </w:r>
    </w:p>
    <w:p w:rsidR="00CC0F90" w:rsidRPr="009F6376" w:rsidRDefault="00CC0F90" w:rsidP="00CC0F90">
      <w:pPr>
        <w:spacing w:before="240"/>
      </w:pPr>
      <w:r w:rsidRPr="009F6376">
        <w:t>Ministerstvo životního prostředí se snaží výše uvedeným situacím předcházet, a z toho důvodu navrhuje model, který nese prvky zálohového financování, a</w:t>
      </w:r>
      <w:r>
        <w:t>však současně</w:t>
      </w:r>
      <w:r w:rsidRPr="009F6376">
        <w:t xml:space="preserve"> </w:t>
      </w:r>
      <w:r>
        <w:t>předpokládá zavedení</w:t>
      </w:r>
      <w:r w:rsidRPr="009F6376">
        <w:t xml:space="preserve"> povinnosti </w:t>
      </w:r>
      <w:r>
        <w:t xml:space="preserve">provozovatelů </w:t>
      </w:r>
      <w:r w:rsidRPr="009F6376">
        <w:t xml:space="preserve">kolektivních systémů vytvářet </w:t>
      </w:r>
      <w:r>
        <w:t xml:space="preserve">finanční </w:t>
      </w:r>
      <w:r w:rsidRPr="009F6376">
        <w:t>rezerv</w:t>
      </w:r>
      <w:r>
        <w:t>u</w:t>
      </w:r>
      <w:r w:rsidRPr="009F6376">
        <w:t xml:space="preserve"> v minimální výši stanovené zákonem.</w:t>
      </w:r>
      <w:r>
        <w:t xml:space="preserve"> </w:t>
      </w:r>
      <w:r w:rsidRPr="009F6376">
        <w:t xml:space="preserve">Uvedená minimální výše rezervy je pak stanovena jako polovina ročních nákladů provozovatele kolektivního systému v návaznosti na schválenou účetní závěrku za předcházející účetní období. Provozovatel kolektivního systému finanční rezervu vytváří postupně tak, aby nejpozději po uplynutí 4 let od udělení oprávnění k provozování kolektivního systému byla rezerva vytvořena v požadované výši. </w:t>
      </w:r>
      <w:r>
        <w:t xml:space="preserve">Navrhovaným zákonem bude tolerováno snížení finanční rezervy pod stanovenou minimální hranici v jednom účetním období, jestliže v následujícím již bude tato hranice dosažena. </w:t>
      </w:r>
      <w:r w:rsidRPr="009F6376">
        <w:t>Tvorba finanční rezervy se zahrnuje do nákladů provozovatele kolektivního systému a její tvorba je výdajem vynaloženým na dosažení, zajištění a udržení příjmů ve smyslu zákona č. 586/1992 Sb., o daních z</w:t>
      </w:r>
      <w:r>
        <w:t> </w:t>
      </w:r>
      <w:r w:rsidRPr="009F6376">
        <w:t>příjmů</w:t>
      </w:r>
      <w:r>
        <w:t>,</w:t>
      </w:r>
      <w:r w:rsidRPr="00BA2925">
        <w:t xml:space="preserve"> </w:t>
      </w:r>
      <w:r w:rsidRPr="00135842">
        <w:t>ve znění pozdějších předpisů.</w:t>
      </w:r>
      <w:r w:rsidRPr="009F6376">
        <w:t xml:space="preserve"> </w:t>
      </w:r>
    </w:p>
    <w:p w:rsidR="00CC0F90" w:rsidRPr="009F6376" w:rsidRDefault="00CC0F90" w:rsidP="00CC0F90">
      <w:pPr>
        <w:spacing w:before="240"/>
      </w:pPr>
      <w:r w:rsidRPr="009F6376">
        <w:t xml:space="preserve">Peněžní prostředky tvořící finanční rezervu mohou být použity pouze za účelem zajištění kolektivního plnění povinností výrobců, s nimiž provozovatel kolektivního systému uzavřel smlouvu o kolektivním plnění. Vytvořená finanční rezerva </w:t>
      </w:r>
      <w:r>
        <w:t>nemůže být předmětem nařízení a </w:t>
      </w:r>
      <w:r w:rsidRPr="009F6376">
        <w:t>provedení výkonu rozhodnutí nebo exekuce, ani zahrnuta do majetkové podstaty provozovatele kolektivního systému.</w:t>
      </w:r>
      <w:r>
        <w:t xml:space="preserve"> </w:t>
      </w:r>
      <w:r w:rsidRPr="009F6376">
        <w:t>Provozovatel kolektivního systému je povinen informovat bez zbytečného odkladu ministerstvo o čerpání prostředků finanční rezervy. Údaje o stavu a čerpání rezervy jsou pak součástí roční zprávy, kterou provozovatel kolektivního systému každoročně zasílá ministerstv</w:t>
      </w:r>
      <w:r>
        <w:t>u</w:t>
      </w:r>
      <w:r w:rsidRPr="009F6376">
        <w:t>.</w:t>
      </w:r>
    </w:p>
    <w:p w:rsidR="00CC0F90" w:rsidRPr="002103FB" w:rsidRDefault="00CC0F90" w:rsidP="00CC0F90">
      <w:pPr>
        <w:spacing w:before="240"/>
        <w:rPr>
          <w:b/>
        </w:rPr>
      </w:pPr>
      <w:r w:rsidRPr="002103FB">
        <w:rPr>
          <w:b/>
        </w:rPr>
        <w:t>K § 50</w:t>
      </w:r>
    </w:p>
    <w:p w:rsidR="00CC0F90" w:rsidRDefault="00CC0F90" w:rsidP="00CC0F90">
      <w:pPr>
        <w:spacing w:before="240"/>
      </w:pPr>
      <w:r w:rsidRPr="002103FB">
        <w:t xml:space="preserve">Realizace osvětové a propagační činnosti ze strany kolektivních systémů je nezbytným předpokladem k tomu, aby </w:t>
      </w:r>
      <w:r>
        <w:t>koneční uživatelé</w:t>
      </w:r>
      <w:r w:rsidRPr="002103FB">
        <w:t xml:space="preserve"> aktivně participovali na systému </w:t>
      </w:r>
      <w:r>
        <w:t> zpětného odběru</w:t>
      </w:r>
      <w:r w:rsidRPr="002103FB">
        <w:t xml:space="preserve"> výrobků</w:t>
      </w:r>
      <w:r>
        <w:t xml:space="preserve"> s ukončenou životností</w:t>
      </w:r>
      <w:r w:rsidRPr="002103FB">
        <w:t>. Osvětovou činnost mus</w:t>
      </w:r>
      <w:r>
        <w:t>ej</w:t>
      </w:r>
      <w:r w:rsidRPr="002103FB">
        <w:t xml:space="preserve">í </w:t>
      </w:r>
      <w:r>
        <w:t xml:space="preserve">provozovatelé </w:t>
      </w:r>
      <w:r w:rsidRPr="002103FB">
        <w:t>kolektivní</w:t>
      </w:r>
      <w:r>
        <w:t>ch</w:t>
      </w:r>
      <w:r w:rsidRPr="002103FB">
        <w:t xml:space="preserve"> systém</w:t>
      </w:r>
      <w:r>
        <w:t>ů</w:t>
      </w:r>
      <w:r w:rsidRPr="002103FB">
        <w:t xml:space="preserve"> vykonávat také proto, aby byly schopn</w:t>
      </w:r>
      <w:r>
        <w:t>i</w:t>
      </w:r>
      <w:r w:rsidRPr="002103FB">
        <w:t xml:space="preserve"> dos</w:t>
      </w:r>
      <w:r>
        <w:t>áhnou</w:t>
      </w:r>
      <w:r w:rsidRPr="002103FB">
        <w:t xml:space="preserve">t minimálních úrovní </w:t>
      </w:r>
      <w:r>
        <w:t>zpětného odběru</w:t>
      </w:r>
      <w:r w:rsidRPr="002103FB">
        <w:t xml:space="preserve"> požadovaných zákonem. Dosavadní právní úprava v oblasti elektrozařízení bohužel kolektivní systémy k </w:t>
      </w:r>
      <w:r>
        <w:t>provádění</w:t>
      </w:r>
      <w:r w:rsidRPr="002103FB">
        <w:t xml:space="preserve"> osvětové činnosti prakticky nijak nenutí. Od roku 2005 zde proto dochází k dlouhodobě neudržitelné situaci, kdy některé kolektivní systémy osvětové aktivity zodpovědně provádějí, ale jiné vůbec, nebo provádějí jen formální činnosti (např. vydávání elektronických informačních letáků). Navrhovaná právní úprava proto zakotvuje povinnost</w:t>
      </w:r>
      <w:r>
        <w:t xml:space="preserve"> všech provozovatelů</w:t>
      </w:r>
      <w:r w:rsidRPr="002103FB">
        <w:t xml:space="preserve"> kolektivní</w:t>
      </w:r>
      <w:r>
        <w:t>ch</w:t>
      </w:r>
      <w:r w:rsidRPr="002103FB">
        <w:t xml:space="preserve"> systém</w:t>
      </w:r>
      <w:r>
        <w:t>ů</w:t>
      </w:r>
      <w:r w:rsidRPr="002103FB">
        <w:t xml:space="preserve"> osvětovou činnost realizovat. </w:t>
      </w:r>
      <w:r>
        <w:t xml:space="preserve">Tato osvětová činnost musí cílit </w:t>
      </w:r>
      <w:r w:rsidRPr="007F4A76">
        <w:t>na změnu spotřebitelského chování za účelem většího zapojení konečných uživatelů do systémů zpětného odběru v</w:t>
      </w:r>
      <w:r>
        <w:t>ýrobků s ukončenou životností a </w:t>
      </w:r>
      <w:r w:rsidRPr="007F4A76">
        <w:t>dosažení co nejvyšší úrovně zpětného odběru.</w:t>
      </w:r>
      <w:r>
        <w:t xml:space="preserve"> Osvětová činnost má zpravidla podobu informačních kampaní zaměřených na konečné uživatele, případně jiných aktivit, které naplňují uvedené cíle.</w:t>
      </w:r>
    </w:p>
    <w:p w:rsidR="00CC0F90" w:rsidRDefault="00CC0F90" w:rsidP="00CC0F90">
      <w:pPr>
        <w:spacing w:before="240"/>
      </w:pPr>
      <w:r w:rsidRPr="002103FB">
        <w:lastRenderedPageBreak/>
        <w:t>V souvislosti s </w:t>
      </w:r>
      <w:r>
        <w:t>prováděním</w:t>
      </w:r>
      <w:r w:rsidRPr="002103FB">
        <w:t xml:space="preserve"> osvětových aktivit ze strany kolektivních systémů je však nutné mít na zřeteli, že na činnost kolektivních systémů nelze nahlížet standardním prizmatem hospodářské soutěže a </w:t>
      </w:r>
      <w:r>
        <w:t xml:space="preserve">že </w:t>
      </w:r>
      <w:r w:rsidRPr="002103FB">
        <w:t xml:space="preserve">není možné kolektivní systémy považovat za standardní soutěžitele. Vzniká zde totiž paradox, že ten kolektivní systém, který investuje finanční prostředky do osvěty, nezajišťuje </w:t>
      </w:r>
      <w:r>
        <w:t xml:space="preserve">potenciál pro </w:t>
      </w:r>
      <w:r w:rsidRPr="002103FB">
        <w:t xml:space="preserve">vyšší míru </w:t>
      </w:r>
      <w:r>
        <w:t>zpětného odběru</w:t>
      </w:r>
      <w:r w:rsidRPr="002103FB">
        <w:t xml:space="preserve"> a </w:t>
      </w:r>
      <w:r>
        <w:t xml:space="preserve">pro </w:t>
      </w:r>
      <w:r w:rsidRPr="002103FB">
        <w:t xml:space="preserve">rozvoj pouze v rámci svého systému, ale zároveň i systémů „konkurenčních“. Tato situace vede k tomu, že na trhu pak existují „parazitující“ kolektivní systémy, které do osvěty investují minimální finanční prostředky, ale jejich systémy </w:t>
      </w:r>
      <w:r>
        <w:t>zpětného odběru</w:t>
      </w:r>
      <w:r w:rsidRPr="002103FB">
        <w:t xml:space="preserve"> se rozvíj</w:t>
      </w:r>
      <w:r>
        <w:t>ej</w:t>
      </w:r>
      <w:r w:rsidRPr="002103FB">
        <w:t xml:space="preserve">í na úkor nákladů jiných kolektivních systémů, které osvětu řádně financují. „Parazitující“ kolektivní systém pak získává na trhu soutěžní konkurenční výhodu, neboť může výrobcům nabízet nižší příspěvky na zajištění </w:t>
      </w:r>
      <w:r>
        <w:t xml:space="preserve">plnění </w:t>
      </w:r>
      <w:r w:rsidRPr="002103FB">
        <w:t xml:space="preserve">povinností </w:t>
      </w:r>
      <w:r>
        <w:t>stanovených tímto zákonem</w:t>
      </w:r>
      <w:r w:rsidRPr="002103FB">
        <w:t xml:space="preserve"> (má jen minimální náklady spojené s realizací osvětové činnosti ve srovnání s konkurenčními systémy). </w:t>
      </w:r>
    </w:p>
    <w:p w:rsidR="00CC0F90" w:rsidRPr="00043913" w:rsidRDefault="00CC0F90" w:rsidP="00CC0F90">
      <w:pPr>
        <w:spacing w:before="240"/>
      </w:pPr>
      <w:r w:rsidRPr="00043913">
        <w:t xml:space="preserve">Legislativně sice lze stanovit požadavky na rozsah osvětových aktivit pro kolektivní systémy, nicméně je velmi obtížně vyhodnotitelná </w:t>
      </w:r>
      <w:r>
        <w:t xml:space="preserve">jejich </w:t>
      </w:r>
      <w:r w:rsidRPr="00043913">
        <w:t>účinnost a efektivit</w:t>
      </w:r>
      <w:r>
        <w:t>a</w:t>
      </w:r>
      <w:r w:rsidRPr="00043913">
        <w:t>. Potřeb</w:t>
      </w:r>
      <w:r>
        <w:t>ný rozsah a </w:t>
      </w:r>
      <w:r w:rsidRPr="00043913">
        <w:t>intenzit</w:t>
      </w:r>
      <w:r>
        <w:t>a</w:t>
      </w:r>
      <w:r w:rsidRPr="00043913">
        <w:t xml:space="preserve"> osvětových aktivit se v čase velmi rychle mění, proto je obtížné stanovovat zákonem konkrétní </w:t>
      </w:r>
      <w:r>
        <w:t>činnosti</w:t>
      </w:r>
      <w:r w:rsidRPr="00043913">
        <w:t xml:space="preserve"> či způsoby provádění osvěty a mu</w:t>
      </w:r>
      <w:r>
        <w:t>s</w:t>
      </w:r>
      <w:r w:rsidRPr="00043913">
        <w:t xml:space="preserve">í zde být </w:t>
      </w:r>
      <w:r>
        <w:t xml:space="preserve">naopak </w:t>
      </w:r>
      <w:r w:rsidRPr="00043913">
        <w:t>ponechána určitá volnost. Navíc každý kolektivní systém má jiný podíl na trhu</w:t>
      </w:r>
      <w:r>
        <w:t xml:space="preserve">, proto by bylo </w:t>
      </w:r>
      <w:r w:rsidRPr="00043913">
        <w:t xml:space="preserve">problematické požadovat </w:t>
      </w:r>
      <w:r>
        <w:t xml:space="preserve">například </w:t>
      </w:r>
      <w:r w:rsidRPr="00043913">
        <w:t>po malém kolektivním systému, aby nutně realizoval sám celoplošná televizní sdělení, pokud by tato aktivita představovala významnou část jeho nákladů.</w:t>
      </w:r>
    </w:p>
    <w:p w:rsidR="00CC0F90" w:rsidRPr="00043913" w:rsidRDefault="00CC0F90" w:rsidP="00CC0F90">
      <w:pPr>
        <w:spacing w:before="240"/>
      </w:pPr>
      <w:r w:rsidRPr="00043913">
        <w:t>Lze nicméně požadovat, aby kolektivní systém např</w:t>
      </w:r>
      <w:r>
        <w:t>íklad</w:t>
      </w:r>
      <w:r w:rsidRPr="00043913">
        <w:t xml:space="preserve"> oslovil v určitém období určitý podíl populace v určité kohortě, ale samotné provedení pak může být realizováno velmi různorodě, a to např. formou celoplošných televizních sdělení, lokálních mediálních sdělení, výstav, workshopů nebo prostřednictvím internetové reklamy či sociálních sítí. Lze pak velmi obtížně vyhodnotit, zda např. prostřednictvím internetu dosáhl jeden kolektivní systém obdobného výsledku jako kolektivní systém jiný. </w:t>
      </w:r>
    </w:p>
    <w:p w:rsidR="00CC0F90" w:rsidRPr="00043913" w:rsidRDefault="00CC0F90" w:rsidP="00CC0F90">
      <w:pPr>
        <w:spacing w:before="240"/>
      </w:pPr>
      <w:r w:rsidRPr="00043913">
        <w:t>Obecně platí, že použití více informačních kanálů je pro účinn</w:t>
      </w:r>
      <w:r>
        <w:t>ou</w:t>
      </w:r>
      <w:r w:rsidRPr="00043913">
        <w:t xml:space="preserve"> osvět</w:t>
      </w:r>
      <w:r>
        <w:t>u</w:t>
      </w:r>
      <w:r w:rsidRPr="00043913">
        <w:t xml:space="preserve"> v oblasti nakládání</w:t>
      </w:r>
      <w:r>
        <w:t xml:space="preserve"> s </w:t>
      </w:r>
      <w:r w:rsidRPr="00043913">
        <w:t xml:space="preserve">odpady žádoucí či dokonce nezbytné. Je ale nutné provádět zde </w:t>
      </w:r>
      <w:r>
        <w:t>určitou koordinaci a </w:t>
      </w:r>
      <w:r w:rsidRPr="00043913">
        <w:t>jednotlivé aktivity plánovat, a to nejen z důvodu zajištění optimálního oslovení požadovaného podílu občanů, ale i z hlediska efektivity vynaložených nákladů. Bez společné koordinace by tedy mohlo dojít k tomu, že každý kolektivní systém by sice realizoval určité osvětové aktivity spojené s vynaložením určitých nákladů, ale výsledný efekt by byl významně nižší, než kdyby při zachování stejných nákladů došlo ke koordinaci jednotlivých samostatných aktivit. Příkladem může být situace, kdy tři kolektivní systémy inzerují v celoplošných televizních médiích, ale všechny předmětné spoty (reklamy) jsou vysílány v období květen až srpen, přičemž ostatní části roku již zůstávají nepokryty. Při společné koordinaci by vysílání spotů mohlo být rozloženo</w:t>
      </w:r>
      <w:r>
        <w:t xml:space="preserve"> do celého roku, mohla by být i </w:t>
      </w:r>
      <w:r w:rsidRPr="00043913">
        <w:t xml:space="preserve">optimalizována jejich náplň v průběhu různých částí roku, a tím by došlo k zajištění významně vyššího informačního efektu.  </w:t>
      </w:r>
    </w:p>
    <w:p w:rsidR="00CC0F90" w:rsidRPr="00043913" w:rsidRDefault="00CC0F90" w:rsidP="00CC0F90">
      <w:pPr>
        <w:spacing w:before="240"/>
      </w:pPr>
      <w:r w:rsidRPr="00043913">
        <w:t xml:space="preserve">Je proto žádoucí, aby kolektivní systémy prováděly osvětové aktivity v rámci společné platformy, a aby se na aktivitách finančně podílely na základě spravedlivého klíče, např. na </w:t>
      </w:r>
      <w:r w:rsidRPr="00043913">
        <w:lastRenderedPageBreak/>
        <w:t xml:space="preserve">základě podílů výrobců na trhu. Všechny kolektivní systémy by pak ministerstvu zasílaly identickou část zprávy o svých osvětových aktivitách, resp. tuto zprávu by zpracovalo koordinační centrum. Pokud by ministerstvo vyhodnotilo, že rozsah realizovaných aktivit je nedostatečný, mohlo by zahájit jednání s koordinačním centrem, případně by mohlo změnit požadavky stanovené vyhláškou. Část informačních aktivit by mohly kolektivní systémy nadále realizovat samostatně bez spolupráce s jinými systémy na základě vlastního uvážení či potřeby. Jednalo by se zejména o ty informační aktivity, které by zohledňovaly některé unikátní služby daného kolektivního systému, kterými by se lišil od konkurence. </w:t>
      </w:r>
    </w:p>
    <w:p w:rsidR="00CC0F90" w:rsidRDefault="00CC0F90" w:rsidP="00CC0F90">
      <w:pPr>
        <w:spacing w:before="240"/>
      </w:pPr>
      <w:r w:rsidRPr="002103FB">
        <w:t>Z</w:t>
      </w:r>
      <w:r>
        <w:t> uvedených</w:t>
      </w:r>
      <w:r w:rsidRPr="002103FB">
        <w:t xml:space="preserve"> důvod</w:t>
      </w:r>
      <w:r>
        <w:t>ů</w:t>
      </w:r>
      <w:r w:rsidRPr="002103FB">
        <w:t xml:space="preserve"> je </w:t>
      </w:r>
      <w:r>
        <w:t xml:space="preserve">koordinace, případně i samotné zajišťování </w:t>
      </w:r>
      <w:r w:rsidRPr="002103FB">
        <w:t>osvětov</w:t>
      </w:r>
      <w:r>
        <w:t>é</w:t>
      </w:r>
      <w:r w:rsidRPr="002103FB">
        <w:t xml:space="preserve"> činnost</w:t>
      </w:r>
      <w:r>
        <w:t>i</w:t>
      </w:r>
      <w:r w:rsidRPr="002103FB">
        <w:t xml:space="preserve"> zařazen</w:t>
      </w:r>
      <w:r>
        <w:t>o</w:t>
      </w:r>
      <w:r w:rsidRPr="002103FB">
        <w:t xml:space="preserve"> </w:t>
      </w:r>
      <w:r>
        <w:t>mezi úkoly</w:t>
      </w:r>
      <w:r w:rsidRPr="002103FB">
        <w:t xml:space="preserve"> </w:t>
      </w:r>
      <w:r>
        <w:t>koordinačního</w:t>
      </w:r>
      <w:r w:rsidRPr="002103FB">
        <w:t xml:space="preserve"> centra</w:t>
      </w:r>
      <w:r>
        <w:t xml:space="preserve"> (viz dále § 64 a násl.). Společný postup při provádění osvětových aktivit ze strany více kolektivních systémů povede k odstranění nerovností v množství investovaných nákladů ze strany nekooperujících kolektivních systémů a v konečném důsledku povede k vyšší efektivitě vynaložených nákladů a vyššímu efektu ve vztahu k cílům osvětových aktivit (zapojení maximálního počtu obyvatel do systémů třídění odpadů). </w:t>
      </w:r>
    </w:p>
    <w:p w:rsidR="00CC0F90" w:rsidRPr="002103FB" w:rsidRDefault="00CC0F90" w:rsidP="00CC0F90">
      <w:pPr>
        <w:spacing w:before="240"/>
      </w:pPr>
      <w:r>
        <w:t xml:space="preserve">Propagační činnost je zákonem chápána tak, že jde o </w:t>
      </w:r>
      <w:r w:rsidRPr="0064474A">
        <w:t xml:space="preserve">jakoukoliv formu propagace vlastního </w:t>
      </w:r>
      <w:r>
        <w:t xml:space="preserve">kolektivního </w:t>
      </w:r>
      <w:r w:rsidRPr="0064474A">
        <w:t>systému</w:t>
      </w:r>
      <w:r>
        <w:t xml:space="preserve">. Provozovatel kolektivního systému není povinen propagační činnost provádět, avšak pokud tak činí, musí </w:t>
      </w:r>
      <w:r w:rsidRPr="0064474A">
        <w:t>být taková činnost prováděna tak, aby současně naplňovala cíle</w:t>
      </w:r>
      <w:r>
        <w:t xml:space="preserve"> stanovené pro osvětu. Toto omezení by mělo bránit praktikám některých kolektivních systémů, které vedou klasické reklamní kampaně zaměřené čistě jen na propagaci vlastní značky a mohou být prostředkem neúčelného vyvádění peněžních prostředků získaných z příspěvků výrobců ven z kolektivního systému (například sponzorování sportovních klubů apod.). Lze tedy říci, že každá propagační činnost provozovatele kolektivního systému by současně měla být i činností osvětovou.</w:t>
      </w:r>
    </w:p>
    <w:p w:rsidR="00CC0F90" w:rsidRPr="002103FB" w:rsidRDefault="00CC0F90" w:rsidP="00CC0F90">
      <w:pPr>
        <w:spacing w:before="240"/>
        <w:rPr>
          <w:b/>
        </w:rPr>
      </w:pPr>
      <w:r w:rsidRPr="00D77305">
        <w:rPr>
          <w:b/>
        </w:rPr>
        <w:t>K § 51</w:t>
      </w:r>
    </w:p>
    <w:p w:rsidR="00CC0F90" w:rsidRPr="002103FB" w:rsidRDefault="00CC0F90" w:rsidP="00CC0F90">
      <w:pPr>
        <w:spacing w:before="240"/>
      </w:pPr>
      <w:bookmarkStart w:id="325" w:name="_Toc406598338"/>
      <w:r w:rsidRPr="002103FB">
        <w:t xml:space="preserve">Způsob výběru zpracovatele </w:t>
      </w:r>
      <w:bookmarkEnd w:id="325"/>
      <w:r>
        <w:t xml:space="preserve">výrobků s ukončenou životností, resp. </w:t>
      </w:r>
      <w:r w:rsidRPr="002103FB">
        <w:t xml:space="preserve">odpadů z vybraných výrobků je důležitým atributem, který má mj. nezanedbatelný vliv na hospodářskou soutěž.  Dosavadní právní úprava nijak nedefinovala způsob ani povinnosti kolektivních systémů při výběru zpracovatele odpadů z vybraných výrobků, ani nezakazovala samotnému </w:t>
      </w:r>
      <w:r>
        <w:t xml:space="preserve">provozovateli </w:t>
      </w:r>
      <w:r w:rsidRPr="002103FB">
        <w:t xml:space="preserve">kolektivního systému, aby odpady sám zpracovával. V oblasti elektrozařízení tak ze strany různých kolektivních systémů docházelo k nejednotné praxi, kdy některé kolektivní systémy zpracovávaly odpady v rámci vlastních </w:t>
      </w:r>
      <w:r>
        <w:t xml:space="preserve">zpracovatelských zařízení </w:t>
      </w:r>
      <w:r w:rsidRPr="002103FB">
        <w:t xml:space="preserve">nebo </w:t>
      </w:r>
      <w:r>
        <w:t xml:space="preserve">zařízení provozovaných </w:t>
      </w:r>
      <w:r w:rsidRPr="002103FB">
        <w:t>majetkově propojený</w:t>
      </w:r>
      <w:r>
        <w:t>mi osobami</w:t>
      </w:r>
      <w:r w:rsidRPr="002103FB">
        <w:t xml:space="preserve">, a jiné kolektivní systémy realizovaly zpracovávání pouze prostřednictvím externích zpracovatelů. </w:t>
      </w:r>
    </w:p>
    <w:p w:rsidR="00CC0F90" w:rsidRPr="00A30BDF" w:rsidRDefault="00CC0F90" w:rsidP="00CC0F90">
      <w:pPr>
        <w:spacing w:before="240"/>
      </w:pPr>
      <w:r w:rsidRPr="00A30BDF">
        <w:t>Jedním z cílů navrhované právní úpravy je vytvoření transparentního a kultivovaného tržního prostředí pro kolektivní systémy a zpracovatele, který povede k podpoře oběhového hospodářství.</w:t>
      </w:r>
      <w:r>
        <w:t xml:space="preserve"> </w:t>
      </w:r>
      <w:r w:rsidRPr="00A30BDF">
        <w:t xml:space="preserve">Navrhovaný zákon vymezuje postavení provozovatele kolektivního systému jako operátora, který bude zajišťovat a zprostředkovávat plnění povinností, které zákon ukládá výrobcům vybraných výrobků (elektrozařízení, baterie a akumulátory a pneumatiky). Jedním z aspektů postavení operátora pak je, že nebude mít možnost sám o sobě nakládat </w:t>
      </w:r>
      <w:r w:rsidRPr="00A30BDF">
        <w:lastRenderedPageBreak/>
        <w:t xml:space="preserve">s odpady vzniklými z vybraných výrobků </w:t>
      </w:r>
      <w:r>
        <w:t xml:space="preserve">(s výrobky </w:t>
      </w:r>
      <w:r w:rsidRPr="00A30BDF">
        <w:t>s ukončenou životností</w:t>
      </w:r>
      <w:r>
        <w:t>)</w:t>
      </w:r>
      <w:r w:rsidRPr="00A30BDF">
        <w:t xml:space="preserve"> a tyto odpady zejména zpracovávat, a to ani prostřednictvím svých majetkově provázaných společností.</w:t>
      </w:r>
      <w:r>
        <w:t xml:space="preserve"> </w:t>
      </w:r>
    </w:p>
    <w:p w:rsidR="00CC0F90" w:rsidRPr="00B17806" w:rsidRDefault="00CC0F90" w:rsidP="00CC0F90">
      <w:pPr>
        <w:spacing w:before="240"/>
      </w:pPr>
      <w:r w:rsidRPr="00551469">
        <w:t>S ohledem na postavení provozovatelů kolektivních systémů jakožto výsadních subjektů zajišťující</w:t>
      </w:r>
      <w:r>
        <w:t>ch</w:t>
      </w:r>
      <w:r w:rsidRPr="00551469">
        <w:t xml:space="preserve"> zpětný odběr pro všechny výrobce, kteří jsou buď jejich akcionáři, společníky anebo klienty a uzavřeli s nimi smlouvu o kolektivním plnění</w:t>
      </w:r>
      <w:r>
        <w:t>,</w:t>
      </w:r>
      <w:r w:rsidRPr="00551469">
        <w:t xml:space="preserve"> a </w:t>
      </w:r>
      <w:r>
        <w:t>vzhledem k</w:t>
      </w:r>
      <w:r w:rsidRPr="00551469">
        <w:t xml:space="preserve"> neméně důležité skutečnosti, že na zajištění této činnosti </w:t>
      </w:r>
      <w:r>
        <w:t xml:space="preserve">vybírají </w:t>
      </w:r>
      <w:r w:rsidRPr="00551469">
        <w:t>příspěvk</w:t>
      </w:r>
      <w:r>
        <w:t>y</w:t>
      </w:r>
      <w:r w:rsidRPr="00551469">
        <w:t>, promítan</w:t>
      </w:r>
      <w:r>
        <w:t>é</w:t>
      </w:r>
      <w:r w:rsidRPr="00551469">
        <w:t xml:space="preserve"> sekundárně výrobci do prodejní</w:t>
      </w:r>
      <w:r>
        <w:t>ch</w:t>
      </w:r>
      <w:r w:rsidRPr="00551469">
        <w:t xml:space="preserve"> cen všem konečným uživatelům, existuje legitimní zájem na transparentnosti a uplatnění nediskriminačních kritérií při výběru zpracovatelů.</w:t>
      </w:r>
      <w:r>
        <w:t xml:space="preserve"> Pro tento účel j</w:t>
      </w:r>
      <w:r w:rsidRPr="00B17806">
        <w:t xml:space="preserve">sou určeny dva </w:t>
      </w:r>
      <w:r>
        <w:t xml:space="preserve">možné </w:t>
      </w:r>
      <w:r w:rsidRPr="00B17806">
        <w:t>způsob</w:t>
      </w:r>
      <w:r>
        <w:t>y</w:t>
      </w:r>
      <w:r w:rsidRPr="00B17806">
        <w:t>, které jsou v souladu s definovanými cíli a které jsou upraveny tak, aby byly co nejvíce podobné. Provozovatelům kolektivních systém</w:t>
      </w:r>
      <w:r>
        <w:t>ů</w:t>
      </w:r>
      <w:r w:rsidRPr="00B17806">
        <w:t xml:space="preserve"> je ponechána možnost volby. Prvním způsobem je obchodování prostřednictvím komoditní burzy</w:t>
      </w:r>
      <w:r>
        <w:t>,</w:t>
      </w:r>
      <w:r w:rsidRPr="00B17806">
        <w:t xml:space="preserve"> druhým vyhlašování veřejné soutěže o nejvhodnější nabídku s náležitostmi stanovenými tímto zákonem.</w:t>
      </w:r>
      <w:r>
        <w:t xml:space="preserve"> Jak nabídku výrobků s ukončenou životností prostřednictvím komoditní burzy, tak </w:t>
      </w:r>
      <w:r w:rsidRPr="005B5D61">
        <w:t xml:space="preserve">vyhlašování veřejné soutěže o nejvhodnější nabídku musí </w:t>
      </w:r>
      <w:r w:rsidRPr="00551469">
        <w:t>provozovatel kolektivníh</w:t>
      </w:r>
      <w:r>
        <w:t>o</w:t>
      </w:r>
      <w:r w:rsidRPr="00551469">
        <w:t xml:space="preserve"> systém</w:t>
      </w:r>
      <w:r>
        <w:t>u</w:t>
      </w:r>
      <w:r w:rsidRPr="00551469">
        <w:t xml:space="preserve"> </w:t>
      </w:r>
      <w:r w:rsidRPr="005B5D61">
        <w:t>realizovat minimálně jedenkrát do roka.</w:t>
      </w:r>
    </w:p>
    <w:p w:rsidR="00CC0F90" w:rsidRDefault="00CC0F90" w:rsidP="00CC0F90">
      <w:pPr>
        <w:spacing w:before="240"/>
      </w:pPr>
      <w:r w:rsidRPr="00B17806">
        <w:t>K </w:t>
      </w:r>
      <w:r>
        <w:t>možnosti</w:t>
      </w:r>
      <w:r w:rsidRPr="00B17806">
        <w:t xml:space="preserve"> obchodování prostřednictvím komoditní burzy vedly navrhovatele tyto rozhodné skutečnosti:</w:t>
      </w:r>
    </w:p>
    <w:p w:rsidR="00CC0F90" w:rsidRPr="00B60956" w:rsidRDefault="00CC0F90" w:rsidP="002D66F0">
      <w:pPr>
        <w:numPr>
          <w:ilvl w:val="0"/>
          <w:numId w:val="127"/>
        </w:numPr>
        <w:spacing w:before="240" w:line="240" w:lineRule="auto"/>
      </w:pPr>
      <w:r w:rsidRPr="00B60956">
        <w:t>z hlediska hospodářské soutěže jsou komoditní burzy preferovaným místem, dochází zde k efektivnímu oslovení celého trhu v jeden okamžik;</w:t>
      </w:r>
    </w:p>
    <w:p w:rsidR="00CC0F90" w:rsidRPr="00B60956" w:rsidRDefault="00CC0F90" w:rsidP="002D66F0">
      <w:pPr>
        <w:numPr>
          <w:ilvl w:val="0"/>
          <w:numId w:val="127"/>
        </w:numPr>
        <w:spacing w:before="240" w:line="240" w:lineRule="auto"/>
      </w:pPr>
      <w:r w:rsidRPr="00B60956">
        <w:t>při dostatečné likviditě trhu plní komoditní burzy i cenotvornou indikační funkci, komoditní trh je jedním z nástrojů surovinové politiky;</w:t>
      </w:r>
    </w:p>
    <w:p w:rsidR="00CC0F90" w:rsidRPr="00B60956" w:rsidRDefault="00CC0F90" w:rsidP="002D66F0">
      <w:pPr>
        <w:numPr>
          <w:ilvl w:val="0"/>
          <w:numId w:val="127"/>
        </w:numPr>
        <w:spacing w:before="240" w:line="240" w:lineRule="auto"/>
      </w:pPr>
      <w:r w:rsidRPr="00B60956">
        <w:t>vysoké standardy burzovního obchodování dané zákonem č. 229/1992 Sb., o komoditních burzách, v platném znění;</w:t>
      </w:r>
    </w:p>
    <w:p w:rsidR="00CC0F90" w:rsidRPr="00B60956" w:rsidRDefault="00CC0F90" w:rsidP="002D66F0">
      <w:pPr>
        <w:numPr>
          <w:ilvl w:val="0"/>
          <w:numId w:val="127"/>
        </w:numPr>
        <w:spacing w:before="240" w:line="240" w:lineRule="auto"/>
      </w:pPr>
      <w:r w:rsidRPr="00B60956">
        <w:t>komoditní burzy vytvářejí transparentní prostředí pro setkávání se poptávky a nabídky a tím generují v maximální možné míře objektivní tržní ceny základních komodit;</w:t>
      </w:r>
    </w:p>
    <w:p w:rsidR="00CC0F90" w:rsidRPr="00B60956" w:rsidRDefault="00CC0F90" w:rsidP="002D66F0">
      <w:pPr>
        <w:numPr>
          <w:ilvl w:val="0"/>
          <w:numId w:val="127"/>
        </w:numPr>
        <w:spacing w:before="240" w:line="240" w:lineRule="auto"/>
      </w:pPr>
      <w:r w:rsidRPr="00B60956">
        <w:t>jistota ověřování skutečného využití zobchodovaných komodit prostřednictvím registračního centra burzy, výstupní data ze závěrkových listů budou navržen</w:t>
      </w:r>
      <w:r>
        <w:t>a</w:t>
      </w:r>
      <w:r w:rsidRPr="00B60956">
        <w:t xml:space="preserve"> tak, že budou poskytovat pro následné ověřování detailní informace o zobchodovaných komoditách s cílem ověřit, že komodita byla dopravena do cílového místa a zpracována/využita deklarovaným způsobem;</w:t>
      </w:r>
    </w:p>
    <w:p w:rsidR="00CC0F90" w:rsidRPr="00B60956" w:rsidRDefault="00CC0F90" w:rsidP="002D66F0">
      <w:pPr>
        <w:numPr>
          <w:ilvl w:val="0"/>
          <w:numId w:val="127"/>
        </w:numPr>
        <w:spacing w:before="240" w:line="240" w:lineRule="auto"/>
      </w:pPr>
      <w:r w:rsidRPr="00B60956">
        <w:t>obecně minimální administrativní náročnost zprostředkování obchodů;</w:t>
      </w:r>
    </w:p>
    <w:p w:rsidR="00CC0F90" w:rsidRPr="00B60956" w:rsidRDefault="00CC0F90" w:rsidP="002D66F0">
      <w:pPr>
        <w:numPr>
          <w:ilvl w:val="0"/>
          <w:numId w:val="127"/>
        </w:numPr>
        <w:spacing w:before="240" w:line="240" w:lineRule="auto"/>
      </w:pPr>
      <w:r w:rsidRPr="00B60956">
        <w:t>hledisko bezpečnosti obchodování, burzovní obchodování je jištěno víceúrovňovým kontrolním a garančním systémem, bezpečnost nakládání s daty kvalitativně na vyšší úrovni, než je běžný standard v komerční sféře;</w:t>
      </w:r>
    </w:p>
    <w:p w:rsidR="00CC0F90" w:rsidRPr="00B60956" w:rsidRDefault="00CC0F90" w:rsidP="002D66F0">
      <w:pPr>
        <w:numPr>
          <w:ilvl w:val="0"/>
          <w:numId w:val="127"/>
        </w:numPr>
        <w:spacing w:before="240" w:line="240" w:lineRule="auto"/>
      </w:pPr>
      <w:r w:rsidRPr="00B60956">
        <w:t>v obchodním subsystému burzy lze volit podle potřeby z celé</w:t>
      </w:r>
      <w:r>
        <w:t>ho spektra elektronických aukcí;</w:t>
      </w:r>
    </w:p>
    <w:p w:rsidR="00CC0F90" w:rsidRPr="00B60956" w:rsidRDefault="00CC0F90" w:rsidP="002D66F0">
      <w:pPr>
        <w:numPr>
          <w:ilvl w:val="0"/>
          <w:numId w:val="127"/>
        </w:numPr>
        <w:spacing w:before="240" w:line="240" w:lineRule="auto"/>
      </w:pPr>
      <w:r w:rsidRPr="00B60956">
        <w:t xml:space="preserve">státní dozor nad komoditními burzami a činností burzovních dohodců vykonává Ministerstvo průmyslu a obchodu prostřednictvím jím jmenovaného a odvolávaného </w:t>
      </w:r>
      <w:r w:rsidRPr="00B60956">
        <w:lastRenderedPageBreak/>
        <w:t xml:space="preserve">burzovního komisaře. Dohledu podléhá jak komoditní burza, tak i účastníci obchodování; </w:t>
      </w:r>
    </w:p>
    <w:p w:rsidR="00CC0F90" w:rsidRPr="00B60956" w:rsidRDefault="00CC0F90" w:rsidP="002D66F0">
      <w:pPr>
        <w:numPr>
          <w:ilvl w:val="0"/>
          <w:numId w:val="127"/>
        </w:numPr>
        <w:spacing w:before="240" w:line="240" w:lineRule="auto"/>
      </w:pPr>
      <w:r w:rsidRPr="00B60956">
        <w:t>zřízení příslušného burzovního výboru a účast zástupců provozovatelů kolektivních systémů v burzovním výboru, účast zástupců orgánů veřejné správy (např. MŽP nebo ČIŽP je možná);</w:t>
      </w:r>
    </w:p>
    <w:p w:rsidR="00CC0F90" w:rsidRPr="00B60956" w:rsidRDefault="00CC0F90" w:rsidP="002D66F0">
      <w:pPr>
        <w:numPr>
          <w:ilvl w:val="0"/>
          <w:numId w:val="127"/>
        </w:numPr>
        <w:spacing w:before="240" w:line="240" w:lineRule="auto"/>
      </w:pPr>
      <w:r w:rsidRPr="00B60956">
        <w:t>již dnes jsou komoditní burzy podle dosavadního zákona o odpadech (§ 16 odst. 1) důvěryhodnou osobou, prostřednictvím které mohou původci převádět své odpady do vlastnictví oprávněné osoby.</w:t>
      </w:r>
    </w:p>
    <w:p w:rsidR="00CC0F90" w:rsidRDefault="00CC0F90" w:rsidP="00CC0F90">
      <w:pPr>
        <w:spacing w:before="240"/>
        <w:rPr>
          <w:rFonts w:cs="Calibri"/>
          <w:szCs w:val="22"/>
        </w:rPr>
      </w:pPr>
      <w:r>
        <w:t xml:space="preserve">V případě, že provozovatel kolektivního systému využije k zajištění zpracování zpětně odebraných výrobků s ukončenou životností obchodování na komoditní burze, neplatí pro něj zákaz </w:t>
      </w:r>
      <w:r w:rsidRPr="005D3864">
        <w:t>zajišťovat zpracování prostřednictvím osoby, která je vůči němu v postavení ovládající osoby nebo ovládané osoby</w:t>
      </w:r>
      <w:r>
        <w:t xml:space="preserve">. Ten se v takovém případě </w:t>
      </w:r>
      <w:r w:rsidRPr="000776A0">
        <w:t xml:space="preserve">jeví </w:t>
      </w:r>
      <w:r w:rsidRPr="000776A0">
        <w:rPr>
          <w:rFonts w:cs="Calibri"/>
          <w:szCs w:val="22"/>
        </w:rPr>
        <w:t>nadbytečný, jelikož obchodní systém je nastaven jako plně soutěžní a anonymní, aby tak byla zajištěna objektivní cenotvorba.</w:t>
      </w:r>
    </w:p>
    <w:p w:rsidR="00CC0F90" w:rsidRPr="007C6A1B" w:rsidRDefault="00CC0F90" w:rsidP="00CC0F90">
      <w:pPr>
        <w:spacing w:before="240"/>
      </w:pPr>
      <w:r w:rsidRPr="007C6A1B">
        <w:t>Druhým způsobem</w:t>
      </w:r>
      <w:r>
        <w:t xml:space="preserve"> zajištění zpracování zpětně odebraných výrobků s ukončenou životností</w:t>
      </w:r>
      <w:r w:rsidRPr="007C6A1B">
        <w:t xml:space="preserve"> je vyhlašování veřejné soutěže o nejvhodnější nabídku. Z důvodu co největší</w:t>
      </w:r>
      <w:r>
        <w:t>ho</w:t>
      </w:r>
      <w:r w:rsidRPr="007C6A1B">
        <w:t xml:space="preserve"> p</w:t>
      </w:r>
      <w:r>
        <w:t>řiblížení</w:t>
      </w:r>
      <w:r w:rsidRPr="007C6A1B">
        <w:t xml:space="preserve"> prvnímu způsobu je stanoveno, že kromě náležitostí stanovených občanským zákoníkem (§</w:t>
      </w:r>
      <w:r>
        <w:t> </w:t>
      </w:r>
      <w:r w:rsidRPr="007C6A1B">
        <w:t>1772 a násl. občanského zákoníku) musí být splněny další minimální podmínky soutěže, které stanoví zákon o vybraných výrobcích s ukončenou životností. Základní úprava veřejné soutěže o nejvhodnější nabídku podle občanského zákoníku je vhodná pro realizaci otevřených výběrových řízení soukromoprávních subjektů, kteří nejsou povinni postupovat podle zákona č. 137/2006 Sb., o veřejných zakázkách, v platném znění.</w:t>
      </w:r>
      <w:r>
        <w:t xml:space="preserve"> </w:t>
      </w:r>
    </w:p>
    <w:p w:rsidR="00CC0F90" w:rsidRPr="007C6A1B" w:rsidRDefault="00CC0F90" w:rsidP="00CC0F90">
      <w:pPr>
        <w:spacing w:before="240"/>
      </w:pPr>
      <w:r w:rsidRPr="007C6A1B">
        <w:t xml:space="preserve">Zákonná úprava se dále v souladu s věcným záměrem zákona zabývá mechanismy, které umožní zapojení zpracovatelů zaměstnávající osoby se zdravotním postižením na chráněných pracovních místech (tzv. chráněné dílny) do sféry zpracování zpětně odebraných vybraných výrobků s ukončenou životností. Vychází se z obecné premisy, že existuje veřejný zájem na zaměstnávání zdravotně indisponovaných osob. Navrhovatel se zabýval možností stanovení určitých kvót, </w:t>
      </w:r>
      <w:r>
        <w:t>určujících</w:t>
      </w:r>
      <w:r w:rsidRPr="007C6A1B">
        <w:t xml:space="preserve"> množství výrobků s ukončenou životností dle </w:t>
      </w:r>
      <w:r>
        <w:t>jednotlivých</w:t>
      </w:r>
      <w:r w:rsidRPr="007C6A1B">
        <w:t xml:space="preserve"> druhů, které by provozovatelé kolektivních systémů byli povinni dodat ke zpracování tzv. chráněným dílnám. Taková podmínka by mohla být vnímána jako omezení na straně jedné, ale veřejný zájem na zaměstnávání zdravotně indisponovaných osob by mohl převážit nad zájmem na plně funkční hospodářské soutěži. Toto úskalí nebylo jediné, vážnější</w:t>
      </w:r>
      <w:r>
        <w:t>m</w:t>
      </w:r>
      <w:r w:rsidRPr="007C6A1B">
        <w:t xml:space="preserve"> se ukázal</w:t>
      </w:r>
      <w:r>
        <w:t xml:space="preserve"> být</w:t>
      </w:r>
      <w:r w:rsidRPr="007C6A1B">
        <w:t xml:space="preserve"> samotný problém správného stanovení příslušné kvóty, a proto bylo od takového </w:t>
      </w:r>
      <w:r>
        <w:t>řešení</w:t>
      </w:r>
      <w:r w:rsidRPr="007C6A1B">
        <w:t xml:space="preserve"> upuštěno. Navrhuje se proto upravit oprávnění provozovatele kolektivního systému vyčlenit část z celkového množství zpětně odebíraných výrobků s ukončenou životností pro zpracovatele zaměstnávající na chráněných pracovních místech (podle zákona č. 435/2004 Sb., o zaměstnanosti, v platném znění) alespoň 50 % osob se zdravotním postižením z celkového počtu svých zaměstnanců. Rozhodné kritérium bylo navrženo v souladu s návrhem vládního zákona o zadávání veřejných zakázek. Obdobně navrhovatel postupoval i ohledně doložení podmínky zaměstnávání zdravotně indisponovaných osob. </w:t>
      </w:r>
    </w:p>
    <w:p w:rsidR="00CC0F90" w:rsidRPr="007C6A1B" w:rsidRDefault="00CC0F90" w:rsidP="00CC0F90">
      <w:pPr>
        <w:spacing w:before="240"/>
      </w:pPr>
      <w:r w:rsidRPr="007C6A1B">
        <w:lastRenderedPageBreak/>
        <w:t>Návrh ponechává zcela na uvážení provozovatel</w:t>
      </w:r>
      <w:r>
        <w:t>e</w:t>
      </w:r>
      <w:r w:rsidRPr="007C6A1B">
        <w:t xml:space="preserve"> kolektivního systému, jak </w:t>
      </w:r>
      <w:r>
        <w:t xml:space="preserve">bude </w:t>
      </w:r>
      <w:r w:rsidRPr="007C6A1B">
        <w:t>struktur</w:t>
      </w:r>
      <w:r>
        <w:t>ovat</w:t>
      </w:r>
      <w:r w:rsidRPr="007C6A1B">
        <w:t xml:space="preserve"> nabídku/y výrobků s ukončenou životností, </w:t>
      </w:r>
      <w:r>
        <w:t xml:space="preserve">tj. </w:t>
      </w:r>
      <w:r w:rsidRPr="007C6A1B">
        <w:t>zda bude uplatňovat např</w:t>
      </w:r>
      <w:r>
        <w:t>íklad</w:t>
      </w:r>
      <w:r w:rsidRPr="007C6A1B">
        <w:t xml:space="preserve"> regionální princip a nabídne produkci zpětně odebíraných výrobků z vymezené oblasti na </w:t>
      </w:r>
      <w:r>
        <w:t xml:space="preserve">určité </w:t>
      </w:r>
      <w:r w:rsidRPr="007C6A1B">
        <w:t xml:space="preserve">období dopředu a po </w:t>
      </w:r>
      <w:r>
        <w:t>určitých</w:t>
      </w:r>
      <w:r w:rsidRPr="007C6A1B">
        <w:t xml:space="preserve"> opakujících se dodávkách (burzovní obchodování samozřejmě umožňuje obchodování k dodávkám, které v danou dobu nemusí ještě fyzicky existovat).</w:t>
      </w:r>
    </w:p>
    <w:p w:rsidR="00CC0F90" w:rsidRPr="00803A4B" w:rsidRDefault="00CC0F90" w:rsidP="00CC0F90">
      <w:pPr>
        <w:spacing w:before="240"/>
        <w:rPr>
          <w:b/>
        </w:rPr>
      </w:pPr>
      <w:r w:rsidRPr="00803A4B">
        <w:rPr>
          <w:b/>
        </w:rPr>
        <w:t>K § 52</w:t>
      </w:r>
    </w:p>
    <w:p w:rsidR="00CC0F90" w:rsidRPr="00803A4B" w:rsidRDefault="00CC0F90" w:rsidP="00CC0F90">
      <w:pPr>
        <w:spacing w:before="240"/>
      </w:pPr>
      <w:r w:rsidRPr="00803A4B">
        <w:t>Zahájení obchodování s výrobky s ukončenou životností je komoditní burza povinna oznámit, a to zveřejněním informace v Obchodním věstníku. Potvrzení o uskutečněných obchodech není komoditní burza povinna automaticky poskytovat. Provozovatel kolektivního systému je povinen si ho vyžádat a následně ho za účelem potvrzení uskutečněných obchodů za období uplynulého kalendářního roku předkládá Ministerstvu životního prostředí. Aby nedocházelo ke zvyšování administrativních nákladů, navrhuje se toto potvrzení předávat společně s roční zprávou, která se zasílá každoročně nejpozději do 31. března.</w:t>
      </w:r>
    </w:p>
    <w:p w:rsidR="00CC0F90" w:rsidRPr="00803A4B" w:rsidRDefault="00CC0F90" w:rsidP="00CC0F90">
      <w:pPr>
        <w:spacing w:before="240"/>
      </w:pPr>
      <w:r w:rsidRPr="00803A4B">
        <w:t xml:space="preserve">Udělení vstupenky na burzovní shromáždění zpracovatelům podléhá určitým pravidlům. Navrhovaný zákon klade důraz na stanovenou úroveň využití či recyklační účinnost zpětně odebraných vybraných výrobků s ukončenou životností a tomu musí být přizpůsobeny nároky kladené na zpracovatele, které vyplývají jednak ze zákona o odpadech (formální způsobilost prokázaná udělením příslušného  povolení provozu zařízení ke zpracování odpadů </w:t>
      </w:r>
      <w:r>
        <w:t>–</w:t>
      </w:r>
      <w:r w:rsidRPr="00803A4B">
        <w:t xml:space="preserve"> výrobků s ukončenou životností) a dále z tohoto zákona, který stanovuje kvalitativní požadavky na demontáž a využití (tj. včetně recyklační úrovně či přípravy k opětovnému použití). </w:t>
      </w:r>
    </w:p>
    <w:p w:rsidR="00CC0F90" w:rsidRPr="00803A4B" w:rsidRDefault="00CC0F90" w:rsidP="00CC0F90">
      <w:pPr>
        <w:spacing w:before="240"/>
      </w:pPr>
      <w:r w:rsidRPr="00803A4B">
        <w:t>Burzovní obchodování je určeno také zpracovatelům, kteří zaměstnávají osoby se zdravotním postižením (tzv. chráněné dílny) a speciálně pro tyto zpracovatele se počítá s vytvořením zvláštního nabídkového segmentu, kde by mezi sebou mohli soutěžit výhradně tito zpracovatelé. Důvodem jsou zejména jiné náklady na práci</w:t>
      </w:r>
      <w:r>
        <w:t xml:space="preserve"> a</w:t>
      </w:r>
      <w:r w:rsidRPr="00803A4B">
        <w:t xml:space="preserve"> významný nebo převažující podíl ruční práce oproti ostatním zpracovatelům. Jsou to zejména zpracovatelské postupy pozitivně zvyšující míru recyklace, které odlišují zpracovatele z řad tzv. chráněných dílen od ostatních zpracovatelů.</w:t>
      </w:r>
    </w:p>
    <w:p w:rsidR="00CC0F90" w:rsidRPr="00803A4B" w:rsidRDefault="00CC0F90" w:rsidP="00CC0F90">
      <w:pPr>
        <w:spacing w:before="240"/>
        <w:rPr>
          <w:b/>
        </w:rPr>
      </w:pPr>
      <w:r w:rsidRPr="00803A4B">
        <w:rPr>
          <w:b/>
        </w:rPr>
        <w:t xml:space="preserve">K § 53 </w:t>
      </w:r>
    </w:p>
    <w:p w:rsidR="00CC0F90" w:rsidRPr="00803A4B" w:rsidRDefault="00CC0F90" w:rsidP="00CC0F90">
      <w:pPr>
        <w:spacing w:before="240"/>
      </w:pPr>
      <w:r w:rsidRPr="00803A4B">
        <w:t xml:space="preserve">Vyhlášení veřejné soutěže je právním úkonem, zvláštním druhem výzvy k podání nabídek. Základní úprava veřejné soutěže o nejvhodnější nabídku vychází z občanského zákoníku. Navrhovatel je přesvědčen, že je vhodná pro realizaci otevřených výběrových řízení soukromoprávních subjektů, kteří nejsou povinni postupovat podle zákona o veřejných zakázkách. Kromě toho, již v dosavadním platném znění zákona o odpadech je tento institut využit v oblasti zpětného odběru pneumatik (viz § 38e odst. 6), provozovatel kolektivního systému pro pneumatiky je za účelem zajištění zpracování a využití odpadních pneumatik povinen vyhlásit veřejnou soutěž o nejvhodnější nabídku a současně musí tyto soutěžní podmínky vycházet z otevřených, nediskriminačních kritérií. </w:t>
      </w:r>
    </w:p>
    <w:p w:rsidR="00CC0F90" w:rsidRPr="002103FB" w:rsidRDefault="00CC0F90" w:rsidP="00CC0F90">
      <w:pPr>
        <w:spacing w:before="240"/>
      </w:pPr>
      <w:r w:rsidRPr="00803A4B">
        <w:lastRenderedPageBreak/>
        <w:t>Navrhovaná úprava specifikuje otevřená a nediskriminační kritéria jejich minimálním výčtem a výslovně uvádí, že provozovatel kolektivního systému přijme nabídku vybranou v souladu s podmínkami soutěže jako nejvhodnější. Pokud by v podmínkách soutěže nebyla definována kritéria a stanoven způsob výběru nabídky, pak by ani vyhlašovatel nebyl nijak omezen a mohl by vybrat jakoukoli nabídku, která mu nejlépe vyhovuje. Zdůrazňují se kvalitativní požadavky na zpracování, nicméně nabídková cena se má stát hlavním hodnotícím kritériem. Lze předpokládat, že převažující akcent na ekonomickou výhodnost nabídky přispěje k propracovanému a odůvodněnému sestavení kvalitativních požadavků na zpracování výrobků s ukončenou životností. V požadavku převažující ekonomické výhodnosti nabídky a v následném informování o průměrné ceně zpracování za uplynulý kalendářní rok se projevuje zájem na co největší možné srovnatelnosti s</w:t>
      </w:r>
      <w:r>
        <w:t> prvním uvedeným</w:t>
      </w:r>
      <w:r w:rsidRPr="00803A4B">
        <w:t xml:space="preserve"> způsobem zajištění zpracování zpětně odebíraných výrobků s ukončenou životností (tj. obchodování prostřednictvím komoditní burzy). Po ukončení každé veřejné soutěže o nejvhodnější nabídku se z důvodu zájmu na transparentnosti požaduje do 30 dnů od uzavření smlouvy s vítězným zpracovatelem zpětné doložení procesu výběru formou zprávy o posouzení a hodnocení podaných nabídek.  Lze očekávat přínos pro kolektivní systémy díky prosoutěžnímu prostředí při nabízení výrobků s ukončenou životností a zároveň i možnosti</w:t>
      </w:r>
      <w:r>
        <w:t xml:space="preserve"> snížení příspěvků n</w:t>
      </w:r>
      <w:r w:rsidRPr="00803A4B">
        <w:t>a zpracování zpětně odebraných výrobků s ukončenou životností</w:t>
      </w:r>
      <w:r>
        <w:t xml:space="preserve">. </w:t>
      </w:r>
    </w:p>
    <w:p w:rsidR="00CC0F90" w:rsidRPr="002103FB" w:rsidRDefault="00CC0F90" w:rsidP="00CC0F90">
      <w:pPr>
        <w:spacing w:before="240"/>
        <w:rPr>
          <w:b/>
        </w:rPr>
      </w:pPr>
      <w:r w:rsidRPr="002103FB">
        <w:rPr>
          <w:b/>
        </w:rPr>
        <w:t>K § 5</w:t>
      </w:r>
      <w:r>
        <w:rPr>
          <w:b/>
        </w:rPr>
        <w:t>4</w:t>
      </w:r>
    </w:p>
    <w:p w:rsidR="00CC0F90" w:rsidRPr="002103FB" w:rsidRDefault="00CC0F90" w:rsidP="00CC0F90">
      <w:pPr>
        <w:spacing w:before="240"/>
      </w:pPr>
      <w:r w:rsidRPr="002103FB">
        <w:t xml:space="preserve">Jedním z hlavních cílů </w:t>
      </w:r>
      <w:r>
        <w:t xml:space="preserve">navrhovaného </w:t>
      </w:r>
      <w:r w:rsidRPr="002103FB">
        <w:t xml:space="preserve">zákona je zvyšování míry třídění odpadů z vybraných výrobků. Nezbytným předpokladem fungování všech systémů </w:t>
      </w:r>
      <w:r>
        <w:t>zpětného odběru</w:t>
      </w:r>
      <w:r w:rsidRPr="002103FB">
        <w:t xml:space="preserve"> jsou však samotní </w:t>
      </w:r>
      <w:r>
        <w:t>koneční uživatelé</w:t>
      </w:r>
      <w:r w:rsidRPr="002103FB">
        <w:t xml:space="preserve">, </w:t>
      </w:r>
      <w:r>
        <w:t xml:space="preserve">pro </w:t>
      </w:r>
      <w:r w:rsidRPr="002103FB">
        <w:t>kter</w:t>
      </w:r>
      <w:r>
        <w:t>é</w:t>
      </w:r>
      <w:r w:rsidRPr="002103FB">
        <w:t xml:space="preserve"> musí být vytvořena dostupná sběrná síť pro </w:t>
      </w:r>
      <w:r>
        <w:t>odevzdávání výrobků s ukončenou životností</w:t>
      </w:r>
      <w:r w:rsidRPr="002103FB">
        <w:t xml:space="preserve">, a v neposlední řadě je nutné jejich participaci na využívání sběrné infrastruktury podpořit vhodnými informačními a osvětovými aktivitami. V současné době v České republice působí v oblasti elektrozařízení </w:t>
      </w:r>
      <w:r>
        <w:t>sedm</w:t>
      </w:r>
      <w:r w:rsidRPr="002103FB">
        <w:t xml:space="preserve"> kolektivních systémů, které se zabývají zpětným odběrem elektrozařízení (vyjma kolektivních systémů, jejichž činnost se týká výhradně solárních panelů), v oblasti baterií a akumulátorů dva kolektivní systémy. Pokud každý z těchto systémů vytváří a obhospodařuje sběrnou síť pro </w:t>
      </w:r>
      <w:r>
        <w:t>výrobky s ukončenou životností</w:t>
      </w:r>
      <w:r w:rsidRPr="002103FB">
        <w:t xml:space="preserve"> samostatně, dochází </w:t>
      </w:r>
      <w:r w:rsidRPr="00865960">
        <w:rPr>
          <w:i/>
        </w:rPr>
        <w:t>de facto</w:t>
      </w:r>
      <w:r w:rsidRPr="002103FB">
        <w:t xml:space="preserve"> k neefektivnímu vynakládání prostředků, nehledě ke skutečnosti, že v řadě případů může být existence více sběrných sítí matoucí</w:t>
      </w:r>
      <w:r>
        <w:t xml:space="preserve"> pro konečné uživatele</w:t>
      </w:r>
      <w:r w:rsidRPr="002103FB">
        <w:t xml:space="preserve"> (odlišné barevné provedení kontejnerů, obdobná sběrná místa nemusí přijímat identické skupiny </w:t>
      </w:r>
      <w:r>
        <w:t>výrobků s ukončenou životností</w:t>
      </w:r>
      <w:r w:rsidRPr="002103FB">
        <w:t xml:space="preserve"> apod.)  </w:t>
      </w:r>
    </w:p>
    <w:p w:rsidR="00CC0F90" w:rsidRPr="002103FB" w:rsidRDefault="00CC0F90" w:rsidP="00CC0F90">
      <w:pPr>
        <w:spacing w:before="240"/>
      </w:pPr>
      <w:r w:rsidRPr="002103FB">
        <w:t xml:space="preserve">Z tohoto důvodu je žádoucí, aby kolektivní systémy mohly v určitých oblastech svých činností vzájemně spolupracovat. </w:t>
      </w:r>
      <w:r>
        <w:t> Na základě</w:t>
      </w:r>
      <w:r w:rsidRPr="002103FB">
        <w:t xml:space="preserve"> vzájemné spolupráce kolektivních systémů zde existuje </w:t>
      </w:r>
      <w:r>
        <w:t>potenciál</w:t>
      </w:r>
      <w:r w:rsidRPr="002103FB">
        <w:t xml:space="preserve"> snížení nákladů na celý systém</w:t>
      </w:r>
      <w:r>
        <w:t xml:space="preserve"> (míněno v rámci ČR)</w:t>
      </w:r>
      <w:r w:rsidRPr="002103FB">
        <w:t xml:space="preserve"> zajištění </w:t>
      </w:r>
      <w:r>
        <w:t xml:space="preserve">zpětného odběru vyplývající z </w:t>
      </w:r>
      <w:r w:rsidRPr="002103FB">
        <w:t>rozšířené odpovědnosti výrobce. Snížení nákladů se pak musí pozitivně promítnout jak v potenciálním navýšení úrovně zpětného odběru a odděleného sběru, tak i ve formě nižších příspěvků</w:t>
      </w:r>
      <w:r>
        <w:t xml:space="preserve"> výrobců</w:t>
      </w:r>
      <w:r w:rsidRPr="002103FB">
        <w:t xml:space="preserve">. </w:t>
      </w:r>
    </w:p>
    <w:p w:rsidR="00CC0F90" w:rsidRDefault="00CC0F90" w:rsidP="00CC0F90">
      <w:pPr>
        <w:spacing w:before="240"/>
      </w:pPr>
      <w:r w:rsidRPr="002103FB">
        <w:t xml:space="preserve">Vzhledem ke skutečnosti, že spolupráce mezi kolektivními systémy se může významně dotýkat celého systému zajišťování </w:t>
      </w:r>
      <w:r>
        <w:t xml:space="preserve">kolektivního plnění </w:t>
      </w:r>
      <w:r w:rsidRPr="002103FB">
        <w:t xml:space="preserve">povinností výrobců a může se </w:t>
      </w:r>
      <w:r>
        <w:t>týkat i </w:t>
      </w:r>
      <w:r w:rsidRPr="002103FB">
        <w:t xml:space="preserve">relevance dat, která Česká republika potřebuje </w:t>
      </w:r>
      <w:r>
        <w:t xml:space="preserve">získávat </w:t>
      </w:r>
      <w:r w:rsidRPr="002103FB">
        <w:t xml:space="preserve">v návaznosti na ohlašovací </w:t>
      </w:r>
      <w:r w:rsidRPr="002103FB">
        <w:lastRenderedPageBreak/>
        <w:t>povinnosti vyplývající z </w:t>
      </w:r>
      <w:r>
        <w:t>předpisů Evropské unie</w:t>
      </w:r>
      <w:r w:rsidRPr="002103FB">
        <w:t xml:space="preserve">, je nezbytné, aby </w:t>
      </w:r>
      <w:r>
        <w:t>m</w:t>
      </w:r>
      <w:r w:rsidRPr="002103FB">
        <w:t>inisterstvo vydávalo k </w:t>
      </w:r>
      <w:r>
        <w:t>dohodám o</w:t>
      </w:r>
      <w:r w:rsidRPr="002103FB">
        <w:t xml:space="preserve"> spoluprác</w:t>
      </w:r>
      <w:r>
        <w:t>i</w:t>
      </w:r>
      <w:r w:rsidRPr="002103FB">
        <w:t xml:space="preserve"> </w:t>
      </w:r>
      <w:r>
        <w:t xml:space="preserve">mezi </w:t>
      </w:r>
      <w:r w:rsidRPr="002103FB">
        <w:t>kolektivní</w:t>
      </w:r>
      <w:r>
        <w:t>mi</w:t>
      </w:r>
      <w:r w:rsidRPr="002103FB">
        <w:t xml:space="preserve"> systém</w:t>
      </w:r>
      <w:r>
        <w:t>y</w:t>
      </w:r>
      <w:r w:rsidRPr="002103FB">
        <w:t xml:space="preserve"> </w:t>
      </w:r>
      <w:r>
        <w:t xml:space="preserve">předchozí </w:t>
      </w:r>
      <w:r w:rsidRPr="002103FB">
        <w:t>souhlas.</w:t>
      </w:r>
    </w:p>
    <w:p w:rsidR="00CC0F90" w:rsidRPr="00E35309" w:rsidRDefault="00CC0F90" w:rsidP="00CC0F90">
      <w:pPr>
        <w:spacing w:before="240"/>
      </w:pPr>
      <w:r w:rsidRPr="00E35309">
        <w:t xml:space="preserve">Spolupráce provozovatelů kolektivních systémů může spočívat ve společném sdílení míst zpětného odběru, přičemž jedním z nezbytných atributů této spolupráce musí být i existence vnitřních podmínek evidence, na jejímž základě si spolupracující kolektivní systémy budou rozdělovat množství zpětně odebraných výrobků s ukončenou životností pro účely plnění cílů pro zpětný odběr. Pokud kolektivní systémy provozují sběrné sítě samostatně, může nastat situace, </w:t>
      </w:r>
      <w:r>
        <w:t>kdy</w:t>
      </w:r>
      <w:r w:rsidRPr="00E35309">
        <w:t xml:space="preserve"> kolektivní systém, který zpětně odebral větší množství </w:t>
      </w:r>
      <w:r>
        <w:t>výrobků s ukončenou životností</w:t>
      </w:r>
      <w:r w:rsidRPr="00E35309">
        <w:t xml:space="preserve"> nad rámec svých potřeb pro splnění zákonného cíle, poskytne (převede, resp. prodá) určité množství </w:t>
      </w:r>
      <w:r>
        <w:t>těchto</w:t>
      </w:r>
      <w:r w:rsidRPr="00E35309">
        <w:t xml:space="preserve"> výrobků</w:t>
      </w:r>
      <w:r>
        <w:t xml:space="preserve"> (bez jejich fyzického předání)</w:t>
      </w:r>
      <w:r w:rsidRPr="00E35309">
        <w:t xml:space="preserve"> jinému kolektivnímu systému, který pak toto množství vykáže v rámci roční zprávy. Tato spolupráce </w:t>
      </w:r>
      <w:r>
        <w:t xml:space="preserve">však </w:t>
      </w:r>
      <w:r w:rsidRPr="00E35309">
        <w:t xml:space="preserve">může fungovat i způsobem, kdy určitý kolektivní systém </w:t>
      </w:r>
      <w:r>
        <w:t xml:space="preserve">fyzicky </w:t>
      </w:r>
      <w:r w:rsidRPr="00E35309">
        <w:t>předá část zpětně odebraných výrobků</w:t>
      </w:r>
      <w:r w:rsidRPr="0019183E">
        <w:t xml:space="preserve"> </w:t>
      </w:r>
      <w:r w:rsidRPr="00E35309">
        <w:t>s ukončenou životností jinému kolektivnímu systému, který má následně zajistit jejich zpracování, přičemž zároveň mezi kolektivními systémy dojde k určitému finančnímu vyrovnání („clearingu“), a to na základě toho, že kolektivní systém, který výrobky</w:t>
      </w:r>
      <w:r>
        <w:t xml:space="preserve"> </w:t>
      </w:r>
      <w:r w:rsidRPr="00E35309">
        <w:t xml:space="preserve">s ukončenou životností zpětně odebral, musel na tuto činnost vynaložit určité náklady, které by měl požadovat po systému, kterému </w:t>
      </w:r>
      <w:r>
        <w:t>tyto</w:t>
      </w:r>
      <w:r w:rsidRPr="00E35309">
        <w:t xml:space="preserve"> výrobky předává. </w:t>
      </w:r>
    </w:p>
    <w:p w:rsidR="00CC0F90" w:rsidRPr="00E35309" w:rsidRDefault="00CC0F90" w:rsidP="00CC0F90">
      <w:pPr>
        <w:spacing w:before="240"/>
      </w:pPr>
      <w:r>
        <w:t>V</w:t>
      </w:r>
      <w:r w:rsidRPr="00E35309">
        <w:t>zájemné sdílení míst zpětného odběru mezí více kolektivními systémy přináší riziko možného duplicitního vykazování zpětně odebraných výrobků. Jde o situaci, kdy místo zpětného odběru, které je sdíleno např. dvěma kolektivními systémy, zpětně odebere určité množství výrobků s ukončenou životností, přičemž toto množství si následně vykáží oba kolektivní systémy do své evidence jako zpětně odebrané výrobky s ukončenou životností. Tímto nelegálním jednáním, by oba kolektivní systémy získávaly na trhu konkurenční výhodu, oproti ostatním kolektivním systémům. Za účelem minimalizace rizika takové</w:t>
      </w:r>
      <w:r>
        <w:t>ho</w:t>
      </w:r>
      <w:r w:rsidRPr="00E35309">
        <w:t xml:space="preserve"> </w:t>
      </w:r>
      <w:r>
        <w:t>jednání</w:t>
      </w:r>
      <w:r w:rsidRPr="00E35309">
        <w:t xml:space="preserve"> je navrhováno, že součástí souhlasu k uzavření dohody o sdílení sběrné sítě mohou být podmínky nezbytné pro řádné vedení evidencí a provádění auditů. Samotné audity by pak byly realizovány ze strany koordinačního centra, a nikoliv pouze ze strany dvou spolupracujících kolektivních systémů. </w:t>
      </w:r>
      <w:r>
        <w:t xml:space="preserve">Obdobné riziko ovšem existuje i v případě převodu určitého množství </w:t>
      </w:r>
      <w:r w:rsidRPr="00833684">
        <w:t xml:space="preserve">zpětně odebraných </w:t>
      </w:r>
      <w:r w:rsidRPr="00833684">
        <w:rPr>
          <w:bCs/>
        </w:rPr>
        <w:t xml:space="preserve">výrobků </w:t>
      </w:r>
      <w:r w:rsidRPr="00833684">
        <w:t>s ukončenou životností</w:t>
      </w:r>
      <w:r>
        <w:t>, při kterém dochází k jejich fyzickému předání, proto má možnost stanovení uvedených podmínek opodstatnění i zde.</w:t>
      </w:r>
    </w:p>
    <w:p w:rsidR="00CC0F90" w:rsidRDefault="00CC0F90" w:rsidP="00CC0F90">
      <w:pPr>
        <w:spacing w:before="240"/>
        <w:rPr>
          <w:b/>
        </w:rPr>
      </w:pPr>
      <w:r w:rsidRPr="009E4E8A">
        <w:rPr>
          <w:b/>
        </w:rPr>
        <w:t>K § 5</w:t>
      </w:r>
      <w:r>
        <w:rPr>
          <w:b/>
        </w:rPr>
        <w:t>5 až 57</w:t>
      </w:r>
    </w:p>
    <w:p w:rsidR="00CC0F90" w:rsidRDefault="00CC0F90" w:rsidP="00CC0F90">
      <w:pPr>
        <w:spacing w:before="240"/>
      </w:pPr>
      <w:r>
        <w:t>Ustanovení o povinnostech p</w:t>
      </w:r>
      <w:r w:rsidRPr="002B0A16">
        <w:t>rovozovatel</w:t>
      </w:r>
      <w:r>
        <w:t>e</w:t>
      </w:r>
      <w:r w:rsidRPr="002B0A16">
        <w:t xml:space="preserve"> kolektivního systému</w:t>
      </w:r>
      <w:r>
        <w:t xml:space="preserve"> vést evidence jsou koncipována obdobně jako v případě výrobců (§ 26), neboť provozovatel kolektivního systému v podstatě plní evidenční povinnosti za výrobce, kteří s ním uzavřeli smlouvu </w:t>
      </w:r>
      <w:r w:rsidRPr="002326C2">
        <w:t>o</w:t>
      </w:r>
      <w:r>
        <w:t> </w:t>
      </w:r>
      <w:r w:rsidRPr="002326C2">
        <w:t>kolektivním</w:t>
      </w:r>
      <w:r>
        <w:t xml:space="preserve"> plnění. Evidence množství vybraných výrobků uvedených na trh výrobci a evidence </w:t>
      </w:r>
      <w:r w:rsidRPr="0051129F">
        <w:rPr>
          <w:bCs/>
        </w:rPr>
        <w:t xml:space="preserve">toku zpětně odebraných výrobků </w:t>
      </w:r>
      <w:r w:rsidRPr="0051129F">
        <w:t>s ukončenou životností</w:t>
      </w:r>
      <w:r w:rsidRPr="0051129F">
        <w:rPr>
          <w:bCs/>
        </w:rPr>
        <w:t xml:space="preserve"> od místa zpětného odběru až po jejich konečné využití, včetně přípravy k opětovnému použití, nebo odstranění</w:t>
      </w:r>
      <w:r>
        <w:t xml:space="preserve"> jsou tedy vedeny souhrnně v rámci kolektivního plnění za všechny výrobce. Provozovatel kolektivního systému dále vede nejen evidenci osob, které pro něj zajišťují </w:t>
      </w:r>
      <w:r w:rsidRPr="00A36408">
        <w:t xml:space="preserve">zpětný odběr, svoz, zpracování </w:t>
      </w:r>
      <w:r w:rsidRPr="00A36408">
        <w:lastRenderedPageBreak/>
        <w:t>či jiné nakládání se zpětně odebranými výrobky s ukončenou životností,</w:t>
      </w:r>
      <w:r>
        <w:t xml:space="preserve"> ale také evidenci </w:t>
      </w:r>
      <w:r w:rsidRPr="0065447E">
        <w:t>výrobců, s nimiž má uzavřenou smlouvu o kolektivním plnění</w:t>
      </w:r>
      <w:r>
        <w:t xml:space="preserve">. </w:t>
      </w:r>
    </w:p>
    <w:p w:rsidR="00CC0F90" w:rsidRDefault="00CC0F90" w:rsidP="00CC0F90">
      <w:pPr>
        <w:spacing w:before="240"/>
      </w:pPr>
      <w:r>
        <w:t>Z důvodu zvýšené potřeby dohledu nad fungováním kolektivních systémů jsou stanoveny povinnosti provozovatele kolektivního systému</w:t>
      </w:r>
      <w:r w:rsidRPr="00EB6A94">
        <w:t xml:space="preserve"> údaje z</w:t>
      </w:r>
      <w:r>
        <w:t> </w:t>
      </w:r>
      <w:r w:rsidRPr="00EB6A94">
        <w:t>evidencí</w:t>
      </w:r>
      <w:r>
        <w:t xml:space="preserve"> </w:t>
      </w:r>
      <w:r w:rsidRPr="00EB6A94">
        <w:t xml:space="preserve">poskytnout ministerstvu na jeho vyžádání </w:t>
      </w:r>
      <w:r>
        <w:t xml:space="preserve">a některé z těchto údajů rovněž ministerstvu zasílat </w:t>
      </w:r>
      <w:r w:rsidRPr="00BB4BD9">
        <w:t>za každé kalendářní čtvrtletí</w:t>
      </w:r>
      <w:r>
        <w:t>.</w:t>
      </w:r>
    </w:p>
    <w:p w:rsidR="00CC0F90" w:rsidRPr="00A36408" w:rsidRDefault="00CC0F90" w:rsidP="00CC0F90">
      <w:pPr>
        <w:spacing w:before="240"/>
      </w:pPr>
      <w:r w:rsidRPr="00A36408">
        <w:t xml:space="preserve">V návaznosti na </w:t>
      </w:r>
      <w:r>
        <w:t>evidenční povinnosti a obdobně jako v případě samostatně plnících</w:t>
      </w:r>
      <w:r w:rsidRPr="00A36408">
        <w:t xml:space="preserve"> výrobc</w:t>
      </w:r>
      <w:r>
        <w:t>ů je provozovateli kolektivního systému</w:t>
      </w:r>
      <w:r w:rsidRPr="00A36408">
        <w:t xml:space="preserve"> stanovena povinnost zpracovat pravdivou a úplnou roční zprávu o plnění povinností stanovených pro zpět</w:t>
      </w:r>
      <w:r>
        <w:t>ný odběr, zpracování, využití a </w:t>
      </w:r>
      <w:r w:rsidRPr="00A36408">
        <w:t>odstranění výrobků s ukončenou životností za uplynulý</w:t>
      </w:r>
      <w:r>
        <w:t xml:space="preserve"> kalendářní rok (roční zpráva o </w:t>
      </w:r>
      <w:r w:rsidRPr="00A36408">
        <w:t xml:space="preserve">výrobcích s ukončenou životností) a tuto zprávu do 31. března zaslat ministerstvu. </w:t>
      </w:r>
    </w:p>
    <w:p w:rsidR="00CC0F90" w:rsidRDefault="00CC0F90" w:rsidP="00CC0F90">
      <w:pPr>
        <w:spacing w:before="240"/>
      </w:pPr>
      <w:r w:rsidRPr="00A36408">
        <w:t>Rozsah a způsob vedení evidencí a obsahové náležitosti a rozsah roční zprávy o výrobcích s ukončenou životností stanoví ministerstvo vyhláškou.</w:t>
      </w:r>
      <w:r w:rsidRPr="00F21028">
        <w:t xml:space="preserve"> </w:t>
      </w:r>
      <w:r>
        <w:t xml:space="preserve">Součástí </w:t>
      </w:r>
      <w:r w:rsidRPr="00A36408">
        <w:t>roční zprávy o výrobcích s ukončenou životností</w:t>
      </w:r>
      <w:r>
        <w:t xml:space="preserve"> je vždy také </w:t>
      </w:r>
      <w:r w:rsidRPr="00F21028">
        <w:t xml:space="preserve">přehled hospodaření provozovatele kolektivního systému v uplynulém kalendářním roce ve struktuře stanovené </w:t>
      </w:r>
      <w:r>
        <w:t xml:space="preserve">vyhláškou. Jestliže </w:t>
      </w:r>
      <w:r w:rsidRPr="00F21028">
        <w:t>provozovatel kolektivního systému zajišťuje plnění povinností</w:t>
      </w:r>
      <w:r>
        <w:t xml:space="preserve"> </w:t>
      </w:r>
      <w:r w:rsidRPr="00F21028">
        <w:t>provozovatelů solárních elektráren, jejichž součástí jsou solární panely uvedené na trh do dne 1. ledna 2013,</w:t>
      </w:r>
      <w:r>
        <w:t xml:space="preserve"> je s</w:t>
      </w:r>
      <w:r w:rsidRPr="00F21028">
        <w:t xml:space="preserve">oučástí roční zprávy </w:t>
      </w:r>
      <w:r>
        <w:t>také</w:t>
      </w:r>
      <w:r w:rsidRPr="00F21028">
        <w:t xml:space="preserve"> seznam těchto provozovatelů.</w:t>
      </w:r>
      <w:r>
        <w:t xml:space="preserve"> Další součásti roční zprávy stanoví navrhovaný zákon na jiných místech (např. informace o uzavřených dohodách o odchylném způsobu financování nakládání s elektrozařízením nepocházejícím z domácností).</w:t>
      </w:r>
    </w:p>
    <w:p w:rsidR="00CC0F90" w:rsidRPr="00A36408" w:rsidRDefault="00CC0F90" w:rsidP="00CC0F90">
      <w:pPr>
        <w:spacing w:before="240"/>
      </w:pPr>
      <w:r w:rsidRPr="00A36408">
        <w:t xml:space="preserve">Povinnost </w:t>
      </w:r>
      <w:r w:rsidRPr="00F21028">
        <w:t>provozovatel</w:t>
      </w:r>
      <w:r>
        <w:t>e</w:t>
      </w:r>
      <w:r w:rsidRPr="00F21028">
        <w:t xml:space="preserve"> kolektivního systému</w:t>
      </w:r>
      <w:r w:rsidRPr="00A36408">
        <w:t xml:space="preserve"> uchovávat úd</w:t>
      </w:r>
      <w:r>
        <w:t>aje z evidencí a roční zprávu o </w:t>
      </w:r>
      <w:r w:rsidRPr="00A36408">
        <w:t>výrobcích s ukončenou životností nejméně po dobu 7 let je stanovena s ohledem na potřebu kontroly splnění povinnosti dosáhnout minimální úroveň zpětného odběru, která se v případě elektrozařízení počítá z údajů za 4 kalendářní roky (daný rok a 3 předcházející roky – viz § 8</w:t>
      </w:r>
      <w:r>
        <w:t>0</w:t>
      </w:r>
      <w:r w:rsidRPr="00A36408">
        <w:t xml:space="preserve"> písm. c)), a s přihlédnutím k tříleté promlčecí době podle návrhu zákona o přestupcích.</w:t>
      </w:r>
    </w:p>
    <w:p w:rsidR="00CC0F90" w:rsidRDefault="00CC0F90" w:rsidP="00CC0F90">
      <w:pPr>
        <w:spacing w:before="240"/>
      </w:pPr>
      <w:r w:rsidRPr="00673062">
        <w:t>Údaje získané z ročních zpráv o výrobcích s ukončenou životností budou ministerstvem zveřejňovány prostřednictvím internetu, avšak pouze v podobě sumarizovaných dat odrážejících výsledky za jednotlivé kolektivní systémy nebo za celou ČR.  Nebudou zveřejňovaná data spojená s konkrétními výrobci.</w:t>
      </w:r>
    </w:p>
    <w:p w:rsidR="00CC0F90" w:rsidRPr="00DE0B6F" w:rsidRDefault="00CC0F90" w:rsidP="00CC0F90">
      <w:pPr>
        <w:spacing w:before="240"/>
        <w:rPr>
          <w:b/>
        </w:rPr>
      </w:pPr>
      <w:r w:rsidRPr="00DE0B6F">
        <w:rPr>
          <w:b/>
        </w:rPr>
        <w:t>K § 5</w:t>
      </w:r>
      <w:r>
        <w:rPr>
          <w:b/>
        </w:rPr>
        <w:t>8 a 59</w:t>
      </w:r>
    </w:p>
    <w:p w:rsidR="00CC0F90" w:rsidRDefault="00CC0F90" w:rsidP="00CC0F90">
      <w:pPr>
        <w:spacing w:before="240"/>
      </w:pPr>
      <w:r>
        <w:t xml:space="preserve">Provozovatel kolektivního systému je povinen provádět každoročně audity za účelem ověření, zda řádně hospodaří a zda jsou vykazovány správné a úplné údaje o vybraných výrobcích uvedených na trh a zpětně odebraných výrobcích s ukončenou životností. Jde jednak o standardní účetní audit spočívající v ověření účetní závěrky a výroční zprávy provozovatele kolektivního systému a dále o ověření správnosti a úplnosti vedení evidencí podle § 55 odst. 1 písm. a) až c). </w:t>
      </w:r>
      <w:r w:rsidRPr="00893FB6">
        <w:t xml:space="preserve">Dále je ověřována správnost a úplnost vedení evidence množství zpětně odebraných výrobků s ukončenou životností, tedy nikoliv evidence celého toku zpětně odebraných výrobků s ukončenou životností, což by bylo obtížně realizovatelné (namísto toho </w:t>
      </w:r>
      <w:r w:rsidRPr="00893FB6">
        <w:lastRenderedPageBreak/>
        <w:t>jsou prováděny tzv. „vnější audity“, viz dále).</w:t>
      </w:r>
      <w:r>
        <w:t xml:space="preserve"> Za účelem kontroly splnění podmínky stanovené v § 42 odst. 5 je rovněž třeba zvlášť ověřit množství vybraných výrobků, které uvedli na trh v uplynulém kalendářním roce společníci provozovatele kolektivního systému. </w:t>
      </w:r>
    </w:p>
    <w:p w:rsidR="00CC0F90" w:rsidRDefault="00CC0F90" w:rsidP="00CC0F90">
      <w:pPr>
        <w:spacing w:before="240"/>
      </w:pPr>
      <w:r>
        <w:t xml:space="preserve">Nezbytným předpokladem k získání relevantních a navzájem srovnatelných dat je však vedle realizace shora uvedených „vnitřních auditů“ provozovatele kolektivního systému také provádění „vnějších auditů“ podle § 58 odst. 2 u výrobců a dalších smluvních partnerů provozovatele kolektivního systému. </w:t>
      </w:r>
      <w:r w:rsidRPr="006B2583">
        <w:t>Provozovatel kolektivního systému je povinen zajistit</w:t>
      </w:r>
      <w:r>
        <w:t xml:space="preserve"> ověření údajů o množství vybraných výrobků, které výrobci uvedli na trh a vykázali provozovateli kolektivního systému, a </w:t>
      </w:r>
      <w:r w:rsidRPr="00E02493">
        <w:t xml:space="preserve">údajů o </w:t>
      </w:r>
      <w:r>
        <w:t>zpětném odběru a nakládání s</w:t>
      </w:r>
      <w:r w:rsidRPr="00E02493">
        <w:t xml:space="preserve"> výrobk</w:t>
      </w:r>
      <w:r>
        <w:t>y</w:t>
      </w:r>
      <w:r w:rsidRPr="00E02493">
        <w:t xml:space="preserve"> s ukončenou životností</w:t>
      </w:r>
      <w:r>
        <w:t>, které provozovateli kolektivního systému vykázali provozovatelé jeho míst zpětného odběru, zpracovatelé či jiní smluvní partneři. Jelikož výrobců zapojených do kolektivního systému, i dalších smluvních partnerů provozovatele kolektivního systému může být poměrně mnoho, nelze požadovat každoroční provádění auditů u každého z nich. Navrhovaný zákon proto za pomoci kritéria podílu z celkového množství vybraných výrobků uvedených na trh, resp. zpětně odebraných výrobků s ukončenou životností stanoví, v jakém rozsahu mají být tyto vnější audity prováděny, aby byla zajištěna rovnováha mezi požadavkem na spolehlivost vykazovaných dat a efektivitou vynaložených nákladů na tyto audity.</w:t>
      </w:r>
    </w:p>
    <w:p w:rsidR="00CC0F90" w:rsidRDefault="00CC0F90" w:rsidP="00CC0F90">
      <w:pPr>
        <w:spacing w:before="240"/>
      </w:pPr>
      <w:r>
        <w:t xml:space="preserve">Zprávy o provedených auditech je provozovatel kolektivního systému povinen zasílat ministerstvu </w:t>
      </w:r>
      <w:r w:rsidRPr="006A7A5C">
        <w:t>nejpozději do 6 měsíců od skončení ověřovaného období</w:t>
      </w:r>
      <w:r>
        <w:t>. Jelikož v případě vnějších auditů se bude jednat o velké množství dat týkajících se jednotlivých smluvních partnerů provozovatele kolektivního systému, která ministerstvo v rámci svého dohledu standardně nepotřebuje, stanoví zákon, že ministerstvu má být zasíláno pouze závěrečné</w:t>
      </w:r>
      <w:r w:rsidRPr="00E02493">
        <w:t xml:space="preserve"> shrnutí obsahující seznam osob, u kterých bylo ověření údajů provedeno, a souhrnné výsledky ověření</w:t>
      </w:r>
      <w:r>
        <w:t xml:space="preserve">. </w:t>
      </w:r>
      <w:r w:rsidRPr="00E02493">
        <w:t xml:space="preserve">Úplnou zprávu </w:t>
      </w:r>
      <w:r>
        <w:t xml:space="preserve">o provedených vnějších auditech si </w:t>
      </w:r>
      <w:r w:rsidRPr="00E02493">
        <w:t>ministerstv</w:t>
      </w:r>
      <w:r>
        <w:t>o</w:t>
      </w:r>
      <w:r w:rsidRPr="00E02493">
        <w:t xml:space="preserve"> </w:t>
      </w:r>
      <w:r>
        <w:t>může v případě potřeby</w:t>
      </w:r>
      <w:r w:rsidRPr="00E02493">
        <w:t xml:space="preserve"> vyžád</w:t>
      </w:r>
      <w:r>
        <w:t>at</w:t>
      </w:r>
      <w:r w:rsidRPr="00E02493">
        <w:t>.</w:t>
      </w:r>
    </w:p>
    <w:p w:rsidR="00CC0F90" w:rsidRDefault="00CC0F90" w:rsidP="00CC0F90">
      <w:pPr>
        <w:spacing w:before="240"/>
      </w:pPr>
      <w:r>
        <w:t xml:space="preserve">Zákon stanovuje požadavky na auditora, který je oprávněn provádět audit pro provozovatele kolektivního systému. Musí jít o osobu, která je </w:t>
      </w:r>
      <w:r w:rsidRPr="002621A0">
        <w:t>držitelem auditorského oprávnění</w:t>
      </w:r>
      <w:r>
        <w:t xml:space="preserve"> podle zákona o auditorech a není </w:t>
      </w:r>
      <w:r w:rsidRPr="002621A0">
        <w:t>personálně nebo majetkově propojen</w:t>
      </w:r>
      <w:r>
        <w:t xml:space="preserve">a s </w:t>
      </w:r>
      <w:r w:rsidRPr="00EF6668">
        <w:t>provozovatel</w:t>
      </w:r>
      <w:r>
        <w:t>em</w:t>
      </w:r>
      <w:r w:rsidRPr="00EF6668">
        <w:t xml:space="preserve"> kolektivního systému</w:t>
      </w:r>
      <w:r>
        <w:t xml:space="preserve">, s jeho společníkem nebo s </w:t>
      </w:r>
      <w:r w:rsidRPr="002621A0">
        <w:t>osobou podnikající v oblasti nakládání s odpady</w:t>
      </w:r>
      <w:r>
        <w:t>.</w:t>
      </w:r>
    </w:p>
    <w:p w:rsidR="00CC0F90" w:rsidRPr="00DE0B6F" w:rsidRDefault="00CC0F90" w:rsidP="00BD7946">
      <w:pPr>
        <w:keepNext/>
        <w:spacing w:before="240"/>
        <w:rPr>
          <w:b/>
        </w:rPr>
      </w:pPr>
      <w:r w:rsidRPr="00DE0B6F">
        <w:rPr>
          <w:b/>
        </w:rPr>
        <w:t xml:space="preserve">K § </w:t>
      </w:r>
      <w:r>
        <w:rPr>
          <w:b/>
        </w:rPr>
        <w:t>60</w:t>
      </w:r>
    </w:p>
    <w:p w:rsidR="00CC0F90" w:rsidRDefault="00CC0F90" w:rsidP="00CC0F90">
      <w:pPr>
        <w:spacing w:before="240"/>
      </w:pPr>
      <w:r>
        <w:t xml:space="preserve">Zákon svěřuje dohled nad </w:t>
      </w:r>
      <w:r w:rsidRPr="002B0AB4">
        <w:t>činnost</w:t>
      </w:r>
      <w:r>
        <w:t>í</w:t>
      </w:r>
      <w:r w:rsidRPr="002B0AB4">
        <w:t xml:space="preserve"> provozovatele kolektivního systému ministerstv</w:t>
      </w:r>
      <w:r>
        <w:t xml:space="preserve">u. V rámci tohoto dohledu je ministerstvo oprávněno kontrolovat v omezeném rozsahu i společníky </w:t>
      </w:r>
      <w:r w:rsidRPr="00E52C41">
        <w:t>provozovatele kolektivního systému</w:t>
      </w:r>
      <w:r>
        <w:t>, neboť některé povinnosti a podmínky pro vydání oprávnění k provozování kolektivního systému stanovení zákon ve vztahu k nim.</w:t>
      </w:r>
    </w:p>
    <w:p w:rsidR="00CC0F90" w:rsidRDefault="00CC0F90" w:rsidP="00CC0F90">
      <w:pPr>
        <w:spacing w:before="240"/>
      </w:pPr>
      <w:r>
        <w:t xml:space="preserve">V současné době je problematika dohledu nad kolektivními systémy regulována značně nejednotně, kdy v oblasti elektrozařízení možnost kontroly ze strany ministerstva zcela chybí. Naopak v oblastech baterií a akumulátorů a pneumatik obsahuje stávající zákon o odpadech </w:t>
      </w:r>
      <w:r>
        <w:lastRenderedPageBreak/>
        <w:t>funkční úpravu dohledu nad kolektivními systémy vykonávaného ministerstvem, která se stala základem i pro úpravu v navrhovaném zákoně.  Ta je dále precizována a především sjednocena pro kolektivní systémy všech tří druhů vybraných výrobků podléhajících zpětnému odběru, tedy i pro elektrozařízení. Efektivní kontrola kolektivních systémů ze strany státu je s ohledem na současnou situaci v oblasti elektrozařízení zcela nezbytná.</w:t>
      </w:r>
    </w:p>
    <w:p w:rsidR="00CC0F90" w:rsidRDefault="00CC0F90" w:rsidP="00CC0F90">
      <w:pPr>
        <w:spacing w:before="240"/>
      </w:pPr>
      <w:r>
        <w:t xml:space="preserve">V případě zjištění nedostatku může ministerstvo uložit provozovateli kolektivního systému, </w:t>
      </w:r>
      <w:r w:rsidRPr="00E45A0D">
        <w:t>aby ve stanovené lhůtě zjednal nápravu,</w:t>
      </w:r>
      <w:r>
        <w:t xml:space="preserve"> nebo podat </w:t>
      </w:r>
      <w:r w:rsidRPr="00E52C41">
        <w:t xml:space="preserve">podnět </w:t>
      </w:r>
      <w:r>
        <w:t>ČIŽP</w:t>
      </w:r>
      <w:r w:rsidRPr="00E52C41">
        <w:t xml:space="preserve"> k zahájení řízení o uložení pokuty</w:t>
      </w:r>
      <w:r>
        <w:t xml:space="preserve">, případně může učinit obojí. Na rozdíl od dosavadní právní úpravy však zákon vymezuje, co se rozumí nedostatkem v činnosti provozovatele kolektivního systému, což brání ministerstvu ukládat provozovatelům kolektivních systémů nápravná opatření na základě správního uvážení při zjištění jakéhokoliv nedostatku v činnosti. Musí se tedy jednat o </w:t>
      </w:r>
      <w:r w:rsidRPr="00E52C41">
        <w:t>porušení nebo nesplnění povinnost</w:t>
      </w:r>
      <w:r>
        <w:t xml:space="preserve">í </w:t>
      </w:r>
      <w:r w:rsidRPr="00E52C41">
        <w:t>nebo nedodržení podmínek</w:t>
      </w:r>
      <w:r>
        <w:t xml:space="preserve"> stanovených provozovateli kolektivního systému (včetně kolektivně zajišťovaných povinností výrobců) nebo </w:t>
      </w:r>
      <w:r w:rsidRPr="00E52C41">
        <w:t>společníkům provozovatele kolektivního systému</w:t>
      </w:r>
      <w:r>
        <w:t xml:space="preserve">, případně o </w:t>
      </w:r>
      <w:r w:rsidRPr="00E52C41">
        <w:t>porušení podmínek stanovených v rozhodnutí o vydání oprávnění k provozování kolektivního systému</w:t>
      </w:r>
      <w:r>
        <w:t>.</w:t>
      </w:r>
    </w:p>
    <w:p w:rsidR="00CC0F90" w:rsidRDefault="00CC0F90" w:rsidP="00CC0F90">
      <w:pPr>
        <w:spacing w:before="240"/>
      </w:pPr>
      <w:r>
        <w:t xml:space="preserve">Zvlášť je upraven postup v případě, že </w:t>
      </w:r>
      <w:r w:rsidRPr="00E02493">
        <w:t xml:space="preserve">provozovatel kolektivního systému nebo </w:t>
      </w:r>
      <w:r>
        <w:t xml:space="preserve">jeho </w:t>
      </w:r>
      <w:r w:rsidRPr="00E02493">
        <w:t>společník přestal splňovat některou z podmínek</w:t>
      </w:r>
      <w:r w:rsidRPr="00BF3D9B">
        <w:t xml:space="preserve"> </w:t>
      </w:r>
      <w:r>
        <w:t xml:space="preserve">pro </w:t>
      </w:r>
      <w:r w:rsidRPr="00E52C41">
        <w:t>vydání oprávnění k provozování kolektivního systému</w:t>
      </w:r>
      <w:r>
        <w:t xml:space="preserve">. Výjimkou jsou podmínky podle </w:t>
      </w:r>
      <w:r w:rsidRPr="00E02493">
        <w:t xml:space="preserve">§ 36 odst. 2 písm. </w:t>
      </w:r>
      <w:r>
        <w:t>k</w:t>
      </w:r>
      <w:r w:rsidRPr="00E02493">
        <w:t xml:space="preserve">) až </w:t>
      </w:r>
      <w:r>
        <w:t>m</w:t>
      </w:r>
      <w:r w:rsidRPr="00E02493">
        <w:t>)</w:t>
      </w:r>
      <w:r>
        <w:t xml:space="preserve">, neboť jejich splnění je vyžadováno pouze v okamžiku vydání oprávnění, nikoliv po celou dobu jeho platnosti. V případě následného neplnění uvedených podmínek nejde o porušení povinnosti, které by bylo postižitelné pokutou za přestupek, proto připadá v úvahu pouze uložení povinnosti zjednat </w:t>
      </w:r>
      <w:r w:rsidRPr="00E02493">
        <w:t>ve stanovené lhůtě nápravu</w:t>
      </w:r>
      <w:r>
        <w:t xml:space="preserve">. </w:t>
      </w:r>
    </w:p>
    <w:p w:rsidR="00CC0F90" w:rsidRDefault="00CC0F90" w:rsidP="00CC0F90">
      <w:pPr>
        <w:spacing w:before="240"/>
      </w:pPr>
      <w:r>
        <w:t xml:space="preserve">Nezjednání nápravy ve lhůtě stanovené ministerstvem může mít za následek zrušení oprávnění </w:t>
      </w:r>
      <w:r w:rsidRPr="00E52C41">
        <w:t>k provozování kolektivního systému</w:t>
      </w:r>
      <w:r>
        <w:t xml:space="preserve">, a to jak v případě nedostatku v </w:t>
      </w:r>
      <w:r w:rsidRPr="00ED6CB4">
        <w:t>činnosti provozovatele kolektivního systému</w:t>
      </w:r>
      <w:r>
        <w:t xml:space="preserve"> (je-li kvalifikován jako </w:t>
      </w:r>
      <w:r w:rsidRPr="00E02493">
        <w:t>závažné porušení povinnosti</w:t>
      </w:r>
      <w:r>
        <w:t>), tak v případě následného neplnění podmínek pro vydání oprávnění (viz § 61).</w:t>
      </w:r>
    </w:p>
    <w:p w:rsidR="00CC0F90" w:rsidRDefault="00CC0F90" w:rsidP="00CC0F90">
      <w:pPr>
        <w:spacing w:before="240"/>
      </w:pPr>
      <w:r>
        <w:t xml:space="preserve">Specifickým nástrojem v rukou ministerstva v rámci dohledu nad činností </w:t>
      </w:r>
      <w:r w:rsidRPr="004E0236">
        <w:t>provozovatele kolektivního systému</w:t>
      </w:r>
      <w:r>
        <w:t xml:space="preserve"> je možnost </w:t>
      </w:r>
      <w:r w:rsidRPr="004E0236">
        <w:t>podat návrh soudu, aby rozhodl o neplatnosti usnesení valné hromady, jestliže má za to, že toto usnesení je v rozporu s právními předpisy nebo stanovami provozovatele kolektivního systému.</w:t>
      </w:r>
      <w:r>
        <w:t xml:space="preserve"> Tím však není vyloučena možnost standardního postupu ministerstva v případě zjištění nedostatku v </w:t>
      </w:r>
      <w:r w:rsidRPr="00ED6CB4">
        <w:t>činnosti provozovatele kolektivního systému</w:t>
      </w:r>
      <w:r>
        <w:t>.</w:t>
      </w:r>
    </w:p>
    <w:p w:rsidR="00CC0F90" w:rsidRPr="00B645E5" w:rsidRDefault="00CC0F90" w:rsidP="00BD7946">
      <w:pPr>
        <w:keepNext/>
        <w:spacing w:before="240"/>
        <w:rPr>
          <w:b/>
        </w:rPr>
      </w:pPr>
      <w:r w:rsidRPr="00B645E5">
        <w:rPr>
          <w:b/>
        </w:rPr>
        <w:t xml:space="preserve">K § </w:t>
      </w:r>
      <w:r>
        <w:rPr>
          <w:b/>
        </w:rPr>
        <w:t>61</w:t>
      </w:r>
    </w:p>
    <w:p w:rsidR="00CC0F90" w:rsidRDefault="00CC0F90" w:rsidP="00CC0F90">
      <w:pPr>
        <w:spacing w:before="240"/>
      </w:pPr>
      <w:r>
        <w:t>Současná právní úprava v zákoně o odpadech v oblastech baterií a akumulátorů a pneumatik řeší pouze dílčím způsobem ukončení činnosti kolektivního systému a zánik oprávnění k jeho provozování. Cílem navrhovaného zákona je upravit tuto problematiku komplexně.</w:t>
      </w:r>
    </w:p>
    <w:p w:rsidR="00CC0F90" w:rsidRDefault="00CC0F90" w:rsidP="00CC0F90">
      <w:pPr>
        <w:spacing w:before="240"/>
      </w:pPr>
      <w:r>
        <w:t xml:space="preserve">Jelikož zákon klade konkrétní požadavky na osobu provozovatele kolektivního systému, je oprávnění k provozování kolektivního systému vydáváno jako nepřenosné na jinou osobu (§ 38 odst. 3). Se zánikem provozovatele kolektivního systému by tedy mělo zaniknout </w:t>
      </w:r>
      <w:r>
        <w:lastRenderedPageBreak/>
        <w:t>i oprávnění k provozování kolektivního systému, neboť jeho přechod na právního nástupce zákon nepřipouští. Návrh zákona nicméně předpokládá, že o</w:t>
      </w:r>
      <w:r w:rsidRPr="000E4DE0">
        <w:t>právnění k provozování kolektivního systému zanik</w:t>
      </w:r>
      <w:r>
        <w:t>ne již</w:t>
      </w:r>
      <w:r w:rsidRPr="000E4DE0">
        <w:t xml:space="preserve"> dnem</w:t>
      </w:r>
      <w:r>
        <w:t xml:space="preserve"> zrušení </w:t>
      </w:r>
      <w:r w:rsidRPr="000E4DE0">
        <w:t>provozovatele kolektivního systému</w:t>
      </w:r>
      <w:r>
        <w:t xml:space="preserve"> (§ 168 a násl. občanského zákoníku), případně </w:t>
      </w:r>
      <w:r w:rsidRPr="000E4DE0">
        <w:t>prohlášení</w:t>
      </w:r>
      <w:r>
        <w:t>m</w:t>
      </w:r>
      <w:r w:rsidRPr="000E4DE0">
        <w:t xml:space="preserve"> </w:t>
      </w:r>
      <w:r>
        <w:t xml:space="preserve">příslušné </w:t>
      </w:r>
      <w:r w:rsidRPr="000E4DE0">
        <w:t>právnické osoby za neplatnou</w:t>
      </w:r>
      <w:r>
        <w:t xml:space="preserve"> (§ 129 občanského zákoníku), neboť v době mezi zrušením právnické osoby, resp. jejím prohlášením za neplatnou a jejím konečným zánikem by již nemělo být zajišťováno kolektivní plnění povinností výrobců, ale měly by být ze strany zanikajícího provozovatele kolektivního systému učiněny pouze kroky spojené s ukončením provozu kolektivního systému (zejména převedení peněžních prostředků na kolektivní plnění povinností podle § 62). O</w:t>
      </w:r>
      <w:r w:rsidRPr="000E4DE0">
        <w:t>právnění k provozování kolektivního systému zanik</w:t>
      </w:r>
      <w:r>
        <w:t>ne i tehdy, jestliže provozovatel</w:t>
      </w:r>
      <w:r w:rsidRPr="0046493B">
        <w:t xml:space="preserve"> kolektivního systému</w:t>
      </w:r>
      <w:r>
        <w:t xml:space="preserve"> podstoupí </w:t>
      </w:r>
      <w:r w:rsidRPr="0046493B">
        <w:t>fúz</w:t>
      </w:r>
      <w:r>
        <w:t xml:space="preserve">i nebo rozdělení, </w:t>
      </w:r>
      <w:r w:rsidRPr="0046493B">
        <w:t>při nichž nedochází k jeho zrušení,</w:t>
      </w:r>
      <w:r>
        <w:t xml:space="preserve"> avšak k této přeměně nebyl M</w:t>
      </w:r>
      <w:r w:rsidRPr="0046493B">
        <w:t>inisterstv</w:t>
      </w:r>
      <w:r>
        <w:t>em životního prostředí</w:t>
      </w:r>
      <w:r w:rsidRPr="0046493B">
        <w:t xml:space="preserve"> po projednání s Ministerstvem průmyslu a obchodu</w:t>
      </w:r>
      <w:r>
        <w:t xml:space="preserve"> udělen </w:t>
      </w:r>
      <w:r w:rsidRPr="0046493B">
        <w:t>předchozí souhlas</w:t>
      </w:r>
      <w:r>
        <w:t>.</w:t>
      </w:r>
    </w:p>
    <w:p w:rsidR="00CC0F90" w:rsidRDefault="00CC0F90" w:rsidP="00CC0F90">
      <w:pPr>
        <w:spacing w:before="240"/>
      </w:pPr>
      <w:r>
        <w:t>O</w:t>
      </w:r>
      <w:r w:rsidRPr="000E4DE0">
        <w:t xml:space="preserve">právnění k provozování kolektivního systému </w:t>
      </w:r>
      <w:r>
        <w:t xml:space="preserve">dále </w:t>
      </w:r>
      <w:r w:rsidRPr="000E4DE0">
        <w:t>zanik</w:t>
      </w:r>
      <w:r>
        <w:t>ne rozhodnutím M</w:t>
      </w:r>
      <w:r w:rsidRPr="0046493B">
        <w:t>inisterstv</w:t>
      </w:r>
      <w:r>
        <w:t>a životního prostředí</w:t>
      </w:r>
      <w:r w:rsidRPr="0046493B">
        <w:t xml:space="preserve"> po projednání s Ministerstvem</w:t>
      </w:r>
      <w:r w:rsidRPr="00EE2094">
        <w:t xml:space="preserve"> </w:t>
      </w:r>
      <w:r w:rsidRPr="0046493B">
        <w:t>průmyslu a obchodu</w:t>
      </w:r>
      <w:r>
        <w:t>. Na rozdíl od stávající právní úpravy v zákoně o odpadech však navrhovaný zákon v případě tohoto krajního opatření s dopady na plnění povinností mnoha výrobců</w:t>
      </w:r>
      <w:r w:rsidRPr="00911914">
        <w:t xml:space="preserve"> </w:t>
      </w:r>
      <w:r>
        <w:t xml:space="preserve">nepřipouští správní uvážení, pokud jde o zrušení oprávnění </w:t>
      </w:r>
      <w:r w:rsidRPr="000E4DE0">
        <w:t>k provozování kolektivního systému</w:t>
      </w:r>
      <w:r>
        <w:t xml:space="preserve">, nebo jeho ponechání v platnosti. Nově bude muset ministerstvo oprávnění </w:t>
      </w:r>
      <w:r w:rsidRPr="000E4DE0">
        <w:t>k provozování kolektivního systému</w:t>
      </w:r>
      <w:r>
        <w:t xml:space="preserve"> vždy zrušit, nastane-li některý ze zákonem stanovených důvodů. Na druhou stranu důvodem k jeho zrušení již nebude porušení jakékoliv povinnosti stanovené tímto zákonem, ale pouze takové porušení, které je možno považovat za </w:t>
      </w:r>
      <w:r w:rsidRPr="00E02493">
        <w:t>závažné</w:t>
      </w:r>
      <w:r>
        <w:t>. Zákon pro tento účel stanoví způsob, jak má být posuzováno, zda jde o závažné porušení povinnosti, přičemž dále formou demonstrativního výčtu uvádí některá porušení povinností, která by měla být považována za závažná v uvedeném smyslu. Dalšími důvody ke zrušení o</w:t>
      </w:r>
      <w:r w:rsidRPr="000E4DE0">
        <w:t>právnění k provozování kolektivního systému</w:t>
      </w:r>
      <w:r>
        <w:t xml:space="preserve"> jsou uvedení </w:t>
      </w:r>
      <w:r w:rsidRPr="00BA7838">
        <w:t>nepravdivých údajů v</w:t>
      </w:r>
      <w:r>
        <w:t> </w:t>
      </w:r>
      <w:r w:rsidRPr="00BA7838">
        <w:t>žádosti</w:t>
      </w:r>
      <w:r>
        <w:t xml:space="preserve"> o jeho vydání nebo v </w:t>
      </w:r>
      <w:r w:rsidRPr="00BA7838">
        <w:t>dokladech připojených k</w:t>
      </w:r>
      <w:r>
        <w:t> </w:t>
      </w:r>
      <w:r w:rsidRPr="00BA7838">
        <w:t>žádosti</w:t>
      </w:r>
      <w:r>
        <w:t xml:space="preserve"> a také následného neplnění podmínek pro jeho vydání. Kromě zrušení oprávnění z důvodu uvedení </w:t>
      </w:r>
      <w:r w:rsidRPr="00BA7838">
        <w:t>nepravdivých údajů</w:t>
      </w:r>
      <w:r>
        <w:t xml:space="preserve"> při podání </w:t>
      </w:r>
      <w:r w:rsidRPr="00BA7838">
        <w:t>žádosti</w:t>
      </w:r>
      <w:r>
        <w:t xml:space="preserve"> o jeho vydání je vždy podmínkou zrušení oprávnění skutečnost, že </w:t>
      </w:r>
      <w:r w:rsidRPr="002F1EBA">
        <w:t xml:space="preserve">provozovatel kolektivního systému nezjednal </w:t>
      </w:r>
      <w:r>
        <w:t xml:space="preserve">nápravu </w:t>
      </w:r>
      <w:r w:rsidRPr="002F1EBA">
        <w:t>ve stanovené lhůtě nápravu, která mu byla před tím uložena</w:t>
      </w:r>
      <w:r>
        <w:t xml:space="preserve">. Zrušení oprávnění </w:t>
      </w:r>
      <w:r w:rsidRPr="000E4DE0">
        <w:t>k provozování kolektivního systému</w:t>
      </w:r>
      <w:r>
        <w:t xml:space="preserve"> je tedy třeba považovat skutečně až za poslední prostředek k vynucení plnění povinností a podmínek stanovených zákonem pro provozování kolektivního systému s tím, že provozovatel kolektivního systému by před tím měl mít vždy možnost závadný stav napravit.</w:t>
      </w:r>
    </w:p>
    <w:p w:rsidR="00CC0F90" w:rsidRDefault="00CC0F90" w:rsidP="00CC0F90">
      <w:pPr>
        <w:spacing w:before="240"/>
      </w:pPr>
      <w:r>
        <w:t xml:space="preserve">Odstavec 5 se týká ukončení činnosti kolektivního systému z rozhodnutí jeho provozovatele. K tomu je zapotřebí zrušení oprávnění k provozování kolektivního systému na základě oznámení provozovatele, který musí ministerstvu doložit, že </w:t>
      </w:r>
      <w:r w:rsidRPr="00AD5200">
        <w:t>o zamýšleném ukončení činnosti informoval nejméně 6 měsíců předem výrobce, s nimiž uzavřel smlouvu o kolektivním plnění,</w:t>
      </w:r>
      <w:r>
        <w:t xml:space="preserve"> a další smluvní partnery – především obce a zpracovatele. Po zrušení oprávnění k provozování kolektivního systému musí ještě provozovatel kolektivního systému učinit kroky podle § 62.</w:t>
      </w:r>
    </w:p>
    <w:p w:rsidR="00CC0F90" w:rsidRDefault="00CC0F90" w:rsidP="00CC0F90">
      <w:pPr>
        <w:spacing w:before="240"/>
      </w:pPr>
      <w:r>
        <w:lastRenderedPageBreak/>
        <w:t>Ze stejných důvodů jako v případě řízení ve věcech vydání, změn nebo zrušení o</w:t>
      </w:r>
      <w:r w:rsidRPr="00B57D10">
        <w:t>právnění k provozování kolektivního systému</w:t>
      </w:r>
      <w:r>
        <w:t xml:space="preserve"> zákon stanoví, že ú</w:t>
      </w:r>
      <w:r w:rsidRPr="00AD5200">
        <w:t>častníkem řízení o zrušení oprávnění je pouze provozovatel kolektivního systému.</w:t>
      </w:r>
    </w:p>
    <w:p w:rsidR="00CC0F90" w:rsidRPr="00B645E5" w:rsidRDefault="00CC0F90" w:rsidP="00BD7946">
      <w:pPr>
        <w:keepNext/>
        <w:spacing w:before="240"/>
        <w:rPr>
          <w:b/>
        </w:rPr>
      </w:pPr>
      <w:r>
        <w:rPr>
          <w:b/>
        </w:rPr>
        <w:t>K § 62</w:t>
      </w:r>
    </w:p>
    <w:p w:rsidR="00CC0F90" w:rsidRDefault="00CC0F90" w:rsidP="00CC0F90">
      <w:pPr>
        <w:spacing w:before="240"/>
      </w:pPr>
      <w:r>
        <w:t xml:space="preserve">Dosavadní právní úprava neřeší, jak má být naloženo s peněžními prostředky </w:t>
      </w:r>
      <w:r w:rsidRPr="001615D4">
        <w:t>získan</w:t>
      </w:r>
      <w:r>
        <w:t>ými</w:t>
      </w:r>
      <w:r w:rsidRPr="001615D4">
        <w:t xml:space="preserve"> z příspěvků výrobců</w:t>
      </w:r>
      <w:r>
        <w:t xml:space="preserve"> v případě ukončení činnosti kolektivního systému. V těchto případech zpravidla jsou na trhu vybrané výrobky, pro které provozovatel kolektivního systému dosud nezajistil za výrobce splnění povinností zpětného odběru a zpracování. Jsou-li proto v kolektivním systému v okamžiku ukončení jeho činnosti peněžní prostředky </w:t>
      </w:r>
      <w:r w:rsidRPr="001615D4">
        <w:t>získan</w:t>
      </w:r>
      <w:r>
        <w:t>é</w:t>
      </w:r>
      <w:r w:rsidRPr="001615D4">
        <w:t xml:space="preserve"> z příspěvků výrobců</w:t>
      </w:r>
      <w:r>
        <w:t>, neměly by zůstat bývalému provozovateli kolektivního systému nebo se v případě jeho zániku stát majetkem jeho právního nástupce nebo součástí likvidačního zůstatku, který se rozděluje mezi společníky. Zákon ostatně v § 47 odst. 3 vylučuje tyto peněžní prostředky z majetkové podstaty provozovatele kolektivního systému.</w:t>
      </w:r>
    </w:p>
    <w:p w:rsidR="00CC0F90" w:rsidRDefault="00CC0F90" w:rsidP="00CC0F90">
      <w:pPr>
        <w:spacing w:before="240"/>
      </w:pPr>
      <w:r>
        <w:t xml:space="preserve">Navrhovaná právní úprava v § 62 vychází z teze, že při zániku oprávnění k provozování kolektivního systému (ať už k němu dochází z jakéhokoliv důvodu podle § 61 odst. 1) musí být s dosud nevyužitými peněžními prostředky </w:t>
      </w:r>
      <w:r w:rsidRPr="001615D4">
        <w:t>získan</w:t>
      </w:r>
      <w:r>
        <w:t>ými</w:t>
      </w:r>
      <w:r w:rsidRPr="001615D4">
        <w:t xml:space="preserve"> z příspěvků výrobců</w:t>
      </w:r>
      <w:r>
        <w:t xml:space="preserve"> včetně výnosů z nich naloženo tak, aby i nadále sloužily účelu, pro který byly vybrány, tj. k zajištění splnění povinností výrobců ve vztahu k vybraným výrobkům, které uvedli na trh. Za tím účelem je navrhováno řešení, že tyto peněžní prostředky je povinna právnická osoba, </w:t>
      </w:r>
      <w:r w:rsidRPr="001615D4">
        <w:t>její</w:t>
      </w:r>
      <w:r>
        <w:t>ž oprávnění k </w:t>
      </w:r>
      <w:r w:rsidRPr="001615D4">
        <w:t>provozování kolektivního systému zaniklo</w:t>
      </w:r>
      <w:r>
        <w:t xml:space="preserve">, převést ve lhůtě </w:t>
      </w:r>
      <w:r w:rsidRPr="001615D4">
        <w:t xml:space="preserve">do 90 dnů provozovateli kolektivního systému, který plnění povinností výrobců převzal. </w:t>
      </w:r>
      <w:r>
        <w:t xml:space="preserve">Jestliže výrobci ze zanikajícího kolektivního systému „přejdou“ k různým kolektivním systémům, rozdělí se převáděné peněžní prostředky mezi jejich provozovatele v poměru </w:t>
      </w:r>
      <w:r w:rsidRPr="001615D4">
        <w:t>podle množství vybraných výrobků uvedený</w:t>
      </w:r>
      <w:r>
        <w:t xml:space="preserve">ch na trh jednotlivými výrobci. Pro vyloučení pochybností jsou výslovně uvedeny i </w:t>
      </w:r>
      <w:r w:rsidRPr="001615D4">
        <w:t>prostředk</w:t>
      </w:r>
      <w:r>
        <w:t>y</w:t>
      </w:r>
      <w:r w:rsidRPr="001615D4">
        <w:t xml:space="preserve"> tvořící finanční rezervu</w:t>
      </w:r>
      <w:r>
        <w:t>, přestože i ta je vytvářena z peněžních prostředků vybraných na příspěvcích výrobců.</w:t>
      </w:r>
    </w:p>
    <w:p w:rsidR="00CC0F90" w:rsidRDefault="00CC0F90" w:rsidP="00CC0F90">
      <w:pPr>
        <w:spacing w:before="240"/>
      </w:pPr>
      <w:r>
        <w:t xml:space="preserve">Uvedeným způsobem nemohou být převedeny peněžní prostředky připadající na výrobce, který s žádným provozovatelem kolektivního systému neuzavřel novou smlouvu o kolektivním plnění (např. se rozhodne plnit nadále své povinnosti podle tohoto zákona v individuálním systému nebo přestane být výrobcem ve smyslu tohoto zákona). Zákon v takovém případě nepřipouští vyplacení odpovídající částky výrobci, neboť zde neexistuje záruka, že by tyto prostředky byly skutečně využity na zajištění zpětného odběru a zpracování výrobků s ukončenou životností. Namísto toho je navrhováno, aby tyto peněžní prostředky byly převedeny do </w:t>
      </w:r>
      <w:r w:rsidRPr="00673FBB">
        <w:t>Státního fondu životního prostředí České republiky</w:t>
      </w:r>
      <w:r>
        <w:t xml:space="preserve"> s tím, že </w:t>
      </w:r>
      <w:r w:rsidRPr="00673FBB">
        <w:t>smějí být použity pouze za účelem zlepšení systémů zpětného odběru a zpracování výrobků s ukončenou životností toho druhu, pro který bylo zaniklé oprávnění k provozování kolektivního systému vydáno</w:t>
      </w:r>
      <w:r>
        <w:t>. Tím budou současně výrobci nepřímo motivováni k tomu, aby v případě zániku jejich kolektivního systému preferovali pokračování v plnění jejich povinností opět v kolektivním systému, což lze z hlediska záruk řádného plnění zejména povinnosti zpětného odběru považovat za žádoucí.</w:t>
      </w:r>
    </w:p>
    <w:p w:rsidR="00CC0F90" w:rsidRDefault="00CC0F90" w:rsidP="00CC0F90">
      <w:pPr>
        <w:spacing w:before="240"/>
      </w:pPr>
      <w:r>
        <w:lastRenderedPageBreak/>
        <w:t>Podle § 185 občanského zákoníku zaniká p</w:t>
      </w:r>
      <w:r w:rsidRPr="00910D67">
        <w:t>rávnická osoba zapsan</w:t>
      </w:r>
      <w:r>
        <w:t xml:space="preserve">á do veřejného rejstříku </w:t>
      </w:r>
      <w:r w:rsidRPr="00910D67">
        <w:t xml:space="preserve">dnem výmazu z </w:t>
      </w:r>
      <w:r>
        <w:t xml:space="preserve">tohoto rejstříku, a pokud </w:t>
      </w:r>
      <w:r w:rsidRPr="00910D67">
        <w:t>nepodléhá zápisu do veřejného rejstříku</w:t>
      </w:r>
      <w:r>
        <w:t xml:space="preserve">, zaniká podle § 186 téhož zákona </w:t>
      </w:r>
      <w:r w:rsidRPr="00910D67">
        <w:t>skončením likvidace.</w:t>
      </w:r>
      <w:r>
        <w:t xml:space="preserve"> Jestliže oprávnění k provozování kolektivního systému zaniklo z důvodu skutečnosti uvedené v § 61 odst. 1 písm. a) nebo c) navrhovaného zákona, která zároveň bude mít za následek zánik právnické osoby, je nezbytné převést peněžní prostředky postupem podle § 62 před samotným zánikem bývalého provozovatele kolektivního systému. Zákon proto stanoví, že z</w:t>
      </w:r>
      <w:r w:rsidRPr="001A163B">
        <w:t xml:space="preserve">ánik právnické osoby nemůže nastat dříve, než budou splněny povinnosti stanovené v </w:t>
      </w:r>
      <w:r>
        <w:t xml:space="preserve">§ 62 </w:t>
      </w:r>
      <w:r w:rsidRPr="001A163B">
        <w:t>odst</w:t>
      </w:r>
      <w:r>
        <w:t>.</w:t>
      </w:r>
      <w:r w:rsidRPr="001A163B">
        <w:t xml:space="preserve"> 1 a 3.</w:t>
      </w:r>
      <w:r>
        <w:t xml:space="preserve"> Do splnění těchto povinností tedy příslušný orgán nesmí právnickou osobu vymazat</w:t>
      </w:r>
      <w:r w:rsidRPr="00A71F9D">
        <w:t xml:space="preserve"> </w:t>
      </w:r>
      <w:r>
        <w:t>z veřejného rejstříku, resp. nesmí být skončena likvidace, jde-li o právnickou osobu nezapsanou ve veřejném rejstříku.</w:t>
      </w:r>
    </w:p>
    <w:p w:rsidR="00CC0F90" w:rsidRPr="00B645E5" w:rsidRDefault="00CC0F90" w:rsidP="00BD7946">
      <w:pPr>
        <w:keepNext/>
        <w:spacing w:before="240"/>
        <w:rPr>
          <w:b/>
        </w:rPr>
      </w:pPr>
      <w:r w:rsidRPr="00B645E5">
        <w:rPr>
          <w:b/>
        </w:rPr>
        <w:t>K § 6</w:t>
      </w:r>
      <w:r>
        <w:rPr>
          <w:b/>
        </w:rPr>
        <w:t>3</w:t>
      </w:r>
    </w:p>
    <w:p w:rsidR="00CC0F90" w:rsidRDefault="00CC0F90" w:rsidP="00CC0F90">
      <w:pPr>
        <w:spacing w:before="240"/>
      </w:pPr>
      <w:r>
        <w:t xml:space="preserve">Navrhovaný zákon nově umožňuje vytvořit kolektivní systém rovněž provozovatelům </w:t>
      </w:r>
      <w:r w:rsidRPr="00B419E0">
        <w:t>solárních elektráren, jejichž součástí jsou solární panely uvedené na trh do dne 1. ledna 2013</w:t>
      </w:r>
      <w:r>
        <w:t xml:space="preserve"> (</w:t>
      </w:r>
      <w:r w:rsidRPr="00B419E0">
        <w:t>historické solární panely)</w:t>
      </w:r>
      <w:r>
        <w:t>. Přestože jde o podstatnou koncepční odchylku od standardního modelu, kdy kolektivní systémy vytvářejí výrobci, je toto řešení opodstatněné vzhledem ke skutečnosti, že pro historické solární panely podle dosavadní i navrhované právní úpravy není povinnou osobou výrobce, ale právě provozovatel solární elektrárny, jejíž jsou takové solární panely součástí. Provozovatelé solárních elektráren museli dosud plnit své zákonné povinnosti pro historické solární panely prostřednictvím provozovatelů kolektivních systémů výrobců elektrozařízení, avšak nemohli se stát jejich společníky a podílet na jejich řízení a kontrole hospodaření s peněžními prostředky, které do systému vložili. Navrhovaný zákon i nadále umožňuje provozovatelům solárních elektráren plnit své povinnosti pro historické solární panely v kolektivních systémech výrobců elektrozařízení, avšak nově jim dává také možnost založit a provozovat svůj kolektivní systém, specializovaný výhradně na zajišťování plnění povinností k těmto solárním panelům.</w:t>
      </w:r>
    </w:p>
    <w:p w:rsidR="00CC0F90" w:rsidRDefault="00CC0F90" w:rsidP="00CC0F90">
      <w:pPr>
        <w:spacing w:before="240"/>
      </w:pPr>
      <w:r>
        <w:t xml:space="preserve">Společníky provozovatele kolektivního systému podle § 63 („provozovatel kolektivního systému pro solární panely“) mohou být pouze </w:t>
      </w:r>
      <w:r w:rsidRPr="00380CCB">
        <w:t>provozovatel</w:t>
      </w:r>
      <w:r>
        <w:t>é</w:t>
      </w:r>
      <w:r w:rsidRPr="00380CCB">
        <w:t xml:space="preserve"> solárních elektráren, jejichž součástí jsou </w:t>
      </w:r>
      <w:r>
        <w:t xml:space="preserve">historické </w:t>
      </w:r>
      <w:r w:rsidRPr="00380CCB">
        <w:t>solární panely</w:t>
      </w:r>
      <w:r>
        <w:t xml:space="preserve">. Smíšené kolektivní systémy výrobců a </w:t>
      </w:r>
      <w:r w:rsidRPr="00380CCB">
        <w:t>provozovatel</w:t>
      </w:r>
      <w:r>
        <w:t>ů</w:t>
      </w:r>
      <w:r w:rsidRPr="00380CCB">
        <w:t xml:space="preserve"> solárních elektráren</w:t>
      </w:r>
      <w:r>
        <w:t xml:space="preserve"> zákon neumožňuje vytvářet. K vydání oprávnění k provozování kolektivního systému podle § 63 musí být rovněž splněna podmínka v podobě minimálního </w:t>
      </w:r>
      <w:r w:rsidRPr="008B3E16">
        <w:t>instalovan</w:t>
      </w:r>
      <w:r>
        <w:t>ého</w:t>
      </w:r>
      <w:r w:rsidRPr="008B3E16">
        <w:t xml:space="preserve"> výkon</w:t>
      </w:r>
      <w:r>
        <w:t>u</w:t>
      </w:r>
      <w:r w:rsidRPr="008B3E16">
        <w:t xml:space="preserve"> solární elektrárny každého provozovatele, který je společníkem žadatele</w:t>
      </w:r>
      <w:r>
        <w:t>.</w:t>
      </w:r>
      <w:r w:rsidRPr="008B3E16">
        <w:t xml:space="preserve"> </w:t>
      </w:r>
      <w:r>
        <w:t xml:space="preserve">To má za cíl zamezit zakládání kolektivních systémů provozovateli malých solárních elektráren, které nemohou být zárukou stabilního a dlouhodobého fungování systému. Logicky se neuplatní podmínky stanovené v § 36 odst. 2 písm. b) a k), podle kterých společníky žadatele mohou být pouze výrobci, kteří uvedli na trh stanovené minimální množství vybraných výrobků. Naopak všechny ostatní podmínky podle § 36 se na vydání oprávnění k provozování kolektivního systému pro solární panely aplikovat budou (ustanovení § </w:t>
      </w:r>
      <w:r w:rsidRPr="00955453">
        <w:t>36 až 39</w:t>
      </w:r>
      <w:r>
        <w:t xml:space="preserve"> je třeba vykládat tak, jak je uvedeno v § 41 odst. 2).</w:t>
      </w:r>
    </w:p>
    <w:p w:rsidR="00CC0F90" w:rsidRDefault="00CC0F90" w:rsidP="00CC0F90">
      <w:pPr>
        <w:spacing w:before="240"/>
      </w:pPr>
      <w:r>
        <w:t xml:space="preserve">Provozovatel kolektivního systému pro solární panely smí zajišťovat pouze </w:t>
      </w:r>
      <w:r w:rsidRPr="00380CCB">
        <w:t xml:space="preserve">plnění povinností provozovatelů solárních elektráren, jejichž součástí jsou </w:t>
      </w:r>
      <w:r>
        <w:t xml:space="preserve">historické </w:t>
      </w:r>
      <w:r w:rsidRPr="00380CCB">
        <w:t>solární panely</w:t>
      </w:r>
      <w:r>
        <w:t xml:space="preserve">. Nemusí přitom jít pouze o ty </w:t>
      </w:r>
      <w:r w:rsidRPr="00380CCB">
        <w:t>provozovatel</w:t>
      </w:r>
      <w:r>
        <w:t>e</w:t>
      </w:r>
      <w:r w:rsidRPr="00380CCB">
        <w:t xml:space="preserve"> solárních elektráren,</w:t>
      </w:r>
      <w:r>
        <w:t xml:space="preserve"> kteří jsou jeho společníky. Smlouvu </w:t>
      </w:r>
      <w:r>
        <w:lastRenderedPageBreak/>
        <w:t xml:space="preserve">podle § 91 odst. 1 může provozovatel kolektivního systému uzavřít i s kterýmkoliv jiným provozovatelem solární elektrárny s historickými </w:t>
      </w:r>
      <w:r w:rsidRPr="00380CCB">
        <w:t>solární</w:t>
      </w:r>
      <w:r>
        <w:t>mi</w:t>
      </w:r>
      <w:r w:rsidRPr="00380CCB">
        <w:t xml:space="preserve"> panely</w:t>
      </w:r>
      <w:r>
        <w:t>.</w:t>
      </w:r>
    </w:p>
    <w:p w:rsidR="00CC0F90" w:rsidRDefault="00CC0F90" w:rsidP="00CC0F90">
      <w:pPr>
        <w:spacing w:before="240"/>
      </w:pPr>
      <w:r>
        <w:t>Odstavec 4 vyjmenovává ustanovení navrhovaného zákona, která se v</w:t>
      </w:r>
      <w:r w:rsidRPr="00646BE3">
        <w:t xml:space="preserve"> případě provozovatele kolektivního systému pro solární </w:t>
      </w:r>
      <w:r>
        <w:t>panely použijí obdobně s tím, že obsah pojmů týkajících se kolektivního plnění povinností výrobců je třeba nahradit odpovídajícími pojmy vztahujícími se k plnění povinností provozovatelů solárních elektráren, pokud jde o historické solární panely. Ostatní, zde neuvedená ustanovení zákona o kolektivních systémech se aplikují v celém rozsahu.</w:t>
      </w:r>
    </w:p>
    <w:p w:rsidR="00CC0F90" w:rsidRDefault="00CC0F90" w:rsidP="00CC0F90">
      <w:pPr>
        <w:spacing w:before="240"/>
      </w:pPr>
      <w:r>
        <w:t>Na základě odstavce 5 je p</w:t>
      </w:r>
      <w:r w:rsidRPr="006A764E">
        <w:t xml:space="preserve">rovozovatel kolektivního systému pro solární </w:t>
      </w:r>
      <w:r>
        <w:t xml:space="preserve">panely zajistit </w:t>
      </w:r>
      <w:r w:rsidRPr="006A764E">
        <w:t>ve vztahu k odpadním solárním panelům, pro které uzavřel smlouvu podle § 9</w:t>
      </w:r>
      <w:r>
        <w:t>1</w:t>
      </w:r>
      <w:r w:rsidRPr="006A764E">
        <w:t xml:space="preserve"> odst. 1</w:t>
      </w:r>
      <w:r>
        <w:t xml:space="preserve">, </w:t>
      </w:r>
      <w:r w:rsidRPr="006A764E">
        <w:t>zpětn</w:t>
      </w:r>
      <w:r>
        <w:t>ý</w:t>
      </w:r>
      <w:r w:rsidRPr="006A764E">
        <w:t xml:space="preserve"> odběr, zpracování, využití a odstranění</w:t>
      </w:r>
      <w:r>
        <w:t>, a to za podmínek, které zákon stanoví výrobci elektrozařízení, resp. provozovateli kolektivního systému výrobců elektrozařízení (zejm. § 84 a 87).</w:t>
      </w:r>
    </w:p>
    <w:p w:rsidR="00CC0F90" w:rsidRDefault="00CC0F90" w:rsidP="00CC0F90">
      <w:pPr>
        <w:spacing w:before="240"/>
      </w:pPr>
      <w:r>
        <w:t>P</w:t>
      </w:r>
      <w:r w:rsidRPr="006A764E">
        <w:t xml:space="preserve">rovozovatel kolektivního systému pro solární </w:t>
      </w:r>
      <w:r>
        <w:t>panely z logiky věci nezpracovává roční zprávu o výrobcích s ukončenou životností. Namísto toho je povinen zpracovat a ve stejném termínu (</w:t>
      </w:r>
      <w:r w:rsidRPr="006A764E">
        <w:t>do 31. března</w:t>
      </w:r>
      <w:r>
        <w:t xml:space="preserve"> následujícího roku) </w:t>
      </w:r>
      <w:r w:rsidRPr="006A764E">
        <w:t>zaslat ministerstvu</w:t>
      </w:r>
      <w:r>
        <w:t xml:space="preserve"> </w:t>
      </w:r>
      <w:r w:rsidRPr="006A764E">
        <w:t>pravdiv</w:t>
      </w:r>
      <w:r>
        <w:t>ou</w:t>
      </w:r>
      <w:r w:rsidRPr="006A764E">
        <w:t xml:space="preserve"> a úpln</w:t>
      </w:r>
      <w:r>
        <w:t>ou</w:t>
      </w:r>
      <w:r w:rsidRPr="006A764E">
        <w:t xml:space="preserve"> roční zpráv</w:t>
      </w:r>
      <w:r>
        <w:t>u</w:t>
      </w:r>
      <w:r w:rsidRPr="006A764E">
        <w:t xml:space="preserve"> o plnění povinností provozovatelů solárních elektráren podle § 9</w:t>
      </w:r>
      <w:r>
        <w:t>1</w:t>
      </w:r>
      <w:r w:rsidRPr="006A764E">
        <w:t xml:space="preserve"> odst. 1 za uplynulý kalendářní rok</w:t>
      </w:r>
      <w:r>
        <w:t>, v níž jsou obsaženy údaje z evidencí § 55 odst. 1.</w:t>
      </w:r>
    </w:p>
    <w:p w:rsidR="00CC0F90" w:rsidRPr="00CD01C7" w:rsidRDefault="00CC0F90" w:rsidP="00CC0F90">
      <w:pPr>
        <w:spacing w:before="240"/>
        <w:rPr>
          <w:b/>
        </w:rPr>
      </w:pPr>
      <w:r w:rsidRPr="00EB3BC2">
        <w:rPr>
          <w:b/>
        </w:rPr>
        <w:t xml:space="preserve">K § 64 </w:t>
      </w:r>
      <w:r>
        <w:rPr>
          <w:b/>
        </w:rPr>
        <w:t>až 67</w:t>
      </w:r>
    </w:p>
    <w:p w:rsidR="00CC0F90" w:rsidRDefault="00CC0F90" w:rsidP="00CC0F90">
      <w:pPr>
        <w:spacing w:before="240"/>
      </w:pPr>
      <w:r>
        <w:t xml:space="preserve">Koordinační centrum, jehož posláním je napomáhat efektivní koexistenci více kolektivních systémů a garantovat jednotný základ k ověřování jejich výkonnosti, je navrhovaným zákonem koncipováno jako právnická osoba charakteru veřejnoprávní korporace, která je </w:t>
      </w:r>
      <w:r w:rsidRPr="008B4EF7">
        <w:t>samosprávnou organizací všech provozovatelů kolektivních systémů</w:t>
      </w:r>
      <w:r>
        <w:t>. Jde o osobní korporaci s nuceným členstvím, jíž je tímto zákonem svěřeno plnění vybraných úkolů v oblasti koordinace činnosti svých členů – provozovatelů kolektivních systémů. Sídlem koordinačního centra je Praha.</w:t>
      </w:r>
    </w:p>
    <w:p w:rsidR="00CC0F90" w:rsidRDefault="00CC0F90" w:rsidP="00CC0F90">
      <w:pPr>
        <w:spacing w:before="240"/>
      </w:pPr>
      <w:r>
        <w:t xml:space="preserve">Navrhovaný zákon neumožňuje v rámci jednoho kolektivního systému, resp. jednoho provozovatele kolektivního systému zajišťovat kolektivní plnění povinností výrobců různých druhů vybraných výrobků (elektrozařízení, baterie a akumulátory a pneumatiky). To souvisí mimo jiné i s rozdílnými požadavky na zpětný odběr a zpracování jednotlivých druhů výrobků s ukončenou životností, včetně samostatně stanovených sběrných kvót. Kolektivní systémy pro různé druhy vybraných výrobků jsou tedy na sobě nezávislé a s výjimkou spolupráce při zajišťování kolektivního plnění povinností výrobců elektrozařízení se zabudovanými bateriemi nebo akumulátory mezi nimi neexistují žádné vazby. Z toho důvodu musí být umožněn vznik koordinačního centra zvlášť pro </w:t>
      </w:r>
      <w:r w:rsidRPr="00515A05">
        <w:t>každý druh vybraných výrobků</w:t>
      </w:r>
      <w:r>
        <w:t xml:space="preserve">. Zároveň platí, že existence koordinačního centra má smysl pouze tehdy, působí-li současně v oblasti zpětného odběru téhož druhu výrobků s ukončenou životností alespoň dva kolektivní systémy. Bylo proto zvoleno řešení, kdy koordinační centrum není zřizováno přímo zákonem, ale k jeho ustavení dojde rozhodnutím Ministerstva životního prostředí na základě zákona. </w:t>
      </w:r>
      <w:r>
        <w:lastRenderedPageBreak/>
        <w:t xml:space="preserve">Ministerstvu přitom není ponechána žádná diskrece, neboť musí rozhodnout o ustavení koordinačního centra </w:t>
      </w:r>
      <w:r w:rsidRPr="00515A05">
        <w:t xml:space="preserve">do </w:t>
      </w:r>
      <w:r>
        <w:t>60 dnů</w:t>
      </w:r>
      <w:r w:rsidRPr="00515A05">
        <w:t xml:space="preserve"> od nabytí právní moci rozhodnutí, kterým bylo uděleno v pořadí druhé oprávnění k provozování kolektivního systému pro tent</w:t>
      </w:r>
      <w:r>
        <w:t>ýž</w:t>
      </w:r>
      <w:r w:rsidRPr="00515A05">
        <w:t xml:space="preserve"> druh vybraných výrobků</w:t>
      </w:r>
      <w:r>
        <w:t>. Vzniknout tedy mohou až tři koordinační centra (pro elektrozařízení, pro baterie a akumulátory a pro pneumatiky), přičemž záleží na tom, zda pro ten který druh vybraných výrobků budou existovat nejméně dva kolektivní systémy.</w:t>
      </w:r>
    </w:p>
    <w:p w:rsidR="00CC0F90" w:rsidRDefault="00CC0F90" w:rsidP="00CC0F90">
      <w:pPr>
        <w:spacing w:before="240"/>
      </w:pPr>
      <w:r>
        <w:t>Koordinační centrum</w:t>
      </w:r>
      <w:r w:rsidRPr="00515A05">
        <w:t xml:space="preserve"> vznik</w:t>
      </w:r>
      <w:r>
        <w:t>ne jako právnická osoba</w:t>
      </w:r>
      <w:r w:rsidRPr="00515A05">
        <w:t xml:space="preserve"> dnem jeho zápisu do </w:t>
      </w:r>
      <w:r>
        <w:t>rejstříku</w:t>
      </w:r>
      <w:r w:rsidRPr="00515A05">
        <w:t xml:space="preserve"> </w:t>
      </w:r>
      <w:r>
        <w:t xml:space="preserve">koordinačních center, které povede a bude zveřejňovat způsobem </w:t>
      </w:r>
      <w:r w:rsidRPr="00515A05">
        <w:t>umožňujícím dálkový přístup</w:t>
      </w:r>
      <w:r>
        <w:t xml:space="preserve"> ministerstvo. Vzhledem k jeho malému rozsahu (zápis nejvýše tří právnických osob) nepředpokládá zákon vedení rejstříku</w:t>
      </w:r>
      <w:r w:rsidRPr="00515A05">
        <w:t xml:space="preserve"> </w:t>
      </w:r>
      <w:r>
        <w:t>koordinačních center jako informačního systému veřejné správy.</w:t>
      </w:r>
    </w:p>
    <w:p w:rsidR="00CC0F90" w:rsidRDefault="00CC0F90" w:rsidP="00CC0F90">
      <w:pPr>
        <w:spacing w:before="240"/>
      </w:pPr>
      <w:r w:rsidRPr="00515A05">
        <w:t xml:space="preserve">Ministerstvo zapíše </w:t>
      </w:r>
      <w:r>
        <w:t>koordinační centrum</w:t>
      </w:r>
      <w:r w:rsidRPr="00515A05">
        <w:t xml:space="preserve"> do </w:t>
      </w:r>
      <w:r>
        <w:t>rejstříku</w:t>
      </w:r>
      <w:r w:rsidRPr="00515A05">
        <w:t xml:space="preserve"> </w:t>
      </w:r>
      <w:r>
        <w:t>koordinačních center</w:t>
      </w:r>
      <w:r w:rsidRPr="00515A05">
        <w:t xml:space="preserve"> současně s nabytím právní moci rozhodnutí o </w:t>
      </w:r>
      <w:r>
        <w:t>jeho ustavení</w:t>
      </w:r>
      <w:r w:rsidRPr="00515A05">
        <w:t>.</w:t>
      </w:r>
      <w:r>
        <w:t xml:space="preserve"> Rozhodnutí musí ministerstvo vydat, jakmile jsou k tomu splněny zákonem stanovené podmínky, přičemž kromě výroku o ustavení koordinačního centra by mělo obsahovat již pouze výrok o </w:t>
      </w:r>
      <w:r w:rsidRPr="00431FB1">
        <w:t>pověř</w:t>
      </w:r>
      <w:r>
        <w:t>en</w:t>
      </w:r>
      <w:r w:rsidRPr="00431FB1">
        <w:t xml:space="preserve">í </w:t>
      </w:r>
      <w:r>
        <w:t xml:space="preserve">jednoho z </w:t>
      </w:r>
      <w:r w:rsidRPr="00431FB1">
        <w:t>provozovatel</w:t>
      </w:r>
      <w:r>
        <w:t>ů</w:t>
      </w:r>
      <w:r w:rsidRPr="00431FB1">
        <w:t xml:space="preserve"> kolektivní</w:t>
      </w:r>
      <w:r>
        <w:t>c</w:t>
      </w:r>
      <w:r w:rsidRPr="00431FB1">
        <w:t>h</w:t>
      </w:r>
      <w:r>
        <w:t xml:space="preserve"> systémů </w:t>
      </w:r>
      <w:r w:rsidRPr="00431FB1">
        <w:t>svoláním ustavujícího jednání členské rady</w:t>
      </w:r>
      <w:r>
        <w:t xml:space="preserve"> – jeho výběr nezávisí na vůli ministerstva, ale je dán na základě objektivního zákonného kritéria (§ 71 odst. 1). Přestože by tak v praxi neměly být dány důvody pro podání rozkladu proti rozhodnutí ministerstva, nelze využití tohoto práva účastníků řízení – provozovatelů kolektivních systémů, kteří se mají stát členy koordinačního centra – vyloučit.</w:t>
      </w:r>
    </w:p>
    <w:p w:rsidR="00CC0F90" w:rsidRDefault="00CC0F90" w:rsidP="00CC0F90">
      <w:pPr>
        <w:spacing w:before="240"/>
      </w:pPr>
      <w:r>
        <w:t xml:space="preserve">Členem koordinačního centra je ze zákona každý provozovatel kolektivního systému, který je </w:t>
      </w:r>
      <w:r w:rsidRPr="001C614F">
        <w:t>držitelem oprávnění k pr</w:t>
      </w:r>
      <w:r>
        <w:t xml:space="preserve">ovozování kolektivního systému pro daný druh vybraných výrobků. Navrhovaný zákon stanoví práva a povinnosti členů koordinačního centra. Z těch je třeba zmínit především povinnost každého člena </w:t>
      </w:r>
      <w:r w:rsidRPr="00754E34">
        <w:t>aktivně se podílet na činnosti a řízení koordinačního centra v mezích jeho práv a povinností vyplývajících z členství v koordinačním centru</w:t>
      </w:r>
      <w:r>
        <w:t xml:space="preserve">. Třebaže účast na správě záležitostí týkajících se právnické osoby je obvykle právem členů či společníků právnické osoby, zde je třeba aktivní zapojení členů do </w:t>
      </w:r>
      <w:r w:rsidRPr="00754E34">
        <w:t>činnosti a řízení koordinačního centra</w:t>
      </w:r>
      <w:r>
        <w:t xml:space="preserve"> zákonem vyžadovat, neboť bez něj by koordinační centrum nemohlo řádně fungovat a plnit úkoly, které mu zákon svěřuje (obzvláště v případě, že koordinační centrum bude mít velmi malý počet členů). Vzhledem k tomu, že vliv každého člena na řízení koordinačního centra není stejný, ale je přímo úměrný jeho </w:t>
      </w:r>
      <w:r w:rsidRPr="001D7FCB">
        <w:t xml:space="preserve">podílu </w:t>
      </w:r>
      <w:r>
        <w:t xml:space="preserve">na zpětném odběru </w:t>
      </w:r>
      <w:r w:rsidRPr="001D7FCB">
        <w:t>výrobků s ukončenou životností</w:t>
      </w:r>
      <w:r>
        <w:t xml:space="preserve"> (§ 69 odst. 3)</w:t>
      </w:r>
      <w:r w:rsidRPr="001D7FCB">
        <w:t xml:space="preserve">, </w:t>
      </w:r>
      <w:r>
        <w:t xml:space="preserve">není zákonem stanoveno společné a nerozdílné ručení členů za </w:t>
      </w:r>
      <w:r w:rsidRPr="000E6A62">
        <w:t>dluhy koordinačního centra</w:t>
      </w:r>
      <w:r>
        <w:t>, ale pouze ručení člena v poměru podle uvedeného podílu.</w:t>
      </w:r>
    </w:p>
    <w:p w:rsidR="00CC0F90" w:rsidRPr="007E1861" w:rsidRDefault="00CC0F90" w:rsidP="00CC0F90">
      <w:pPr>
        <w:spacing w:before="240"/>
      </w:pPr>
      <w:r w:rsidRPr="007E1861">
        <w:t>Hlavní úlohou koordinačního centra podle navrhované právní úpravy je zajišťování auditů pro své členy, které by jinak provozovatelé kolektivních systémů měli povinnost provádět podle § 58. Cílem je sjednocení auditní činnosti tak, aby vykazované údaje</w:t>
      </w:r>
      <w:r>
        <w:t>,</w:t>
      </w:r>
      <w:r w:rsidRPr="007E1861">
        <w:t xml:space="preserve"> </w:t>
      </w:r>
      <w:r>
        <w:t xml:space="preserve">zejména </w:t>
      </w:r>
      <w:r w:rsidRPr="007E1861">
        <w:t xml:space="preserve">o množství </w:t>
      </w:r>
      <w:r>
        <w:t xml:space="preserve">vybraných </w:t>
      </w:r>
      <w:r w:rsidRPr="007E1861">
        <w:t xml:space="preserve">výrobků uvedených na trh a o </w:t>
      </w:r>
      <w:r>
        <w:t>úrovni</w:t>
      </w:r>
      <w:r w:rsidRPr="007E1861">
        <w:t xml:space="preserve"> zpětného odběru</w:t>
      </w:r>
      <w:r>
        <w:t>,</w:t>
      </w:r>
      <w:r w:rsidRPr="007E1861">
        <w:t xml:space="preserve"> byly m</w:t>
      </w:r>
      <w:r>
        <w:t>e</w:t>
      </w:r>
      <w:r w:rsidRPr="007E1861">
        <w:t xml:space="preserve">zi jednotlivými kolektivními systémy navzájem srovnatelné. Za tím účelem koordinační centrum rovněž určuje auditory, kteří budou na základě schváleného plánu tyto audity provádět. Koordinační centrum dále shromažďuje a zpracovává údaje z evidencí, které jsou mu jeho členové povinni </w:t>
      </w:r>
      <w:r w:rsidRPr="007E1861">
        <w:lastRenderedPageBreak/>
        <w:t>zasílat za každé kalendářní čtvrtletí. Údaje z</w:t>
      </w:r>
      <w:r>
        <w:t> </w:t>
      </w:r>
      <w:r w:rsidRPr="007E1861">
        <w:t>evidenc</w:t>
      </w:r>
      <w:r>
        <w:t>í budou</w:t>
      </w:r>
      <w:r w:rsidRPr="007E1861">
        <w:t xml:space="preserve"> koordinační</w:t>
      </w:r>
      <w:r>
        <w:t>mu</w:t>
      </w:r>
      <w:r w:rsidRPr="007E1861">
        <w:t xml:space="preserve"> centru </w:t>
      </w:r>
      <w:r>
        <w:t>sloužit</w:t>
      </w:r>
      <w:r w:rsidRPr="007E1861">
        <w:t xml:space="preserve"> především </w:t>
      </w:r>
      <w:r>
        <w:t>k</w:t>
      </w:r>
      <w:r w:rsidRPr="007E1861">
        <w:t xml:space="preserve"> stanovení plánu auditů jednotlivých kolektivních systémů v návaznosti na požadavky § 58 odst. 2.</w:t>
      </w:r>
    </w:p>
    <w:p w:rsidR="00CC0F90" w:rsidRDefault="00CC0F90" w:rsidP="00CC0F90">
      <w:pPr>
        <w:spacing w:before="240"/>
      </w:pPr>
      <w:r w:rsidRPr="008A2BB3">
        <w:t>Koordinační centrum</w:t>
      </w:r>
      <w:r>
        <w:t xml:space="preserve"> může rovněž pro své členy </w:t>
      </w:r>
      <w:r w:rsidRPr="008A2BB3">
        <w:t>zprostředkováv</w:t>
      </w:r>
      <w:r>
        <w:t>at</w:t>
      </w:r>
      <w:r w:rsidRPr="008A2BB3">
        <w:t xml:space="preserve"> uzavírání dohod o převodu určitého množství zpětně odebraných </w:t>
      </w:r>
      <w:r w:rsidRPr="008A2BB3">
        <w:rPr>
          <w:bCs/>
        </w:rPr>
        <w:t xml:space="preserve">výrobků </w:t>
      </w:r>
      <w:r w:rsidRPr="008A2BB3">
        <w:t>s ukončenou životností podle § 5</w:t>
      </w:r>
      <w:r>
        <w:t>4</w:t>
      </w:r>
      <w:r w:rsidRPr="008A2BB3">
        <w:t xml:space="preserve"> odst. 1 písm. </w:t>
      </w:r>
      <w:r>
        <w:t>b</w:t>
      </w:r>
      <w:r w:rsidRPr="008A2BB3">
        <w:t>),</w:t>
      </w:r>
      <w:r>
        <w:t xml:space="preserve"> třebaže tyto dohody mezi sebou mohou provozovatelé kolektivních systémů uzavírat i bez zapojení koordinačního centra. Koordinační centrum, které disponuje údaji o provádění zpětného odběru a plnění cílů sběru jednotlivými kolektivními systémy, je však vhodnou platformou ke zprostředkování oboustranně výhodné spolupráce v tomto směru. Zákon dále svěřuje koordinačnímu centru některé další úkoly v oblasti koordinace činnosti provozovatelů kolektivních systémů, zejména pokud jde o vedení informačních kampaní v rámci provádění osvětové činnosti. Tuto </w:t>
      </w:r>
      <w:r w:rsidRPr="008A2BB3">
        <w:t xml:space="preserve">činnost může </w:t>
      </w:r>
      <w:r>
        <w:t xml:space="preserve">koordinační centrum </w:t>
      </w:r>
      <w:r w:rsidRPr="008A2BB3">
        <w:t xml:space="preserve">pro své členy </w:t>
      </w:r>
      <w:r>
        <w:t>dokonce přímo</w:t>
      </w:r>
      <w:r w:rsidRPr="008A2BB3">
        <w:t xml:space="preserve"> zajišťovat, </w:t>
      </w:r>
      <w:r>
        <w:t xml:space="preserve">jestliže je tak stanoveno ve </w:t>
      </w:r>
      <w:r w:rsidRPr="008A2BB3">
        <w:t>statut</w:t>
      </w:r>
      <w:r>
        <w:t>u</w:t>
      </w:r>
      <w:r w:rsidRPr="008A2BB3">
        <w:t xml:space="preserve"> koordinačního centra.</w:t>
      </w:r>
    </w:p>
    <w:p w:rsidR="00CC0F90" w:rsidRPr="00E958B8" w:rsidRDefault="00CC0F90" w:rsidP="00CC0F90">
      <w:pPr>
        <w:spacing w:before="240"/>
        <w:rPr>
          <w:b/>
        </w:rPr>
      </w:pPr>
      <w:r w:rsidRPr="00E958B8">
        <w:rPr>
          <w:b/>
        </w:rPr>
        <w:t>K </w:t>
      </w:r>
      <w:r>
        <w:rPr>
          <w:b/>
        </w:rPr>
        <w:t>§</w:t>
      </w:r>
      <w:r w:rsidRPr="00E958B8">
        <w:rPr>
          <w:b/>
        </w:rPr>
        <w:t xml:space="preserve"> </w:t>
      </w:r>
      <w:r>
        <w:rPr>
          <w:b/>
        </w:rPr>
        <w:t>68 až 73</w:t>
      </w:r>
    </w:p>
    <w:p w:rsidR="00CC0F90" w:rsidRDefault="00CC0F90" w:rsidP="00CC0F90">
      <w:pPr>
        <w:spacing w:before="240"/>
      </w:pPr>
      <w:r>
        <w:t>Vzhledem k tomu, že koordinační centrum nemá některou z právních forem právnických osob upravených v jiných zákonech, je třeba v navrhovaném zákoně vymezit rovněž orgány koordinačního centra a jejich působnost. Návrh vychází ze standardního modelu, kdy nejvyšším orgánem, jemuž přísluší rozhodovat v záležitostech koordinačního centra, je členská rada skládající se ze všech jeho členů, výkonným a současně statutárním orgánem je jednatel a orgánem dohlížejícím na činnost koordinačního centra je kontrolní komise.</w:t>
      </w:r>
    </w:p>
    <w:p w:rsidR="00CC0F90" w:rsidRDefault="00CC0F90" w:rsidP="00CC0F90">
      <w:pPr>
        <w:spacing w:before="240"/>
      </w:pPr>
      <w:r>
        <w:t>Členské radě je vyhrazeno rozhodování o konkrétních zásadních otázkách týkajících se koordinačního centra, jako je například volba a odvolávání jednatele a členů</w:t>
      </w:r>
      <w:r w:rsidRPr="00664CCA">
        <w:t xml:space="preserve"> kontrolní komise</w:t>
      </w:r>
      <w:r>
        <w:t xml:space="preserve"> nebo přijímání </w:t>
      </w:r>
      <w:r w:rsidRPr="00664CCA">
        <w:t>statut</w:t>
      </w:r>
      <w:r>
        <w:t>u</w:t>
      </w:r>
      <w:r w:rsidRPr="00664CCA">
        <w:t xml:space="preserve"> koordinačního centra a jeho změn</w:t>
      </w:r>
      <w:r>
        <w:t xml:space="preserve">. Členská rada si kromě záležitostí uvedených v zákoně může vyhradit rozhodování i ve </w:t>
      </w:r>
      <w:r w:rsidRPr="00664CCA">
        <w:t>všech dalších věcech</w:t>
      </w:r>
      <w:r>
        <w:t xml:space="preserve"> týkajících se koordinačního centra.</w:t>
      </w:r>
    </w:p>
    <w:p w:rsidR="00CC0F90" w:rsidRDefault="00CC0F90" w:rsidP="00CC0F90">
      <w:pPr>
        <w:spacing w:before="240"/>
      </w:pPr>
      <w:r>
        <w:t xml:space="preserve">Statut </w:t>
      </w:r>
      <w:r w:rsidRPr="00664CCA">
        <w:t>koordinačního centra</w:t>
      </w:r>
      <w:r>
        <w:t xml:space="preserve"> je základním dokumentem, který stanoví pravidla fungování koordinačního centra a jeho orgánů, které tento zákon předjímá nebo které neupravuje.</w:t>
      </w:r>
      <w:r w:rsidRPr="003034CD">
        <w:t xml:space="preserve"> </w:t>
      </w:r>
      <w:r>
        <w:t xml:space="preserve">Statut </w:t>
      </w:r>
      <w:r w:rsidRPr="00664CCA">
        <w:t>koordinačního centra</w:t>
      </w:r>
      <w:r>
        <w:t xml:space="preserve"> však nesmí být se zákonem v rozporu.</w:t>
      </w:r>
    </w:p>
    <w:p w:rsidR="00CC0F90" w:rsidRDefault="00CC0F90" w:rsidP="00CC0F90">
      <w:pPr>
        <w:spacing w:before="240"/>
      </w:pPr>
      <w:r>
        <w:t xml:space="preserve">Členské radě také přísluší </w:t>
      </w:r>
      <w:r w:rsidRPr="00664CCA">
        <w:t>určovat výši a splatnost pravidelných příspěvků</w:t>
      </w:r>
      <w:r>
        <w:t xml:space="preserve">, které jsou povinni platit členové koordinačního centra za účelem financování jeho činnosti. Zákon stanoví, že </w:t>
      </w:r>
      <w:r w:rsidRPr="00664CCA">
        <w:t>výše příspěvku musí být přímo úměrná celkovému množství vybraných výrobků uvedených na trh výrobci, s nimiž má člen koordinačního centra uzavřenou smlouvu o kolektivním plnění</w:t>
      </w:r>
      <w:r>
        <w:t xml:space="preserve">. </w:t>
      </w:r>
    </w:p>
    <w:p w:rsidR="00CC0F90" w:rsidRDefault="00CC0F90" w:rsidP="00CC0F90">
      <w:pPr>
        <w:spacing w:before="240"/>
      </w:pPr>
      <w:r>
        <w:t xml:space="preserve">Navrhovaný zákon stanoví hranici pro usnášeníschopnost členské rady tak, aby výsledek hlasování byl reprezentativní, a to i s ohledem na možnost velmi malého počtu členů koordinačního centra (až 2). K přijetí usnesení členské rady je pak zapotřebí </w:t>
      </w:r>
      <w:r w:rsidRPr="00D1798F">
        <w:t>nadpoloviční většin</w:t>
      </w:r>
      <w:r>
        <w:t>y</w:t>
      </w:r>
      <w:r w:rsidRPr="00D1798F">
        <w:t xml:space="preserve"> hlasů přítomných členů</w:t>
      </w:r>
      <w:r>
        <w:t xml:space="preserve">, pouze v případě přijímání nebo změn </w:t>
      </w:r>
      <w:r w:rsidRPr="00D1798F">
        <w:t>statut</w:t>
      </w:r>
      <w:r>
        <w:t>u</w:t>
      </w:r>
      <w:r w:rsidRPr="00D1798F">
        <w:t xml:space="preserve"> koordinačního centra</w:t>
      </w:r>
      <w:r>
        <w:t xml:space="preserve"> vyžaduje zákon kvalifikovanou dvoutřetinovou většinu</w:t>
      </w:r>
      <w:r w:rsidRPr="00D1798F">
        <w:t xml:space="preserve"> hlasů přítomných členů</w:t>
      </w:r>
      <w:r>
        <w:t>.</w:t>
      </w:r>
    </w:p>
    <w:p w:rsidR="00CC0F90" w:rsidRDefault="00CC0F90" w:rsidP="00CC0F90">
      <w:pPr>
        <w:spacing w:before="240"/>
      </w:pPr>
      <w:r>
        <w:lastRenderedPageBreak/>
        <w:t xml:space="preserve">Vzhledem k tomu, že koordinační centrum v rámci svého zákonem vymezeného působení ovlivňuje činnost kolektivních systémů, které mnohdy bývají různého významu, co do počtu zapojených výrobců a objemu vybraných výrobků uvedených na trh a zpětně odebraných výrobků s ukončenou životností, měl by hlas člena koordinačního centra odpovídat jeho významu v tomto smyslu. Zákon by neměl připouštět, aby hlas provozovatele zcela marginálního kolektivního systému měl v koordinačním centru stejnou váhu, jako hlas provozovatele kolektivního systému, do něhož je zapojena významná část výrobců daného druhu vybraných výrobků a který se významnou měrou podílí na zpětném odběru tohoto druhu výrobků s ukončenou životností. Právě posléze uvedené kritérium </w:t>
      </w:r>
      <w:r w:rsidRPr="00D1798F">
        <w:t xml:space="preserve">podílu </w:t>
      </w:r>
      <w:r>
        <w:t xml:space="preserve">zpětně odebraných </w:t>
      </w:r>
      <w:r w:rsidRPr="00D1798F">
        <w:t>výrobků s ukončenou životností</w:t>
      </w:r>
      <w:r>
        <w:t xml:space="preserve"> bylo v navrhovaném zákoně zvoleno pro určení váhy hlasu, resp. počtu hlasů členů koordinačního centra v členské radě, neboť pouze kritérium odrážející skutečnou výkonnost kolektivního systému lze považovat za motivující z hlediska cílů tohoto zákona (konkrétně zvyšování úrovně zpětného odběru). Počet hlasů </w:t>
      </w:r>
      <w:r w:rsidRPr="00D1798F">
        <w:t xml:space="preserve">jednotlivých členů </w:t>
      </w:r>
      <w:r>
        <w:t>určuje podle uvedeného kritéria každor</w:t>
      </w:r>
      <w:r w:rsidRPr="00D1798F">
        <w:t>očně členská rada</w:t>
      </w:r>
      <w:r>
        <w:t xml:space="preserve">, a to na základě údajů za uplynulý kalendářní rok. Pokud jde o odpadní </w:t>
      </w:r>
      <w:r w:rsidRPr="00D1798F">
        <w:t>elektrozařízení</w:t>
      </w:r>
      <w:r>
        <w:t xml:space="preserve">, je třeba posuzovat podíl na zpětném odběru </w:t>
      </w:r>
      <w:r w:rsidRPr="00D1798F">
        <w:t>zvlášť pro jednotlivé skupiny</w:t>
      </w:r>
      <w:r>
        <w:t xml:space="preserve">. </w:t>
      </w:r>
      <w:r w:rsidRPr="002B3AF9">
        <w:t>T</w:t>
      </w:r>
      <w:r>
        <w:t>oto řešení</w:t>
      </w:r>
      <w:r w:rsidRPr="002B3AF9">
        <w:t xml:space="preserve"> byl</w:t>
      </w:r>
      <w:r>
        <w:t>o</w:t>
      </w:r>
      <w:r w:rsidRPr="002B3AF9">
        <w:t xml:space="preserve"> zvolen</w:t>
      </w:r>
      <w:r>
        <w:t>o</w:t>
      </w:r>
      <w:r w:rsidRPr="002B3AF9">
        <w:t xml:space="preserve"> z toho důvodu, že spravedlivěji odráží specifika </w:t>
      </w:r>
      <w:r>
        <w:t>zpětného odběru odpadních</w:t>
      </w:r>
      <w:r w:rsidRPr="002B3AF9">
        <w:t xml:space="preserve"> elektrozařízení v jednotlivých skupinách, přičemž zároveň eliminuje situace, kdy by některý kolektivní systém mohl získa</w:t>
      </w:r>
      <w:r>
        <w:t>t</w:t>
      </w:r>
      <w:r w:rsidRPr="002B3AF9">
        <w:t xml:space="preserve"> vyšší počet hlasů pouze na základě skutečnosti, že zajišťuje </w:t>
      </w:r>
      <w:r>
        <w:t>zpětný odběr</w:t>
      </w:r>
      <w:r w:rsidRPr="002B3AF9">
        <w:t xml:space="preserve"> objemově velkých </w:t>
      </w:r>
      <w:r>
        <w:t xml:space="preserve">a </w:t>
      </w:r>
      <w:r w:rsidRPr="002B3AF9">
        <w:t xml:space="preserve">těžkých </w:t>
      </w:r>
      <w:r>
        <w:t xml:space="preserve">odpadních </w:t>
      </w:r>
      <w:r w:rsidRPr="002B3AF9">
        <w:t>elektro</w:t>
      </w:r>
      <w:r>
        <w:t>zařízení</w:t>
      </w:r>
      <w:r w:rsidRPr="002B3AF9">
        <w:t xml:space="preserve"> na úkor drobných </w:t>
      </w:r>
      <w:r>
        <w:t xml:space="preserve">odpadních </w:t>
      </w:r>
      <w:r w:rsidRPr="002B3AF9">
        <w:t xml:space="preserve">elektrozařízení z jiných skupin, jejichž </w:t>
      </w:r>
      <w:r>
        <w:t>zpětný odběr</w:t>
      </w:r>
      <w:r w:rsidRPr="002B3AF9">
        <w:t xml:space="preserve"> je z řady důvodů mnohem náročnější, a</w:t>
      </w:r>
      <w:r>
        <w:t> </w:t>
      </w:r>
      <w:r w:rsidRPr="002B3AF9">
        <w:t>tedy i nákladnější (</w:t>
      </w:r>
      <w:r>
        <w:t xml:space="preserve">zejm. </w:t>
      </w:r>
      <w:r w:rsidRPr="002B3AF9">
        <w:t>vyšší pravděpodobnost, že budou odkládány v rámci směsného komunálního odpadu, nutnost zajištění dostupnější sběrné sítě).</w:t>
      </w:r>
    </w:p>
    <w:p w:rsidR="00CC0F90" w:rsidRDefault="00CC0F90" w:rsidP="00CC0F90">
      <w:pPr>
        <w:spacing w:before="240"/>
      </w:pPr>
      <w:r>
        <w:t xml:space="preserve">Navrhovaný zákon upravuje rovněž svolávání členské rady. Členská rada by se měla scházet </w:t>
      </w:r>
      <w:r w:rsidRPr="00843713">
        <w:t>nejméně jednou ročně</w:t>
      </w:r>
      <w:r>
        <w:t xml:space="preserve">. Nad rámec toho může o svolání členské rady požádat jednatele nejméně </w:t>
      </w:r>
      <w:r w:rsidRPr="00843713">
        <w:t xml:space="preserve">třetina všech členů </w:t>
      </w:r>
      <w:r>
        <w:t xml:space="preserve">koordinačního centra </w:t>
      </w:r>
      <w:r w:rsidRPr="00843713">
        <w:t>nebo kontrolní komise</w:t>
      </w:r>
      <w:r>
        <w:t xml:space="preserve"> (jako celek)</w:t>
      </w:r>
      <w:r w:rsidRPr="00843713">
        <w:t>.</w:t>
      </w:r>
    </w:p>
    <w:p w:rsidR="00CC0F90" w:rsidRDefault="00CC0F90" w:rsidP="00CC0F90">
      <w:pPr>
        <w:spacing w:before="240"/>
      </w:pPr>
      <w:r>
        <w:t>Z každého jednání členské rady musí být vyhotoven zápis, který je k</w:t>
      </w:r>
      <w:r w:rsidRPr="00107F28">
        <w:t xml:space="preserve">oordinační centrum povinno zaslat do 15 dnů ministerstvu. </w:t>
      </w:r>
      <w:r>
        <w:t xml:space="preserve">K zápisu musí být přiložena všechna přijatá usnesení a schválené dokumenty (tj. např. statut koordinačního centra, výroční zpráva, </w:t>
      </w:r>
      <w:r w:rsidRPr="00843713">
        <w:t xml:space="preserve">plán auditů na </w:t>
      </w:r>
      <w:r>
        <w:t xml:space="preserve">následující </w:t>
      </w:r>
      <w:r w:rsidRPr="00843713">
        <w:t>kalendářní rok</w:t>
      </w:r>
      <w:r>
        <w:t xml:space="preserve"> atd.). Zápis včetně příloh ministerstvo vkládá do sbírky listin, která je jako součást rejstříku koordinačních center přístupná veřejnosti, s výjimkou údajů týkajících se jednotlivých výrobců nebo jiných smluvních partnerů provozovatelů kolektivních systémů, jejichž zveřejnění by mohlo tyto osoby poškodit v hospodářské soutěži.</w:t>
      </w:r>
    </w:p>
    <w:p w:rsidR="00CC0F90" w:rsidRDefault="00CC0F90" w:rsidP="00CC0F90">
      <w:pPr>
        <w:spacing w:before="240"/>
      </w:pPr>
      <w:r>
        <w:t>Exekutivním a statutárním orgánem koordinačního centra je jediný jednatel volený členskou radou z řad členů koordinačního centra. Toto řešení bylo zvoleno s ohledem na skutečnost, že koordinační centrum může mít velmi malý počet členů, dokonce i pouze dva. Z obdobných důvodů je možné, že členská rada nebude schopna jednatele zvolit. Pro takový případ musí s</w:t>
      </w:r>
      <w:r w:rsidRPr="002F6066">
        <w:t xml:space="preserve">tatut </w:t>
      </w:r>
      <w:r>
        <w:t>koordinačního centra</w:t>
      </w:r>
      <w:r w:rsidRPr="002F6066">
        <w:t xml:space="preserve"> stanov</w:t>
      </w:r>
      <w:r>
        <w:t>it</w:t>
      </w:r>
      <w:r w:rsidRPr="002F6066">
        <w:t xml:space="preserve"> systém rotace</w:t>
      </w:r>
      <w:r>
        <w:t xml:space="preserve"> (střídání)</w:t>
      </w:r>
      <w:r w:rsidRPr="002F6066">
        <w:t xml:space="preserve"> členů </w:t>
      </w:r>
      <w:r>
        <w:t>koordinačního centra</w:t>
      </w:r>
      <w:r w:rsidRPr="00797EDD">
        <w:t xml:space="preserve"> </w:t>
      </w:r>
      <w:r w:rsidRPr="002F6066">
        <w:t>ve funkci jednatele</w:t>
      </w:r>
      <w:r>
        <w:t xml:space="preserve">. Údaje o jednateli se zapisují do rejstříku koordinačních center. Působnost jednatele vymezuje navrhovaný zákon s tím, že další úkoly mu může svěřit statut koordinačního centra. </w:t>
      </w:r>
    </w:p>
    <w:p w:rsidR="00CC0F90" w:rsidRDefault="00CC0F90" w:rsidP="00CC0F90">
      <w:pPr>
        <w:spacing w:before="240"/>
      </w:pPr>
      <w:r>
        <w:lastRenderedPageBreak/>
        <w:t xml:space="preserve">Kontrolní komisi zřizuje pouze koordinační centrum, které má nejméně pět členů. V případě nižšího počtu členů by zřízení kontrolní komise, která je tříčlenná, postrádalo smysl, neboť v takto malém počtu členů by se jednalo o téměř kompletní členskou radu. Není-li tedy kontrolní komise zřízena, vykonává její působnost </w:t>
      </w:r>
      <w:r w:rsidRPr="00D757BE">
        <w:t>člensk</w:t>
      </w:r>
      <w:r>
        <w:t xml:space="preserve">á rada. Úkolem kontrolní komise je </w:t>
      </w:r>
      <w:r w:rsidRPr="00D757BE">
        <w:t>dohlížet na dodržování právních předpisů při činnosti koordinačního centra a na dodržování právních předpisů, statutu koordinačního centra a usnesení členské rady je</w:t>
      </w:r>
      <w:r>
        <w:t xml:space="preserve">dnatelem při výkonu jeho funkce a dále na </w:t>
      </w:r>
      <w:r w:rsidRPr="00D757BE">
        <w:t>hospodaření s majetkem koordinačního centra.</w:t>
      </w:r>
    </w:p>
    <w:p w:rsidR="00CC0F90" w:rsidRPr="00E958B8" w:rsidRDefault="00CC0F90" w:rsidP="00BD7946">
      <w:pPr>
        <w:keepNext/>
        <w:spacing w:before="240"/>
        <w:rPr>
          <w:b/>
        </w:rPr>
      </w:pPr>
      <w:r w:rsidRPr="00E958B8">
        <w:rPr>
          <w:b/>
        </w:rPr>
        <w:t>K </w:t>
      </w:r>
      <w:r>
        <w:rPr>
          <w:b/>
        </w:rPr>
        <w:t>§</w:t>
      </w:r>
      <w:r w:rsidRPr="00E958B8">
        <w:rPr>
          <w:b/>
        </w:rPr>
        <w:t xml:space="preserve"> </w:t>
      </w:r>
      <w:r>
        <w:rPr>
          <w:b/>
        </w:rPr>
        <w:t>74</w:t>
      </w:r>
    </w:p>
    <w:p w:rsidR="00CC0F90" w:rsidRDefault="00CC0F90" w:rsidP="00CC0F90">
      <w:pPr>
        <w:spacing w:before="240"/>
      </w:pPr>
      <w:r>
        <w:t xml:space="preserve">Je-li zřízeno koordinační centrum, zajišťuje pro své členy provádění ověření údajů auditorem v rozsahu a za podmínek, které jsou </w:t>
      </w:r>
      <w:r w:rsidRPr="002271B6">
        <w:t>stanoveny v § 5</w:t>
      </w:r>
      <w:r>
        <w:t>8</w:t>
      </w:r>
      <w:r w:rsidRPr="002271B6">
        <w:t xml:space="preserve"> a 5</w:t>
      </w:r>
      <w:r>
        <w:t xml:space="preserve">9. Tyto povinnosti tedy v takovém případě provozovatelé kolektivních systémů – členové koordinačního centra již neplní, neboť tak za ně činí koordinační centrum. Koordinační centrum tak činí na základě </w:t>
      </w:r>
      <w:r w:rsidRPr="00843713">
        <w:t>plán</w:t>
      </w:r>
      <w:r>
        <w:t>u</w:t>
      </w:r>
      <w:r w:rsidRPr="00843713">
        <w:t xml:space="preserve"> auditů </w:t>
      </w:r>
      <w:r>
        <w:t xml:space="preserve">schváleného </w:t>
      </w:r>
      <w:r w:rsidRPr="00843713">
        <w:t xml:space="preserve">na </w:t>
      </w:r>
      <w:r>
        <w:t xml:space="preserve">příslušný </w:t>
      </w:r>
      <w:r w:rsidRPr="00843713">
        <w:t>kalendářní rok</w:t>
      </w:r>
      <w:r>
        <w:t xml:space="preserve"> členskou radou, a to prostřednictvím auditorů, které určí ve veřejném výběrovém řízení. Auditoři určení koordinačním centrem musejí postupovat podle </w:t>
      </w:r>
      <w:r w:rsidRPr="00825D8C">
        <w:t>jednotné zásady ověřování údajů</w:t>
      </w:r>
      <w:r>
        <w:t xml:space="preserve">, které koordinační centrum vytváří pro provádění auditů podle </w:t>
      </w:r>
      <w:r w:rsidRPr="00825D8C">
        <w:t>§ 5</w:t>
      </w:r>
      <w:r>
        <w:t>8</w:t>
      </w:r>
      <w:r w:rsidRPr="00825D8C">
        <w:t xml:space="preserve"> odst. 1 písm. b) a § 5</w:t>
      </w:r>
      <w:r>
        <w:t>8</w:t>
      </w:r>
      <w:r w:rsidRPr="00825D8C">
        <w:t xml:space="preserve"> odst. 2 písm. a) a b)</w:t>
      </w:r>
      <w:r>
        <w:t xml:space="preserve"> (</w:t>
      </w:r>
      <w:r w:rsidRPr="00833684">
        <w:t>ověř</w:t>
      </w:r>
      <w:r>
        <w:t>ení</w:t>
      </w:r>
      <w:r w:rsidRPr="00833684">
        <w:t xml:space="preserve"> správnost</w:t>
      </w:r>
      <w:r>
        <w:t>i</w:t>
      </w:r>
      <w:r w:rsidRPr="00833684">
        <w:t xml:space="preserve"> a úplnost</w:t>
      </w:r>
      <w:r>
        <w:t>i</w:t>
      </w:r>
      <w:r w:rsidRPr="00833684">
        <w:t xml:space="preserve"> vedení evidencí</w:t>
      </w:r>
      <w:r>
        <w:t xml:space="preserve"> provozovatele kolektivního systému a tzv. vnější audity prováděné u výrobců a dalších smluvních partnerů provozovatele kolektivního systému). Tímto způsobem bude koordinační centrum garantovat jednotný postup při provádění auditů tak, aby výstupy za jednotlivé kolektivní systémy byly vzájemně porovnatelné.</w:t>
      </w:r>
    </w:p>
    <w:p w:rsidR="00CC0F90" w:rsidRDefault="00CC0F90" w:rsidP="00CC0F90">
      <w:pPr>
        <w:spacing w:before="240"/>
      </w:pPr>
      <w:r>
        <w:t>Koordinační centrum taktéž zasílá za své členy ministerstvu z</w:t>
      </w:r>
      <w:r w:rsidRPr="007E67D8">
        <w:t>práv</w:t>
      </w:r>
      <w:r>
        <w:t>y</w:t>
      </w:r>
      <w:r w:rsidRPr="007E67D8">
        <w:t xml:space="preserve"> o ověření </w:t>
      </w:r>
      <w:r>
        <w:t>včetně</w:t>
      </w:r>
      <w:r w:rsidRPr="007E67D8">
        <w:t xml:space="preserve"> závěrečn</w:t>
      </w:r>
      <w:r>
        <w:t>ých</w:t>
      </w:r>
      <w:r w:rsidRPr="007E67D8">
        <w:t xml:space="preserve"> shrnutí</w:t>
      </w:r>
      <w:r>
        <w:t xml:space="preserve"> auditů podle § 58 odst. 3. Každý provozovatel kolektivního systému by měl mít právo na přístup k informacím, které o něm díky provádění auditů získá koordinační centrum. Proto navrhovaný zákon ukládá koordinačnímu centru povinnost poskytnout </w:t>
      </w:r>
      <w:r w:rsidRPr="007E67D8">
        <w:t>kopie úplných zpráv o ověření</w:t>
      </w:r>
      <w:r>
        <w:t xml:space="preserve"> na vyžádání členovi, jehož se týkají.</w:t>
      </w:r>
    </w:p>
    <w:p w:rsidR="00CC0F90" w:rsidRPr="00E958B8" w:rsidRDefault="00CC0F90" w:rsidP="00CC0F90">
      <w:pPr>
        <w:spacing w:before="240"/>
        <w:rPr>
          <w:b/>
        </w:rPr>
      </w:pPr>
      <w:r w:rsidRPr="00E958B8">
        <w:rPr>
          <w:b/>
        </w:rPr>
        <w:t>K </w:t>
      </w:r>
      <w:r>
        <w:rPr>
          <w:b/>
        </w:rPr>
        <w:t>§</w:t>
      </w:r>
      <w:r w:rsidRPr="00E958B8">
        <w:rPr>
          <w:b/>
        </w:rPr>
        <w:t xml:space="preserve"> </w:t>
      </w:r>
      <w:r>
        <w:rPr>
          <w:b/>
        </w:rPr>
        <w:t>75</w:t>
      </w:r>
    </w:p>
    <w:p w:rsidR="00CC0F90" w:rsidRDefault="00CC0F90" w:rsidP="00CC0F90">
      <w:pPr>
        <w:spacing w:before="240"/>
      </w:pPr>
      <w:r>
        <w:t xml:space="preserve">Vzhledem k tomu, že koordinační činnost zajišťuje auditní činnost a koordinační úlohu vůči provozovatelům kolektivních systémů, tím spíše by mělo samo být podrobeno zvýšené účetní kontrole v podobě povinností </w:t>
      </w:r>
      <w:r w:rsidRPr="005C4DBA">
        <w:t>sestavit účetní závěrku a vyhotovit výroční zprávu podle zákona o účetnictví</w:t>
      </w:r>
      <w:r>
        <w:t xml:space="preserve"> a nechat účetní závěrku a výroční zprávu ověřit auditorem. Navrhovaný zákon specifikuje, jaké informace o aktivitách koordinačního centra nad rámec obecných požadavků vyplývajících ze zákona o účetnictví má výroční zpráva obsahovat.</w:t>
      </w:r>
    </w:p>
    <w:p w:rsidR="00CC0F90" w:rsidRPr="00E958B8" w:rsidRDefault="00CC0F90" w:rsidP="00BD7946">
      <w:pPr>
        <w:keepNext/>
        <w:spacing w:before="240"/>
        <w:rPr>
          <w:b/>
        </w:rPr>
      </w:pPr>
      <w:r w:rsidRPr="00E958B8">
        <w:rPr>
          <w:b/>
        </w:rPr>
        <w:t>K </w:t>
      </w:r>
      <w:r>
        <w:rPr>
          <w:b/>
        </w:rPr>
        <w:t>§</w:t>
      </w:r>
      <w:r w:rsidRPr="00E958B8">
        <w:rPr>
          <w:b/>
        </w:rPr>
        <w:t xml:space="preserve"> </w:t>
      </w:r>
      <w:r>
        <w:rPr>
          <w:b/>
        </w:rPr>
        <w:t>76</w:t>
      </w:r>
    </w:p>
    <w:p w:rsidR="00CC0F90" w:rsidRDefault="00CC0F90" w:rsidP="00CC0F90">
      <w:pPr>
        <w:spacing w:before="240"/>
      </w:pPr>
      <w:r>
        <w:t xml:space="preserve">Koordinační centrum získává díky sběru údajů z evidencí provozovatelů kolektivních systémů a zajišťování jejich auditů citlivé údaje o jednotlivých kolektivních systémech, výrobcích do nich zapojených a dalších smluvních partnerech provozovatelů kolektivních systémů. Tyto údaje mohou mít za podmínek uvedených v § 504 občanského zákoníku povahu obchodního tajemství, případně může jít o jiné důvěrné informace, jejichž vyzrazení neoprávněné osobě </w:t>
      </w:r>
      <w:r>
        <w:lastRenderedPageBreak/>
        <w:t xml:space="preserve">může být v hospodářské soutěži na újmu toho, koho se týkají. To je zejména případ </w:t>
      </w:r>
      <w:r w:rsidRPr="002271B6">
        <w:t>údaj</w:t>
      </w:r>
      <w:r>
        <w:t>ů o </w:t>
      </w:r>
      <w:r w:rsidRPr="002271B6">
        <w:t>množství vybraných výrobků uvedených na trh jednotlivými výrobci a údaje o množství výrobků s ukončenou životností, s nimiž nakládal</w:t>
      </w:r>
      <w:r>
        <w:t>i</w:t>
      </w:r>
      <w:r w:rsidRPr="002271B6">
        <w:t xml:space="preserve"> jednotliv</w:t>
      </w:r>
      <w:r>
        <w:t>í</w:t>
      </w:r>
      <w:r w:rsidRPr="002271B6">
        <w:t xml:space="preserve"> </w:t>
      </w:r>
      <w:r>
        <w:t>smluvní partneři provozovatele kolektivního systému. V případě těchto údajů proto navrhovaný zákon dokonce stanoví vyvratitelnou právní domněnku, že tyto údaje jsou předmětem obchodního tajemství.</w:t>
      </w:r>
    </w:p>
    <w:p w:rsidR="00CC0F90" w:rsidRDefault="00CC0F90" w:rsidP="00CC0F90">
      <w:pPr>
        <w:spacing w:before="240"/>
      </w:pPr>
      <w:r>
        <w:t>Z uvedených důvodů je navrhováno stanovit č</w:t>
      </w:r>
      <w:r w:rsidRPr="00146132">
        <w:t>len</w:t>
      </w:r>
      <w:r>
        <w:t>ům</w:t>
      </w:r>
      <w:r w:rsidRPr="00146132">
        <w:t xml:space="preserve"> koordinačního centra, jeho zaměstnanc</w:t>
      </w:r>
      <w:r>
        <w:t>ům</w:t>
      </w:r>
      <w:r w:rsidRPr="00146132">
        <w:t xml:space="preserve"> a člen</w:t>
      </w:r>
      <w:r>
        <w:t>ům</w:t>
      </w:r>
      <w:r w:rsidRPr="00146132">
        <w:t xml:space="preserve"> jeho orgánů povin</w:t>
      </w:r>
      <w:r>
        <w:t>nost</w:t>
      </w:r>
      <w:r w:rsidRPr="00146132">
        <w:t xml:space="preserve"> zachovávat mlčenlivost o skutečnostech tvořících předmět obchodního tajemství nebo důvěrnou informaci, o nichž se dozví v souvislosti s činností koordinačního centra.</w:t>
      </w:r>
      <w:r>
        <w:t xml:space="preserve"> P</w:t>
      </w:r>
      <w:r w:rsidRPr="00146132">
        <w:t xml:space="preserve">ovinnost mlčenlivosti se </w:t>
      </w:r>
      <w:r>
        <w:t xml:space="preserve">přitom </w:t>
      </w:r>
      <w:r w:rsidRPr="00146132">
        <w:t xml:space="preserve">nevztahuje na informace veřejně známé nebo veřejnosti dostupné z informačních systémů veřejné správy. </w:t>
      </w:r>
      <w:r>
        <w:t>Jejím po</w:t>
      </w:r>
      <w:r w:rsidRPr="00146132">
        <w:t xml:space="preserve">rušením není poskytnutí informací správním úřadům při výkonu jejich působnosti stanovené zákonem nebo poskytnutí svědectví v řízení před soudem. </w:t>
      </w:r>
      <w:r>
        <w:t>Zákon rovněž nepovažuje za p</w:t>
      </w:r>
      <w:r w:rsidRPr="00146132">
        <w:t>orušení povinnosti mlčenlivosti zveřejnění zobecněných informací, z nichž nevyplývá, které osoby se týkají.</w:t>
      </w:r>
      <w:r>
        <w:t xml:space="preserve"> To má význam pro to, aby mohly být zveřejňovány například sumarizované údaje o výsledcích činnosti a výkonnosti kolektivních systémů apod.</w:t>
      </w:r>
    </w:p>
    <w:p w:rsidR="00CC0F90" w:rsidRPr="00E958B8" w:rsidRDefault="00CC0F90" w:rsidP="00CC0F90">
      <w:pPr>
        <w:spacing w:before="240"/>
        <w:rPr>
          <w:b/>
        </w:rPr>
      </w:pPr>
      <w:r w:rsidRPr="00E958B8">
        <w:rPr>
          <w:b/>
        </w:rPr>
        <w:t>K </w:t>
      </w:r>
      <w:r>
        <w:rPr>
          <w:b/>
        </w:rPr>
        <w:t>§</w:t>
      </w:r>
      <w:r w:rsidRPr="00E958B8">
        <w:rPr>
          <w:b/>
        </w:rPr>
        <w:t xml:space="preserve"> </w:t>
      </w:r>
      <w:r>
        <w:rPr>
          <w:b/>
        </w:rPr>
        <w:t>77</w:t>
      </w:r>
    </w:p>
    <w:p w:rsidR="00CC0F90" w:rsidRDefault="00CC0F90" w:rsidP="00CC0F90">
      <w:pPr>
        <w:spacing w:before="240"/>
      </w:pPr>
      <w:r>
        <w:t xml:space="preserve">Dohled nad </w:t>
      </w:r>
      <w:r w:rsidRPr="00FE73B0">
        <w:t>činnost</w:t>
      </w:r>
      <w:r>
        <w:t>í</w:t>
      </w:r>
      <w:r w:rsidRPr="00FE73B0">
        <w:t xml:space="preserve"> koordinačního centra </w:t>
      </w:r>
      <w:r>
        <w:t xml:space="preserve">a </w:t>
      </w:r>
      <w:r w:rsidRPr="00FE73B0">
        <w:t>na</w:t>
      </w:r>
      <w:r>
        <w:t>d</w:t>
      </w:r>
      <w:r w:rsidRPr="00FE73B0">
        <w:t xml:space="preserve"> plnění</w:t>
      </w:r>
      <w:r>
        <w:t>m</w:t>
      </w:r>
      <w:r w:rsidRPr="00FE73B0">
        <w:t xml:space="preserve"> povinností, které tento zákon stanoví členům koordinačního centra</w:t>
      </w:r>
      <w:r>
        <w:t>, je svěřen M</w:t>
      </w:r>
      <w:r w:rsidRPr="00FE73B0">
        <w:t>inisterstv</w:t>
      </w:r>
      <w:r>
        <w:t>u životního prostředí</w:t>
      </w:r>
      <w:r w:rsidRPr="00FE73B0">
        <w:t xml:space="preserve">. </w:t>
      </w:r>
      <w:r>
        <w:t>Nástroji pro vynucování plnění povinností stanovených zákonem jsou uložení opatření a lhůt ke zjednání nápravy a dále uložení pokuty za přestupek (za tím účelem ministerstvo podává podnět ČIŽP).</w:t>
      </w:r>
    </w:p>
    <w:p w:rsidR="00CC0F90" w:rsidRPr="00E958B8" w:rsidRDefault="00CC0F90" w:rsidP="00CC0F90">
      <w:pPr>
        <w:spacing w:before="240"/>
        <w:rPr>
          <w:b/>
        </w:rPr>
      </w:pPr>
      <w:r w:rsidRPr="00E958B8">
        <w:rPr>
          <w:b/>
        </w:rPr>
        <w:t>K </w:t>
      </w:r>
      <w:r>
        <w:rPr>
          <w:b/>
        </w:rPr>
        <w:t>§</w:t>
      </w:r>
      <w:r w:rsidRPr="00E958B8">
        <w:rPr>
          <w:b/>
        </w:rPr>
        <w:t xml:space="preserve"> </w:t>
      </w:r>
      <w:r>
        <w:rPr>
          <w:b/>
        </w:rPr>
        <w:t>78</w:t>
      </w:r>
    </w:p>
    <w:p w:rsidR="00CC0F90" w:rsidRDefault="00CC0F90" w:rsidP="00CC0F90">
      <w:pPr>
        <w:spacing w:before="240"/>
      </w:pPr>
      <w:r>
        <w:t xml:space="preserve">Jak bylo výše uvedeno, koordinační centrum má smysl pouze tehdy, </w:t>
      </w:r>
      <w:r w:rsidRPr="006019E2">
        <w:t>působí-li současně v oblasti zpětného odběru téhož druhu výrobků s ukončenou životností alespoň dva kolektivní systémy.</w:t>
      </w:r>
      <w:r>
        <w:t xml:space="preserve"> Bez splnění této podmínky proto koordinační centrum vůbec nevznikne. Může však nastat situace, že následně po vzniku koordinačního dojde k zániku jednoho či více </w:t>
      </w:r>
      <w:r w:rsidRPr="006019E2">
        <w:t>oprávnění k provozování kolektivního systému</w:t>
      </w:r>
      <w:r>
        <w:t xml:space="preserve"> tak, že v koordinačním centru zůstane </w:t>
      </w:r>
      <w:r w:rsidRPr="006019E2">
        <w:t xml:space="preserve">pouze </w:t>
      </w:r>
      <w:r>
        <w:t>jeden</w:t>
      </w:r>
      <w:r w:rsidRPr="006019E2">
        <w:t xml:space="preserve"> člen</w:t>
      </w:r>
      <w:r>
        <w:t xml:space="preserve">. Navrhovaný zákon proto stanoví, že v takovém případě </w:t>
      </w:r>
      <w:r w:rsidRPr="006019E2">
        <w:t>ministerstvo rozhodne bezodkladně poté, co taková situace nastane, o zrušení koordinačního centra s likvidací a jmenuje likvidátora.</w:t>
      </w:r>
    </w:p>
    <w:p w:rsidR="00CC0F90" w:rsidRDefault="00CC0F90" w:rsidP="00CC0F90">
      <w:pPr>
        <w:spacing w:before="240"/>
      </w:pPr>
      <w:r>
        <w:t>V situaci, kdy je třeba vypořádat majetkové a další vztahy v souvislosti s ukončením činnosti koordinačního centra a kdy v koordinačním centru zbývá již pouze jediný člen, by odpovědnost za tyto kroky neměla být ponechána tomuto jedinému členovi, ale měl by ji převzít stát. Proto se navrhuje, aby likvidátora jmenovalo ministerstvo, které ostatně rozhodovalo jak o ustavení</w:t>
      </w:r>
      <w:r w:rsidRPr="00EC6BB9">
        <w:t xml:space="preserve"> </w:t>
      </w:r>
      <w:r w:rsidRPr="006019E2">
        <w:t>koordinačního centra</w:t>
      </w:r>
      <w:r>
        <w:t>, tak o jeho zrušení. Ministerstvo rovněž při likvidaci přebírá v</w:t>
      </w:r>
      <w:r w:rsidRPr="007117CA">
        <w:t>eškeré dokumenty vzniklé z činnosti koordinačního centra nebo mu při jeho činnosti předané</w:t>
      </w:r>
      <w:r>
        <w:t xml:space="preserve"> a s těmito dokumenty následně </w:t>
      </w:r>
      <w:r w:rsidRPr="007117CA">
        <w:t>zachází</w:t>
      </w:r>
      <w:r>
        <w:t xml:space="preserve"> </w:t>
      </w:r>
      <w:r w:rsidRPr="007117CA">
        <w:t>v souladu s právními předpisy upravujícími archivnictví a spisovou službu.</w:t>
      </w:r>
    </w:p>
    <w:p w:rsidR="00CC0F90" w:rsidRDefault="00CC0F90" w:rsidP="00CC0F90">
      <w:pPr>
        <w:spacing w:before="240"/>
      </w:pPr>
      <w:r>
        <w:lastRenderedPageBreak/>
        <w:t xml:space="preserve">Návrh řeší rovněž otázku naložení s likvidačním zůstatkem, který se likvidátorovi podaří zpeněžit. Koordinační centrum je financováno z příspěvků jeho členů, na druhou stranu by však nebylo přiměřené, pokud by celý likvidační zůstatek připadl jedinému zbývajícímu členovi koordinačního centra. Jelikož bezprostředně před jeho zrušením mělo koordinační centrum zpravidla dva členy (nedošlo-li k zániku několika oprávnění k provozování kolektivního systému současně), vychází návrh zákona z předpokladu, že zbývajícímu členovi by měla spravedlivě připadnout polovina likvidačního zůstatku. Druhá polovina však nebude vyplacena osobě, jejíž oprávnění k provozování kolektivního systému zaniklo, neboť ta již nebude zajišťovat kolektivní plnění povinností výrobců. Namísto toho se navrhuje, aby druhá polovina likvidačního zůstatku byla </w:t>
      </w:r>
      <w:r w:rsidRPr="007117CA">
        <w:t>odveden</w:t>
      </w:r>
      <w:r>
        <w:t>a</w:t>
      </w:r>
      <w:r w:rsidRPr="007117CA">
        <w:t xml:space="preserve"> do Státního fondu životního prostředí České republiky</w:t>
      </w:r>
      <w:r>
        <w:t xml:space="preserve">, z něhož mohou být tyto peněžní prostředky </w:t>
      </w:r>
      <w:r w:rsidRPr="007117CA">
        <w:t>použity pouze za účelem zlepšení systémů zpětného odběru a zpracování výrobků s ukončenou životností toho druhu, pro který bylo koordinační centrum ustaveno.</w:t>
      </w:r>
      <w:r>
        <w:t xml:space="preserve"> S výjimkou zvláštních pravidel stanovených tímto zákonem postupuje likvidátor při likvidaci koordinačního centra podle obecných ustanovení občanského zákoníku.</w:t>
      </w:r>
    </w:p>
    <w:p w:rsidR="00CC0F90" w:rsidRDefault="00CC0F90" w:rsidP="00CC0F90">
      <w:pPr>
        <w:spacing w:before="240"/>
      </w:pPr>
      <w:r w:rsidRPr="007117CA">
        <w:t xml:space="preserve">Po skončení likvidace </w:t>
      </w:r>
      <w:r>
        <w:t xml:space="preserve">podává likvidátor </w:t>
      </w:r>
      <w:r w:rsidRPr="007117CA">
        <w:t>ministerstv</w:t>
      </w:r>
      <w:r>
        <w:t>u</w:t>
      </w:r>
      <w:r w:rsidRPr="007117CA">
        <w:t xml:space="preserve"> návrh </w:t>
      </w:r>
      <w:r>
        <w:t>na výmaz koordinačního centra z </w:t>
      </w:r>
      <w:r w:rsidRPr="007117CA">
        <w:t>rejstříku koordinačních center</w:t>
      </w:r>
      <w:r>
        <w:t>. Tímto výmazem k</w:t>
      </w:r>
      <w:r w:rsidRPr="007117CA">
        <w:t>oordinační centrum za</w:t>
      </w:r>
      <w:r>
        <w:t>niká.</w:t>
      </w:r>
    </w:p>
    <w:p w:rsidR="00CC0F90" w:rsidRPr="00E958B8" w:rsidRDefault="00CC0F90" w:rsidP="00CC0F90">
      <w:pPr>
        <w:spacing w:before="240"/>
        <w:rPr>
          <w:b/>
        </w:rPr>
      </w:pPr>
      <w:r w:rsidRPr="00E958B8">
        <w:rPr>
          <w:b/>
        </w:rPr>
        <w:t>K </w:t>
      </w:r>
      <w:r>
        <w:rPr>
          <w:b/>
        </w:rPr>
        <w:t>§</w:t>
      </w:r>
      <w:r w:rsidRPr="00E958B8">
        <w:rPr>
          <w:b/>
        </w:rPr>
        <w:t xml:space="preserve"> </w:t>
      </w:r>
      <w:r>
        <w:rPr>
          <w:b/>
        </w:rPr>
        <w:t>79</w:t>
      </w:r>
    </w:p>
    <w:p w:rsidR="00CC0F90" w:rsidRPr="008A0224" w:rsidRDefault="00CC0F90" w:rsidP="00CC0F90">
      <w:pPr>
        <w:spacing w:before="240"/>
      </w:pPr>
      <w:r w:rsidRPr="008A0224">
        <w:t xml:space="preserve">Rozsah působnosti hlavy </w:t>
      </w:r>
      <w:r>
        <w:t>III dílu 1</w:t>
      </w:r>
      <w:r w:rsidRPr="008A0224">
        <w:t xml:space="preserve"> návrhu zákona je </w:t>
      </w:r>
      <w:r>
        <w:t>vymezen v souladu se</w:t>
      </w:r>
      <w:r w:rsidRPr="008A0224">
        <w:t xml:space="preserve"> směrnicí 2012/19/EU. Od 15. srpna 2018 dochází v návaznosti na tuto směrnici k otevření rozsahu působnosti, tedy aplikaci zákona na širší okruh elektrozařízení vymezených pozitivně definicí </w:t>
      </w:r>
      <w:r>
        <w:t xml:space="preserve">v </w:t>
      </w:r>
      <w:r w:rsidRPr="008A0224">
        <w:t>§</w:t>
      </w:r>
      <w:r>
        <w:t xml:space="preserve"> </w:t>
      </w:r>
      <w:r w:rsidRPr="008A0224">
        <w:t>3 odst. 1 písm. a) a negativně výjimkami uvedenými v § 7</w:t>
      </w:r>
      <w:r>
        <w:t>9</w:t>
      </w:r>
      <w:r w:rsidRPr="008A0224">
        <w:t xml:space="preserve"> odst. 3</w:t>
      </w:r>
      <w:r>
        <w:t xml:space="preserve"> a 4</w:t>
      </w:r>
      <w:r w:rsidRPr="008A0224">
        <w:t xml:space="preserve">. Zatímco do 14. srpna 2018 tedy bude rozsah působnosti </w:t>
      </w:r>
      <w:r>
        <w:t>dílu 1</w:t>
      </w:r>
      <w:r w:rsidRPr="008A0224">
        <w:t xml:space="preserve"> zahrnovat pouze ta elektrozařízení, která lze zařadit do některé ze </w:t>
      </w:r>
      <w:r w:rsidRPr="008A0224">
        <w:rPr>
          <w:bCs/>
        </w:rPr>
        <w:t>skupin uvedených v příloze č. 1 části I (</w:t>
      </w:r>
      <w:r>
        <w:rPr>
          <w:bCs/>
        </w:rPr>
        <w:t>s výjimkou zařízení uvedených v </w:t>
      </w:r>
      <w:r w:rsidRPr="008A0224">
        <w:t>§ 7</w:t>
      </w:r>
      <w:r>
        <w:t>9</w:t>
      </w:r>
      <w:r w:rsidRPr="008A0224">
        <w:t xml:space="preserve"> odst. 3)</w:t>
      </w:r>
      <w:r w:rsidRPr="008A0224">
        <w:rPr>
          <w:bCs/>
        </w:rPr>
        <w:t xml:space="preserve">, od </w:t>
      </w:r>
      <w:r w:rsidRPr="008A0224">
        <w:t xml:space="preserve">15. srpna 2018 se bude vztahovat na všechna elektrozařízení, která se vždy zařadí do některé z šesti nových skupin elektrozařízení </w:t>
      </w:r>
      <w:r w:rsidRPr="008A0224">
        <w:rPr>
          <w:bCs/>
        </w:rPr>
        <w:t xml:space="preserve">uvedených v příloze č. </w:t>
      </w:r>
      <w:r>
        <w:rPr>
          <w:bCs/>
        </w:rPr>
        <w:t>1</w:t>
      </w:r>
      <w:r w:rsidRPr="008A0224">
        <w:rPr>
          <w:bCs/>
        </w:rPr>
        <w:t xml:space="preserve"> části II</w:t>
      </w:r>
      <w:r w:rsidRPr="008A0224">
        <w:t>, nebude-li se jednat o zařízení uvedená v § 7</w:t>
      </w:r>
      <w:r>
        <w:t>9</w:t>
      </w:r>
      <w:r w:rsidRPr="008A0224">
        <w:t xml:space="preserve"> odst. 3 a 4. Skupiny elektrozařízení vymezené v části I i části II přílohy </w:t>
      </w:r>
      <w:r w:rsidRPr="008A0224">
        <w:rPr>
          <w:bCs/>
        </w:rPr>
        <w:t xml:space="preserve">č. 1 budou dále konkretizovány prostřednictvím </w:t>
      </w:r>
      <w:r>
        <w:rPr>
          <w:bCs/>
        </w:rPr>
        <w:t>podskupin</w:t>
      </w:r>
      <w:r w:rsidRPr="008A0224">
        <w:rPr>
          <w:bCs/>
        </w:rPr>
        <w:t xml:space="preserve">, které spadají do těchto skupin. Tyto </w:t>
      </w:r>
      <w:r>
        <w:rPr>
          <w:bCs/>
        </w:rPr>
        <w:t>podskupiny</w:t>
      </w:r>
      <w:r w:rsidRPr="008A0224">
        <w:rPr>
          <w:bCs/>
        </w:rPr>
        <w:t xml:space="preserve"> stanoví ministerstvo vyhláškou</w:t>
      </w:r>
      <w:r w:rsidRPr="008A0224">
        <w:t xml:space="preserve">. </w:t>
      </w:r>
      <w:r>
        <w:t>P</w:t>
      </w:r>
      <w:r>
        <w:rPr>
          <w:bCs/>
        </w:rPr>
        <w:t>odskupiny</w:t>
      </w:r>
      <w:r w:rsidRPr="008A0224">
        <w:rPr>
          <w:bCs/>
        </w:rPr>
        <w:t xml:space="preserve"> bud</w:t>
      </w:r>
      <w:r>
        <w:rPr>
          <w:bCs/>
        </w:rPr>
        <w:t xml:space="preserve">ou v návaznosti na </w:t>
      </w:r>
      <w:r w:rsidRPr="008A0224">
        <w:rPr>
          <w:bCs/>
        </w:rPr>
        <w:t>směrnic</w:t>
      </w:r>
      <w:r>
        <w:rPr>
          <w:bCs/>
        </w:rPr>
        <w:t>i</w:t>
      </w:r>
      <w:r w:rsidRPr="008A0224">
        <w:rPr>
          <w:bCs/>
        </w:rPr>
        <w:t xml:space="preserve"> </w:t>
      </w:r>
      <w:r w:rsidRPr="008A0224">
        <w:t>2012/19/EU</w:t>
      </w:r>
      <w:r w:rsidRPr="008A0224">
        <w:rPr>
          <w:bCs/>
        </w:rPr>
        <w:t xml:space="preserve"> kopírovat současný Seznam elektrozařízení stanovený v příloze č. 1 k vyhlášce o nakládání s elektrozařízeními a elektroodpady.</w:t>
      </w:r>
    </w:p>
    <w:p w:rsidR="00CC0F90" w:rsidRDefault="00CC0F90" w:rsidP="00CC0F90">
      <w:pPr>
        <w:spacing w:before="240"/>
      </w:pPr>
      <w:r>
        <w:t>Na základě</w:t>
      </w:r>
      <w:r w:rsidRPr="009B0FE1">
        <w:t xml:space="preserve"> § 7</w:t>
      </w:r>
      <w:r>
        <w:t>9</w:t>
      </w:r>
      <w:r w:rsidRPr="009B0FE1">
        <w:t xml:space="preserve"> odst. 3 písm. b) </w:t>
      </w:r>
      <w:r>
        <w:t>se</w:t>
      </w:r>
      <w:r w:rsidRPr="009B0FE1">
        <w:t xml:space="preserve"> zákon</w:t>
      </w:r>
      <w:r>
        <w:t xml:space="preserve"> v souladu se</w:t>
      </w:r>
      <w:r w:rsidRPr="008A0224">
        <w:t xml:space="preserve"> směrnicí 2012/19/EU</w:t>
      </w:r>
      <w:r>
        <w:t xml:space="preserve"> nevztahuje na</w:t>
      </w:r>
      <w:r w:rsidRPr="009B0FE1">
        <w:t xml:space="preserve"> zařízení navržená a nainstalovaná jako část jiného zařízení, které nespadá do oblasti působnosti tohoto zákona, jestliže mohou plnit svou funkci pouze jako součást tohoto zařízení. </w:t>
      </w:r>
      <w:r>
        <w:t>Této</w:t>
      </w:r>
      <w:r w:rsidRPr="009B0FE1">
        <w:t xml:space="preserve"> výjimky</w:t>
      </w:r>
      <w:r>
        <w:t xml:space="preserve"> však bylo v praxi zneužíváno s cílem</w:t>
      </w:r>
      <w:r w:rsidRPr="009B0FE1">
        <w:t xml:space="preserve"> vyhnout </w:t>
      </w:r>
      <w:r>
        <w:t xml:space="preserve">se </w:t>
      </w:r>
      <w:r w:rsidRPr="009B0FE1">
        <w:t>plnění povinností výrobc</w:t>
      </w:r>
      <w:r>
        <w:t>e</w:t>
      </w:r>
      <w:r w:rsidRPr="009B0FE1">
        <w:t xml:space="preserve"> elektrozařízení </w:t>
      </w:r>
      <w:r>
        <w:t xml:space="preserve">zejména v případech solárních panelů a světelných zdrojů </w:t>
      </w:r>
      <w:r w:rsidRPr="009B0FE1">
        <w:t xml:space="preserve">s odůvodněním, že </w:t>
      </w:r>
      <w:r>
        <w:t>tyto výrobky</w:t>
      </w:r>
      <w:r w:rsidRPr="009B0FE1">
        <w:t xml:space="preserve"> uváděn</w:t>
      </w:r>
      <w:r>
        <w:t>é</w:t>
      </w:r>
      <w:r w:rsidRPr="009B0FE1">
        <w:t xml:space="preserve"> na trh budou sloužit výhradně jako nedílná součást jiných zařízení (např. solární panely umístěné na stavbách apod.).</w:t>
      </w:r>
      <w:r>
        <w:t xml:space="preserve"> Předmětná výjimka, i s ohledem na výkladovou praxi Evropské komise (srov. </w:t>
      </w:r>
      <w:r w:rsidRPr="00AE6388">
        <w:rPr>
          <w:iCs/>
        </w:rPr>
        <w:t xml:space="preserve">interpretační příručka </w:t>
      </w:r>
      <w:r w:rsidRPr="00AE6388">
        <w:rPr>
          <w:bCs/>
          <w:iCs/>
        </w:rPr>
        <w:t>Frequently Asked Questions on Directive 2012/19/EU on Waste Electrical and Electronic Equipment (WEEE)</w:t>
      </w:r>
      <w:r>
        <w:rPr>
          <w:bCs/>
          <w:iCs/>
        </w:rPr>
        <w:t xml:space="preserve">) </w:t>
      </w:r>
      <w:r>
        <w:rPr>
          <w:iCs/>
        </w:rPr>
        <w:t>a</w:t>
      </w:r>
      <w:r>
        <w:t xml:space="preserve"> Soudního dvora EU (srov. </w:t>
      </w:r>
      <w:r w:rsidRPr="00741F55">
        <w:t xml:space="preserve">rozsudek ve věci C-369/14 </w:t>
      </w:r>
      <w:r w:rsidRPr="00741F55">
        <w:rPr>
          <w:i/>
        </w:rPr>
        <w:t xml:space="preserve">Sommer Antriebs- und </w:t>
      </w:r>
      <w:r w:rsidRPr="00741F55">
        <w:rPr>
          <w:i/>
        </w:rPr>
        <w:lastRenderedPageBreak/>
        <w:t>Funktechnik</w:t>
      </w:r>
      <w:r w:rsidRPr="00741F55">
        <w:t>), by však neměla být vykládána takto</w:t>
      </w:r>
      <w:r>
        <w:t xml:space="preserve"> extenzivně, neboť jak </w:t>
      </w:r>
      <w:r w:rsidRPr="009B0FE1">
        <w:t>solární panely</w:t>
      </w:r>
      <w:r>
        <w:t>, tak</w:t>
      </w:r>
      <w:r w:rsidRPr="009B0FE1">
        <w:t xml:space="preserve"> </w:t>
      </w:r>
      <w:r>
        <w:t xml:space="preserve">světelné zdroje mohou plnit svou funkci i bez zabudování například do konstrukce stavby nebo mohou být </w:t>
      </w:r>
      <w:r w:rsidRPr="00741F55">
        <w:rPr>
          <w:bCs/>
        </w:rPr>
        <w:t>kdykoli odmontovány</w:t>
      </w:r>
      <w:r>
        <w:rPr>
          <w:bCs/>
        </w:rPr>
        <w:t xml:space="preserve"> a</w:t>
      </w:r>
      <w:r w:rsidRPr="00741F55">
        <w:rPr>
          <w:bCs/>
        </w:rPr>
        <w:t xml:space="preserve"> opět namontovány</w:t>
      </w:r>
      <w:r>
        <w:t xml:space="preserve">. Za účelem vyloučení pochybností proto navrhovaný zákon omezuje použití výjimky podle </w:t>
      </w:r>
      <w:r w:rsidRPr="009B0FE1">
        <w:t>§ 7</w:t>
      </w:r>
      <w:r>
        <w:t>9</w:t>
      </w:r>
      <w:r w:rsidRPr="009B0FE1">
        <w:t xml:space="preserve"> odst. 3 písm. b)</w:t>
      </w:r>
      <w:r>
        <w:t xml:space="preserve"> tak</w:t>
      </w:r>
      <w:r w:rsidRPr="009B0FE1">
        <w:t>,</w:t>
      </w:r>
      <w:r>
        <w:t xml:space="preserve"> že z ní výslovně vyjímá tato elektrozařízení.</w:t>
      </w:r>
    </w:p>
    <w:p w:rsidR="00CC0F90" w:rsidRDefault="00CC0F90" w:rsidP="00BD7946">
      <w:pPr>
        <w:keepNext/>
        <w:spacing w:before="240"/>
        <w:rPr>
          <w:b/>
        </w:rPr>
      </w:pPr>
      <w:r>
        <w:rPr>
          <w:b/>
        </w:rPr>
        <w:t>K § 80</w:t>
      </w:r>
    </w:p>
    <w:p w:rsidR="00CC0F90" w:rsidRPr="009B0FE1" w:rsidRDefault="00CC0F90" w:rsidP="00CC0F90">
      <w:pPr>
        <w:spacing w:before="240"/>
      </w:pPr>
      <w:r>
        <w:t>Ustanovení vymezující další pojmy používané v </w:t>
      </w:r>
      <w:r w:rsidDel="003F29AE">
        <w:t xml:space="preserve"> </w:t>
      </w:r>
      <w:r>
        <w:t>dílu 1 definují v prvé řadě elektrozařízení z pohledu způsobu jeho použití, protože na výrobce elektrozařízení určených k použití v domácnostech se vztahují ve vybraných případech odlišné povinnosti, na rozdíl od výrobců elektrozařízení určených k použití mimo domácnosti. Dále je vymezen pojem elektrozařízení pocházející z domácností, který vychází přímo z článku 3 směrnice 2012/19/EU. Definice úrovně zpětného odběru se zavádí v souvislosti s povinností výrobce dosáhnout minimální úrovně zpětného odběru odpadních elektrozařízení a v souladu se směrnicí 2012/19/EU určuje, jak má být tato úroveň počítána; na rozdíl od směrnice, která vztahuje sběrné cíle na členské státy, je však třeba řešit i případ nových výrobců, kteří začali uvádět elektrozařízení na trh až v daném kalendářním roce (tzn. v předchozích třech letech neuvedli na trh žádná elektrozařízení). Pojmem zpracovatel je jasně definován subjekt zpracovávající odpadní elektrozařízení s tím, že tato činnost je prováděna výhradně v zařízení určeném pro nakládání s</w:t>
      </w:r>
      <w:r>
        <w:rPr>
          <w:lang w:eastAsia="cs-CZ"/>
        </w:rPr>
        <w:t xml:space="preserve"> tímto druhem odpadu podle zákona o odpadech</w:t>
      </w:r>
      <w:r>
        <w:t>. V současném zákoně o odpadech tento pojem není definován, což způsobuje v praxi mnohdy problémy. Dále jsou pak vymezeny pojmy jako fotovoltaický článek, solární panel, odpadní solární panel, solární elektrárna, provozovatel solární elektrárny, a to obdobně jako v dosavadním zákoně o odpadech, ve vazbě na úpravu povinností zpětného odběru, zpracování</w:t>
      </w:r>
      <w:r w:rsidRPr="004A71DC">
        <w:t>, využití a odstranění</w:t>
      </w:r>
      <w:r>
        <w:t xml:space="preserve"> odpadních solárních panelů. Pojmy velké stacionární průmyslové soustrojí, velká pevná instalace a nesilniční pojízdný stroj vycházejí přímo ze směrnice 2012/19/EU, která je definuje s cílem vyloučení těchto zařízení z její působnosti.</w:t>
      </w:r>
    </w:p>
    <w:p w:rsidR="00CC0F90" w:rsidRPr="00E958B8" w:rsidRDefault="00CC0F90" w:rsidP="00CC0F90">
      <w:pPr>
        <w:spacing w:before="240"/>
        <w:rPr>
          <w:b/>
        </w:rPr>
      </w:pPr>
      <w:r w:rsidRPr="00E958B8">
        <w:rPr>
          <w:b/>
        </w:rPr>
        <w:t>K </w:t>
      </w:r>
      <w:r>
        <w:rPr>
          <w:b/>
        </w:rPr>
        <w:t>§</w:t>
      </w:r>
      <w:r w:rsidRPr="00E958B8">
        <w:rPr>
          <w:b/>
        </w:rPr>
        <w:t xml:space="preserve"> </w:t>
      </w:r>
      <w:r>
        <w:rPr>
          <w:b/>
        </w:rPr>
        <w:t>81</w:t>
      </w:r>
    </w:p>
    <w:p w:rsidR="00CC0F90" w:rsidRDefault="00CC0F90" w:rsidP="00CC0F90">
      <w:pPr>
        <w:spacing w:before="240"/>
      </w:pPr>
      <w:r w:rsidRPr="00652A91">
        <w:t xml:space="preserve">V souladu se směrnicí 2012/19/EU </w:t>
      </w:r>
      <w:r>
        <w:t>spadají pod</w:t>
      </w:r>
      <w:r w:rsidRPr="00652A91">
        <w:t xml:space="preserve"> poj</w:t>
      </w:r>
      <w:r>
        <w:t>e</w:t>
      </w:r>
      <w:r w:rsidRPr="00652A91">
        <w:t>m výrobce</w:t>
      </w:r>
      <w:r>
        <w:t xml:space="preserve"> elektrozařízení</w:t>
      </w:r>
      <w:r w:rsidRPr="00652A91">
        <w:t xml:space="preserve"> také zahraniční internetov</w:t>
      </w:r>
      <w:r>
        <w:t>í</w:t>
      </w:r>
      <w:r w:rsidRPr="00652A91">
        <w:t xml:space="preserve"> prodejc</w:t>
      </w:r>
      <w:r>
        <w:t>i</w:t>
      </w:r>
      <w:r w:rsidRPr="00652A91">
        <w:t>, tj. osoby, které prodávají elektrozařízení prostřednictvím prostředků komunikace na dálku přímo konečným uživatelům do České republiky z jiného státu, kde jsou usazeny. U jiných osob, které se považují za výrobce</w:t>
      </w:r>
      <w:r w:rsidRPr="00145450">
        <w:t xml:space="preserve"> </w:t>
      </w:r>
      <w:r>
        <w:t>elektrozařízení</w:t>
      </w:r>
      <w:r w:rsidRPr="00652A91">
        <w:t>, je výslovně stanoveno, že tyto osoby musí být usazeny v České republice.</w:t>
      </w:r>
      <w:r>
        <w:t xml:space="preserve"> V návaznosti na článek 17 </w:t>
      </w:r>
      <w:r w:rsidRPr="00652A91">
        <w:t>směrnic</w:t>
      </w:r>
      <w:r>
        <w:t>e</w:t>
      </w:r>
      <w:r w:rsidRPr="00652A91">
        <w:t xml:space="preserve"> 2012/19/EU</w:t>
      </w:r>
      <w:r>
        <w:t xml:space="preserve"> navrhovaný zákon stanoví, že výrobce elektrozařízení, který je </w:t>
      </w:r>
      <w:r w:rsidRPr="00652A91">
        <w:t>zahraniční</w:t>
      </w:r>
      <w:r>
        <w:t>m</w:t>
      </w:r>
      <w:r w:rsidRPr="00652A91">
        <w:t xml:space="preserve"> internetov</w:t>
      </w:r>
      <w:r>
        <w:t>ým</w:t>
      </w:r>
      <w:r w:rsidRPr="00652A91">
        <w:t xml:space="preserve"> </w:t>
      </w:r>
      <w:r w:rsidRPr="00256B57">
        <w:t>prodejcem</w:t>
      </w:r>
      <w:r>
        <w:t>,</w:t>
      </w:r>
      <w:r w:rsidRPr="00256B57">
        <w:t xml:space="preserve"> musí mít za účelem plnění povinností stanovených tímto zákonem určeného svého pověřeného zástupce</w:t>
      </w:r>
      <w:r>
        <w:t xml:space="preserve">. Odstavcem 3 je pak provedena povinnost České </w:t>
      </w:r>
      <w:r w:rsidRPr="00F667A7">
        <w:t>republik</w:t>
      </w:r>
      <w:r>
        <w:t>y</w:t>
      </w:r>
      <w:r w:rsidRPr="00F667A7">
        <w:t xml:space="preserve"> </w:t>
      </w:r>
      <w:r>
        <w:t xml:space="preserve">podle citovaného ustanovení směrnice </w:t>
      </w:r>
      <w:r w:rsidRPr="00F667A7">
        <w:t xml:space="preserve">recipročně zajistit, aby čeští </w:t>
      </w:r>
      <w:r>
        <w:t>„</w:t>
      </w:r>
      <w:r w:rsidRPr="00F667A7">
        <w:t>internetoví prodejci</w:t>
      </w:r>
      <w:r>
        <w:t>“</w:t>
      </w:r>
      <w:r w:rsidRPr="00F667A7">
        <w:t xml:space="preserve"> ustanovili </w:t>
      </w:r>
      <w:r>
        <w:t xml:space="preserve">pověřené </w:t>
      </w:r>
      <w:r w:rsidRPr="00F667A7">
        <w:t>zástupce</w:t>
      </w:r>
      <w:r>
        <w:t xml:space="preserve"> (resp. zplnomocněné zástupce dle dikce směrnice)</w:t>
      </w:r>
      <w:r w:rsidRPr="00F667A7">
        <w:t xml:space="preserve"> v členských státech, kam dodávají nová elektrozařízení. Směrnice 2012/19/EU tímto způsobem řeší na unijní úrovni problematiku free-ridingu zahraničních internetových prodejců ve vztahu k povinnostem </w:t>
      </w:r>
      <w:r w:rsidRPr="00F667A7">
        <w:rPr>
          <w:bCs/>
        </w:rPr>
        <w:t>zpětného odběru, zpracování, využití a</w:t>
      </w:r>
      <w:r>
        <w:rPr>
          <w:bCs/>
        </w:rPr>
        <w:t> </w:t>
      </w:r>
      <w:r w:rsidRPr="00F667A7">
        <w:rPr>
          <w:bCs/>
        </w:rPr>
        <w:t xml:space="preserve">odstranění </w:t>
      </w:r>
      <w:r>
        <w:rPr>
          <w:bCs/>
        </w:rPr>
        <w:t xml:space="preserve">odpadních </w:t>
      </w:r>
      <w:r w:rsidRPr="00F667A7">
        <w:rPr>
          <w:bCs/>
        </w:rPr>
        <w:t>elektrozařízení</w:t>
      </w:r>
      <w:r w:rsidRPr="00F667A7">
        <w:t>.</w:t>
      </w:r>
    </w:p>
    <w:p w:rsidR="00CC0F90" w:rsidRPr="00652A91" w:rsidRDefault="00CC0F90" w:rsidP="00CC0F90">
      <w:pPr>
        <w:spacing w:before="240"/>
      </w:pPr>
      <w:r>
        <w:lastRenderedPageBreak/>
        <w:t>Požadavky na pověřeného zástupce, způsob jeho určení a podmínky jeho odpovědnosti jsou stanoveny v § 10.</w:t>
      </w:r>
    </w:p>
    <w:p w:rsidR="00CC0F90" w:rsidRDefault="00CC0F90" w:rsidP="00CC0F90">
      <w:pPr>
        <w:spacing w:before="240"/>
      </w:pPr>
      <w:r>
        <w:t xml:space="preserve">Navrhovaný zákon rovněž v souladu s článkem 17 </w:t>
      </w:r>
      <w:r w:rsidRPr="00652A91">
        <w:t>směrnic</w:t>
      </w:r>
      <w:r>
        <w:t>e</w:t>
      </w:r>
      <w:r w:rsidRPr="00652A91">
        <w:t xml:space="preserve"> 2012/19/EU</w:t>
      </w:r>
      <w:r>
        <w:t xml:space="preserve"> upravuje m</w:t>
      </w:r>
      <w:r w:rsidRPr="00652A91">
        <w:t>ožnost</w:t>
      </w:r>
      <w:r>
        <w:t xml:space="preserve"> určit</w:t>
      </w:r>
      <w:r w:rsidRPr="00652A91">
        <w:t xml:space="preserve"> si pověřeného zástupce osob</w:t>
      </w:r>
      <w:r>
        <w:t>ě</w:t>
      </w:r>
      <w:r w:rsidRPr="00652A91">
        <w:t xml:space="preserve"> usazen</w:t>
      </w:r>
      <w:r>
        <w:t>é</w:t>
      </w:r>
      <w:r w:rsidRPr="00652A91">
        <w:t xml:space="preserve"> v jiném členském státě, </w:t>
      </w:r>
      <w:r>
        <w:t>která není současně usazena v České republice, a prostřednictvím jiných dodavatelů uvádí na tuzemský trh elektrozařízení. Taková osoba není výrobcem elektrozařízení, neboť není usazena v ČR a ani zde přímo neuvádí elektrozařízení na trh. Výrobcem je v tomto případě „dovozce“, který</w:t>
      </w:r>
      <w:r w:rsidRPr="003A48B0">
        <w:t xml:space="preserve"> </w:t>
      </w:r>
      <w:r>
        <w:t xml:space="preserve">elektrozařízení pocházející od této osoby do ČR dodal (uvedl na trh). Využije-li však uvedená osoba možnosti určit si za podmínek podle § 10 pověřeného zástupce, odpovídá takto určený pověřený zástupce za plnění povinností výrobce namísto všech „dovozců“ daných výrobků. </w:t>
      </w:r>
      <w:r w:rsidRPr="00210FE6">
        <w:t>Z toho důvodu navrhovaný zákon stanoví, že osoba, která si takto pověřeného zástupce určí, je povinna o tomto kroku, jakož i o změně a odvolání pověřeného zástupce, informovat své odběratele.</w:t>
      </w:r>
      <w:r>
        <w:t xml:space="preserve"> Možnost určit si „fakultativního“ pověřeného zástupce může být využívána např. zahraničními výrobci elektrozařízení (ve smyslu faktickém), kteří chtějí zajistit jednotné plnění povinností zpětného odběru a zpracování v jiných členských státech EU, pokud jde o jejich výrobky, prostřednictvím autorizovaných prodejců apod.</w:t>
      </w:r>
    </w:p>
    <w:p w:rsidR="00CC0F90" w:rsidRPr="00CB7A31" w:rsidRDefault="00CC0F90" w:rsidP="00CC0F90">
      <w:pPr>
        <w:spacing w:before="240"/>
        <w:rPr>
          <w:b/>
        </w:rPr>
      </w:pPr>
      <w:r w:rsidRPr="00CB7A31">
        <w:rPr>
          <w:b/>
        </w:rPr>
        <w:t>K § 8</w:t>
      </w:r>
      <w:r>
        <w:rPr>
          <w:b/>
        </w:rPr>
        <w:t>2</w:t>
      </w:r>
    </w:p>
    <w:p w:rsidR="00CC0F90" w:rsidRPr="00AC6631" w:rsidRDefault="00CC0F90" w:rsidP="00CC0F90">
      <w:pPr>
        <w:spacing w:before="240"/>
      </w:pPr>
      <w:r>
        <w:t xml:space="preserve">Pro účely informování konečných uživatelů o tom, že odpadní elektrozařízení nemají být odkládána jako směsný komunální odpad, navrhovaný zákon stanoví výrobcům povinnost označovat elektrozařízení grafickým symbolem, jehož vzor stanoví vyhláška ministerstva. Jedná se o tzv. přeškrtnutou popelnici, která se v současné době již používá k označování všech elektrozařízení. Z důvodu odlišného režimu financování zpětného odběru a nakládání s odpadními elektrozařízeními, která byla uvedena na trh do dne 13. srpna 2005 (historická elektrozařízení), požaduje zákon </w:t>
      </w:r>
      <w:r w:rsidRPr="00AC6631">
        <w:t>také, aby z označení elektrozařízení bylo patrné, že elektrozařízení bylo uvedeno na trh po 13. srpnu 2005.</w:t>
      </w:r>
    </w:p>
    <w:p w:rsidR="00CC0F90" w:rsidRPr="00CB7A31" w:rsidRDefault="00CC0F90" w:rsidP="00CC0F90">
      <w:pPr>
        <w:spacing w:before="240"/>
        <w:rPr>
          <w:b/>
        </w:rPr>
      </w:pPr>
      <w:r>
        <w:rPr>
          <w:b/>
        </w:rPr>
        <w:t>K § 83</w:t>
      </w:r>
    </w:p>
    <w:p w:rsidR="00CC0F90" w:rsidRDefault="00CC0F90" w:rsidP="00CC0F90">
      <w:pPr>
        <w:spacing w:before="240"/>
      </w:pPr>
      <w:r>
        <w:t>Aby bylo dosaženo vysoké úrovně zpětného odběru a naplněny cíle právní úpravy, pokud jde o zajištění ochrany životního prostředí, musí výrobce plnit povinnosti informování konečných uživatelů o zpětném odběru výrobků s ukončenou životností, které uvádí na trh. Výrobce tyto povinnosti plní prostřednictvím posledních prodejců, tedy při koupi výrobku, a to písemně a na vlastní náklady. Informační povinnosti výrobců jsou upraveny zvlášť pro jednotlivé druhy vybraných výrobků, jelikož konkrétní požadavky nejsou zcela totožné (v případě elektrozařízení a baterií a akumulátorů vycházejí z příslušných evropských směrnic).</w:t>
      </w:r>
    </w:p>
    <w:p w:rsidR="00CC0F90" w:rsidRPr="001B773E" w:rsidRDefault="00CC0F90" w:rsidP="00CC0F90">
      <w:pPr>
        <w:spacing w:before="240"/>
      </w:pPr>
      <w:r>
        <w:t xml:space="preserve">Konečný uživatel musí být informován o tom, že odpadní elektrozařízení se odkládají mimo netříděný komunální odpad a že je možné je odevzdat na místa k tomu určená. Dále by měl obdržet informace o škodlivých vlivech a nebezpečných látkách obsažených v elektrozařízení na životní prostředí a lidské zdraví. Elektrozařízení mohou totiž obsahovat řadu nebezpečných látek, jako je rtuť a další těžké kovy, které se sice při běžném používání zpravidla do okolí neuvolňují, avšak při rozbití či demontáži elektrozařízení může dojít k jejich uvolnění. </w:t>
      </w:r>
      <w:r>
        <w:lastRenderedPageBreak/>
        <w:t>Konečnému uživateli by měla být též poskytnuta informace o významu grafického symbolu pro zpětný odběr.</w:t>
      </w:r>
    </w:p>
    <w:p w:rsidR="00CC0F90" w:rsidRDefault="00CC0F90" w:rsidP="00BD7946">
      <w:pPr>
        <w:keepNext/>
        <w:spacing w:before="240"/>
        <w:rPr>
          <w:b/>
        </w:rPr>
      </w:pPr>
      <w:r w:rsidRPr="00652A91">
        <w:rPr>
          <w:b/>
        </w:rPr>
        <w:t>K § 8</w:t>
      </w:r>
      <w:r>
        <w:rPr>
          <w:b/>
        </w:rPr>
        <w:t>4</w:t>
      </w:r>
      <w:r w:rsidRPr="00652A91">
        <w:rPr>
          <w:b/>
        </w:rPr>
        <w:t xml:space="preserve"> </w:t>
      </w:r>
    </w:p>
    <w:p w:rsidR="00CC0F90" w:rsidRPr="00FE06FB" w:rsidRDefault="00CC0F90" w:rsidP="00CC0F90">
      <w:pPr>
        <w:spacing w:before="240"/>
      </w:pPr>
      <w:r w:rsidRPr="00FE06FB">
        <w:t xml:space="preserve">V </w:t>
      </w:r>
      <w:r>
        <w:t>odstavci</w:t>
      </w:r>
      <w:r w:rsidRPr="00FE06FB">
        <w:t xml:space="preserve"> 1 jsou </w:t>
      </w:r>
      <w:r>
        <w:t xml:space="preserve">konkretizovány povinnosti </w:t>
      </w:r>
      <w:r w:rsidRPr="00FE06FB">
        <w:t>výrobc</w:t>
      </w:r>
      <w:r>
        <w:t>e</w:t>
      </w:r>
      <w:r w:rsidRPr="00FE06FB">
        <w:t xml:space="preserve"> elektrozařízení </w:t>
      </w:r>
      <w:r>
        <w:t>týkající se zpětného odběru odpadních elektrozařízení, které vycházejí</w:t>
      </w:r>
      <w:r w:rsidRPr="00FE06FB">
        <w:t xml:space="preserve"> především ze směrnice 2012/19/EU. V</w:t>
      </w:r>
      <w:r>
        <w:t>ýrobcům elektrozařízení</w:t>
      </w:r>
      <w:r w:rsidRPr="00FE06FB">
        <w:t xml:space="preserve"> zákon </w:t>
      </w:r>
      <w:r>
        <w:t>nově ukládá dosáhnout v každém kalendářním roce</w:t>
      </w:r>
      <w:r w:rsidRPr="00FE06FB">
        <w:t xml:space="preserve"> minimální úrov</w:t>
      </w:r>
      <w:r>
        <w:t>ně</w:t>
      </w:r>
      <w:r w:rsidRPr="00FE06FB">
        <w:t xml:space="preserve"> zpětného odběru v souladu s čl. 7 odst. 1 směrnice 2012/19/EU</w:t>
      </w:r>
      <w:r>
        <w:t>,</w:t>
      </w:r>
      <w:r w:rsidRPr="00FE06FB">
        <w:t xml:space="preserve"> který stanoví, že na základě uplatnění zásady odpovědnosti výrobce má být každoročně dosažena minimální úroveň sběru odpadních elektrozařízení. </w:t>
      </w:r>
    </w:p>
    <w:p w:rsidR="00CC0F90" w:rsidRPr="00652A91" w:rsidRDefault="00CC0F90" w:rsidP="00CC0F90">
      <w:pPr>
        <w:spacing w:before="240"/>
      </w:pPr>
      <w:r w:rsidRPr="00652A91">
        <w:t xml:space="preserve">K úrovni </w:t>
      </w:r>
      <w:r>
        <w:t>zpětného odběru</w:t>
      </w:r>
      <w:r w:rsidRPr="00652A91">
        <w:t xml:space="preserve"> odpadních elektr</w:t>
      </w:r>
      <w:r>
        <w:t>o</w:t>
      </w:r>
      <w:r w:rsidRPr="00652A91">
        <w:t>zařízení je třeba uvést, že tato za rok 2014 dosahovala v České republice cca 33</w:t>
      </w:r>
      <w:r>
        <w:t xml:space="preserve"> </w:t>
      </w:r>
      <w:r w:rsidRPr="00652A91">
        <w:t xml:space="preserve">%. Směrnice 2012/19/EU </w:t>
      </w:r>
      <w:r>
        <w:t>zavazuje Českou republiku dosáhnout do</w:t>
      </w:r>
      <w:r w:rsidRPr="00652A91">
        <w:t xml:space="preserve"> roku 2016 úrov</w:t>
      </w:r>
      <w:r>
        <w:t>ně</w:t>
      </w:r>
      <w:r w:rsidRPr="00652A91">
        <w:t xml:space="preserve"> sběru odpadních elektr</w:t>
      </w:r>
      <w:r>
        <w:t>o</w:t>
      </w:r>
      <w:r w:rsidRPr="00652A91">
        <w:t xml:space="preserve">zařízení </w:t>
      </w:r>
      <w:r>
        <w:t>vyšší než</w:t>
      </w:r>
      <w:r w:rsidRPr="00652A91">
        <w:t xml:space="preserve"> 40 % a do roku 2021 </w:t>
      </w:r>
      <w:r>
        <w:t>nejméně</w:t>
      </w:r>
      <w:r w:rsidRPr="00652A91">
        <w:t xml:space="preserve"> 65</w:t>
      </w:r>
      <w:r>
        <w:t xml:space="preserve"> </w:t>
      </w:r>
      <w:r w:rsidRPr="00652A91">
        <w:t>%. Česká republika může v souladu se směrnic</w:t>
      </w:r>
      <w:r>
        <w:t>í</w:t>
      </w:r>
      <w:r w:rsidRPr="00652A91">
        <w:t xml:space="preserve"> od roku 2019 stanovit cíl sběru na základě výpočtu vyprodukovaného elektroodpadu, který </w:t>
      </w:r>
      <w:r>
        <w:t>je směrnicí stanoven ve výši</w:t>
      </w:r>
      <w:r w:rsidRPr="00652A91">
        <w:t xml:space="preserve"> 85 % hmotnost</w:t>
      </w:r>
      <w:r>
        <w:t>i</w:t>
      </w:r>
      <w:r w:rsidRPr="00652A91">
        <w:t xml:space="preserve"> produkce odpadních elektr</w:t>
      </w:r>
      <w:r>
        <w:t>o</w:t>
      </w:r>
      <w:r w:rsidRPr="00652A91">
        <w:t>zařízení v daném členském státě. S ohledem na relevantnost, dostupnost a kontrolovatelnost dat</w:t>
      </w:r>
      <w:r>
        <w:t xml:space="preserve"> </w:t>
      </w:r>
      <w:r w:rsidRPr="00652A91">
        <w:t>o množství elektrozařízení uvedených na trh, kdy pro tento výpočet může existovat několik různých matematických modelů, se navrhuje pro roky 201</w:t>
      </w:r>
      <w:r>
        <w:t>8</w:t>
      </w:r>
      <w:r w:rsidRPr="00652A91">
        <w:t xml:space="preserve"> </w:t>
      </w:r>
      <w:r>
        <w:t>a následující</w:t>
      </w:r>
      <w:r w:rsidRPr="00652A91">
        <w:t xml:space="preserve"> stanovení </w:t>
      </w:r>
      <w:r>
        <w:t xml:space="preserve">minimální </w:t>
      </w:r>
      <w:r w:rsidRPr="00652A91">
        <w:t xml:space="preserve">úrovně sběru ve vazbě na elektrozařízení uvedená </w:t>
      </w:r>
      <w:r>
        <w:t xml:space="preserve">výrobci </w:t>
      </w:r>
      <w:r w:rsidRPr="00652A91">
        <w:t>na trh v přecházejících třech</w:t>
      </w:r>
      <w:r>
        <w:t xml:space="preserve"> kalendářních</w:t>
      </w:r>
      <w:r w:rsidRPr="00652A91">
        <w:t xml:space="preserve"> letech. </w:t>
      </w:r>
    </w:p>
    <w:p w:rsidR="00CC0F90" w:rsidRDefault="00CC0F90" w:rsidP="00CC0F90">
      <w:pPr>
        <w:spacing w:before="240"/>
      </w:pPr>
      <w:r w:rsidRPr="00652A91">
        <w:t>V platné</w:t>
      </w:r>
      <w:r>
        <w:t>m zákoně o odpadech nejsou výrobcům stanoveny závazné cíle zpětného odběru odpadních elektrozařízení.</w:t>
      </w:r>
      <w:r w:rsidRPr="00652A91">
        <w:t xml:space="preserve"> </w:t>
      </w:r>
      <w:r>
        <w:t>R</w:t>
      </w:r>
      <w:r w:rsidRPr="00652A91">
        <w:t xml:space="preserve">eálně tak hrozí, že Česká republika pro rok 2016 nesplní požadovanou úroveň zpětného odběru </w:t>
      </w:r>
      <w:r>
        <w:t>ve výši</w:t>
      </w:r>
      <w:r w:rsidRPr="00652A91">
        <w:t xml:space="preserve"> více než 40</w:t>
      </w:r>
      <w:r>
        <w:t xml:space="preserve"> </w:t>
      </w:r>
      <w:r w:rsidRPr="00652A91">
        <w:t xml:space="preserve">%, což může </w:t>
      </w:r>
      <w:r>
        <w:t>mít za následek zahájení řízení o porušení Smlouvy, eventuálně</w:t>
      </w:r>
      <w:r w:rsidRPr="00652A91">
        <w:t xml:space="preserve"> riziko finančního postihu ze strany EU. </w:t>
      </w:r>
      <w:r>
        <w:t>Z toho důvodu navrhovaný</w:t>
      </w:r>
      <w:r w:rsidRPr="007A7474">
        <w:t xml:space="preserve"> zákon </w:t>
      </w:r>
      <w:r>
        <w:t>přenáší</w:t>
      </w:r>
      <w:r w:rsidRPr="007A7474">
        <w:t xml:space="preserve"> cíle sběru přímo na jednotlivé </w:t>
      </w:r>
      <w:r>
        <w:t>výrobce elektrozařízení</w:t>
      </w:r>
      <w:r w:rsidRPr="007A7474">
        <w:t xml:space="preserve"> tak, aby t</w:t>
      </w:r>
      <w:r>
        <w:t>i</w:t>
      </w:r>
      <w:r w:rsidRPr="007A7474">
        <w:t>to měl</w:t>
      </w:r>
      <w:r>
        <w:t>i</w:t>
      </w:r>
      <w:r w:rsidRPr="007A7474">
        <w:t xml:space="preserve"> povinnost zajistit směrnicí </w:t>
      </w:r>
      <w:r>
        <w:t>poža</w:t>
      </w:r>
      <w:r w:rsidRPr="007A7474">
        <w:t>d</w:t>
      </w:r>
      <w:r>
        <w:t>ov</w:t>
      </w:r>
      <w:r w:rsidRPr="007A7474">
        <w:t xml:space="preserve">anou </w:t>
      </w:r>
      <w:r>
        <w:t xml:space="preserve">minimální </w:t>
      </w:r>
      <w:r w:rsidRPr="007A7474">
        <w:t xml:space="preserve">úroveň </w:t>
      </w:r>
      <w:r>
        <w:t>zpětného odběru odpadních</w:t>
      </w:r>
      <w:r w:rsidRPr="007A7474">
        <w:t xml:space="preserve"> elektrozařízení a Česká republika nebyla vystavena riziku nesplnění </w:t>
      </w:r>
      <w:r>
        <w:t>svého závazného cíle</w:t>
      </w:r>
      <w:r w:rsidRPr="007A7474">
        <w:t xml:space="preserve">. </w:t>
      </w:r>
    </w:p>
    <w:p w:rsidR="00CC0F90" w:rsidRPr="007A7474" w:rsidRDefault="00CC0F90" w:rsidP="00CC0F90">
      <w:pPr>
        <w:spacing w:before="240"/>
      </w:pPr>
      <w:r w:rsidRPr="007A7474">
        <w:t>Za účelem řádného fungování systému zpětného odběru a splnění požadovan</w:t>
      </w:r>
      <w:r>
        <w:t>ých cílů</w:t>
      </w:r>
      <w:r w:rsidRPr="007A7474">
        <w:t xml:space="preserve"> sběru se navrhuje stanov</w:t>
      </w:r>
      <w:r>
        <w:t>it</w:t>
      </w:r>
      <w:r w:rsidRPr="007A7474">
        <w:t xml:space="preserve"> </w:t>
      </w:r>
      <w:r>
        <w:t xml:space="preserve">výrobcům </w:t>
      </w:r>
      <w:r w:rsidRPr="007A7474">
        <w:t xml:space="preserve">povinnost </w:t>
      </w:r>
      <w:r>
        <w:t>zřizovat veřejná místa zpětného odběru minimálně v požadovaném rozsahu</w:t>
      </w:r>
      <w:r w:rsidRPr="007A7474">
        <w:t xml:space="preserve"> s cílem zabezpečit dostatečně hu</w:t>
      </w:r>
      <w:r>
        <w:t>stou síť míst zpětného odběru a </w:t>
      </w:r>
      <w:r w:rsidRPr="007A7474">
        <w:t xml:space="preserve">minimalizovat tak riziko odkládání </w:t>
      </w:r>
      <w:r>
        <w:t>odpadních</w:t>
      </w:r>
      <w:r w:rsidRPr="007A7474">
        <w:t xml:space="preserve"> elektrozařízení do netříděného komunálního odpadu. </w:t>
      </w:r>
      <w:r w:rsidRPr="00E901EA">
        <w:t xml:space="preserve">Výrobcům elektrozařízení určených k použití v domácnostech je stanovena povinnost vytvořit nejméně jedno </w:t>
      </w:r>
      <w:r>
        <w:t xml:space="preserve">veřejné </w:t>
      </w:r>
      <w:r w:rsidRPr="00E901EA">
        <w:t>místo zpětného</w:t>
      </w:r>
      <w:r w:rsidRPr="007A7474">
        <w:t xml:space="preserve"> odběru v</w:t>
      </w:r>
      <w:r>
        <w:t xml:space="preserve"> každé </w:t>
      </w:r>
      <w:r w:rsidRPr="0020550A">
        <w:t>obci</w:t>
      </w:r>
      <w:r>
        <w:t>,</w:t>
      </w:r>
      <w:r w:rsidRPr="0020550A">
        <w:t xml:space="preserve"> městském obvodě nebo městské části s počtem více než</w:t>
      </w:r>
      <w:r w:rsidRPr="007A7474">
        <w:t xml:space="preserve"> 2000 obyvatel a od </w:t>
      </w:r>
      <w:r>
        <w:t xml:space="preserve">15. </w:t>
      </w:r>
      <w:r w:rsidRPr="007A7474">
        <w:t xml:space="preserve">srpna 2018 je tato povinnost rozšířena pro skupiny elektrozařízení 3, 5 a 6 </w:t>
      </w:r>
      <w:r>
        <w:t xml:space="preserve">tak, že půjde </w:t>
      </w:r>
      <w:r w:rsidRPr="007A7474">
        <w:t>o obce</w:t>
      </w:r>
      <w:r>
        <w:t>,</w:t>
      </w:r>
      <w:r w:rsidRPr="0020550A">
        <w:t xml:space="preserve"> městské obvod</w:t>
      </w:r>
      <w:r>
        <w:t>y</w:t>
      </w:r>
      <w:r w:rsidRPr="0020550A">
        <w:t xml:space="preserve"> nebo městské části</w:t>
      </w:r>
      <w:r>
        <w:t xml:space="preserve"> nad</w:t>
      </w:r>
      <w:r w:rsidRPr="007A7474">
        <w:t xml:space="preserve"> 1 500 obyvatel z důvodu </w:t>
      </w:r>
      <w:r>
        <w:t xml:space="preserve">lepší </w:t>
      </w:r>
      <w:r w:rsidRPr="007A7474">
        <w:t xml:space="preserve">dostupnosti sběrné sítě určené pro drobné elektrospotřebiče i v menších obcích. </w:t>
      </w:r>
      <w:r>
        <w:t>Kromě toho musí v</w:t>
      </w:r>
      <w:r w:rsidRPr="00E901EA">
        <w:t>ýrobc</w:t>
      </w:r>
      <w:r>
        <w:t>e</w:t>
      </w:r>
      <w:r w:rsidRPr="00E901EA">
        <w:t xml:space="preserve"> elektrozařízení určených k použití v</w:t>
      </w:r>
      <w:r>
        <w:t> </w:t>
      </w:r>
      <w:r w:rsidRPr="00E901EA">
        <w:t>domácnostech</w:t>
      </w:r>
      <w:r>
        <w:t xml:space="preserve"> zřídit veřejné </w:t>
      </w:r>
      <w:r w:rsidRPr="00E901EA">
        <w:t>místo zpětného</w:t>
      </w:r>
      <w:r w:rsidRPr="007A7474">
        <w:t xml:space="preserve"> odběru</w:t>
      </w:r>
      <w:r>
        <w:t xml:space="preserve"> </w:t>
      </w:r>
      <w:r w:rsidRPr="0019569F">
        <w:t xml:space="preserve">v každé obci, která o </w:t>
      </w:r>
      <w:r>
        <w:t xml:space="preserve">jeho </w:t>
      </w:r>
      <w:r w:rsidRPr="0019569F">
        <w:t>zřízení projeví zájem, a to za podmínek obdobných jako pro ostatní obce</w:t>
      </w:r>
      <w:r>
        <w:t xml:space="preserve">. </w:t>
      </w:r>
      <w:r w:rsidRPr="007A7474">
        <w:t xml:space="preserve">Nově se navrhuje </w:t>
      </w:r>
      <w:r>
        <w:t xml:space="preserve">nevázat povinnost zřizovat </w:t>
      </w:r>
      <w:r w:rsidRPr="007A7474">
        <w:t>míst</w:t>
      </w:r>
      <w:r>
        <w:t>a zpětného odběru</w:t>
      </w:r>
      <w:r w:rsidRPr="007A7474">
        <w:t xml:space="preserve"> na prodej nových </w:t>
      </w:r>
      <w:r>
        <w:t xml:space="preserve">elektrozařízení, která výrobce </w:t>
      </w:r>
      <w:r>
        <w:lastRenderedPageBreak/>
        <w:t>uvádí na trh, v dané obci</w:t>
      </w:r>
      <w:r w:rsidRPr="007A7474">
        <w:t xml:space="preserve">. Důvodem je, že odpadní elektrozařízení vznikají na celém území České republiky, nikoliv jen tam, kde jsou skutečně prodávána nebo dodávána. </w:t>
      </w:r>
      <w:r>
        <w:t>V</w:t>
      </w:r>
      <w:r w:rsidRPr="00E901EA">
        <w:t>ýrobc</w:t>
      </w:r>
      <w:r>
        <w:t>e</w:t>
      </w:r>
      <w:r w:rsidRPr="00E901EA">
        <w:t xml:space="preserve"> elektrozařízení určených k použití v</w:t>
      </w:r>
      <w:r>
        <w:t> </w:t>
      </w:r>
      <w:r w:rsidRPr="00E901EA">
        <w:t>domácnostech</w:t>
      </w:r>
      <w:r>
        <w:t xml:space="preserve"> je dále povinen zřídit veřejné </w:t>
      </w:r>
      <w:r w:rsidRPr="00E901EA">
        <w:t>místo zpětného</w:t>
      </w:r>
      <w:r w:rsidRPr="007A7474">
        <w:t xml:space="preserve"> odběru</w:t>
      </w:r>
      <w:r>
        <w:t xml:space="preserve"> u každého </w:t>
      </w:r>
      <w:r w:rsidRPr="0019569F">
        <w:t>posledního prodejce</w:t>
      </w:r>
      <w:r>
        <w:t xml:space="preserve">, který elektrozařízení jím uváděná na trh prodává, </w:t>
      </w:r>
      <w:r w:rsidRPr="0019569F">
        <w:t xml:space="preserve">pokud </w:t>
      </w:r>
      <w:r>
        <w:t xml:space="preserve">o to </w:t>
      </w:r>
      <w:r w:rsidRPr="0019569F">
        <w:t>poslední prodejce projeví zájem, a to za podmínek obdobných jako u ostatních posledních prodejců.</w:t>
      </w:r>
    </w:p>
    <w:p w:rsidR="00CC0F90" w:rsidRPr="00385F53" w:rsidRDefault="00CC0F90" w:rsidP="00CC0F90">
      <w:pPr>
        <w:spacing w:before="240"/>
        <w:rPr>
          <w:b/>
        </w:rPr>
      </w:pPr>
      <w:r w:rsidRPr="00385F53">
        <w:rPr>
          <w:b/>
        </w:rPr>
        <w:t>K § 8</w:t>
      </w:r>
      <w:r>
        <w:rPr>
          <w:b/>
        </w:rPr>
        <w:t>5</w:t>
      </w:r>
    </w:p>
    <w:p w:rsidR="00CC0F90" w:rsidRPr="00385F53" w:rsidRDefault="00CC0F90" w:rsidP="00CC0F90">
      <w:pPr>
        <w:spacing w:before="240"/>
      </w:pPr>
      <w:r w:rsidRPr="00385F53">
        <w:t xml:space="preserve">Role posledních prodejců je při provádění zpětného odběru považována za velmi důležitou. </w:t>
      </w:r>
      <w:r>
        <w:t>Z</w:t>
      </w:r>
      <w:r w:rsidRPr="00385F53">
        <w:t>ákon v návaznosti na čl. 5 směrnice 2012/19/EU stanovuje posledním prodejcům povinnost zajistit, aby konečný uživatel měl při nákupu elektrozařízení možnost bezplatně odevzdat ke zpětnému odběru odpadní elektrozařízení v místě prodeje nebo dodávky nového elektrozařízení, a to ve stejném počtu kusů prodávaného e</w:t>
      </w:r>
      <w:r>
        <w:t>lektrozařízení podobného typu a </w:t>
      </w:r>
      <w:r w:rsidRPr="00385F53">
        <w:t xml:space="preserve">použití (tzv. kus za kus). </w:t>
      </w:r>
      <w:r>
        <w:t>Uvedené platí i pro</w:t>
      </w:r>
      <w:r w:rsidRPr="00385F53">
        <w:t xml:space="preserve"> internetové prodejce elektrozařízení, kteří jsou povinni při dodávce elektrozařízení odebrat elektrozařízení podobného typu a použití. Zákon tuto povinnost stanovuje jak </w:t>
      </w:r>
      <w:r>
        <w:t>posledním prodejcům</w:t>
      </w:r>
      <w:r w:rsidRPr="00385F53">
        <w:t xml:space="preserve"> elektrozařízení určených k použití v domácnostech, tak </w:t>
      </w:r>
      <w:r>
        <w:t>posledním prodejcům</w:t>
      </w:r>
      <w:r w:rsidRPr="00385F53">
        <w:t xml:space="preserve"> elektrozařízení určených k použití mimo domácnosti, kteří tuto povinnost doposud neměli, protože sběr těchto elektrozařízení probíhal v odpadovém režimu (odděleném sběru) a poslední prodejce by tak prakticky neměl možnost tuto povinnost splnit (musel by být oprávněnou osobou pro nakládání s odpady). </w:t>
      </w:r>
    </w:p>
    <w:p w:rsidR="00CC0F90" w:rsidRPr="00385F53" w:rsidRDefault="00CC0F90" w:rsidP="00CC0F90">
      <w:pPr>
        <w:spacing w:before="240"/>
      </w:pPr>
      <w:r w:rsidRPr="00385F53">
        <w:t>Poslednímu prodejci elektrozařízení určených k použití v domácnosti zákon</w:t>
      </w:r>
      <w:r>
        <w:t xml:space="preserve"> dále</w:t>
      </w:r>
      <w:r w:rsidRPr="00385F53">
        <w:t xml:space="preserve"> stanovuje povinnost zajistit, aby konečný uživatel měl možnost odevzdat bezplatně ke zpětnému odběru odpadní elektrozařízení pocházející z domácností, u něhož žádný z vnějších rozměrů nepřesahuje 25 cm, bez ohledu na výrobní značku a bez vázání na nákup zboží, v místě prodeje nového elektrozařízení nebo v jeho bezprostřední blízkosti po celou provozní dobu, jestliže velikost prodejní plochy určené k prodeji elektrozařízení je alespoň 400 m</w:t>
      </w:r>
      <w:r w:rsidRPr="00385F53">
        <w:rPr>
          <w:vertAlign w:val="superscript"/>
        </w:rPr>
        <w:t>2</w:t>
      </w:r>
      <w:r w:rsidRPr="00385F53">
        <w:t xml:space="preserve">. Poslední prodejci mají </w:t>
      </w:r>
      <w:r>
        <w:t xml:space="preserve">zároveň na základě </w:t>
      </w:r>
      <w:r w:rsidRPr="00385F53">
        <w:t>§ 8</w:t>
      </w:r>
      <w:r>
        <w:t>4</w:t>
      </w:r>
      <w:r w:rsidRPr="00385F53">
        <w:t xml:space="preserve"> odst. 2</w:t>
      </w:r>
      <w:r>
        <w:t xml:space="preserve"> písm. c) </w:t>
      </w:r>
      <w:r w:rsidRPr="00385F53">
        <w:t xml:space="preserve">možnost oslovit výrobce, aby u nich zřídil místo zpětného odběru a </w:t>
      </w:r>
      <w:r>
        <w:t xml:space="preserve">odpadní </w:t>
      </w:r>
      <w:r w:rsidRPr="00385F53">
        <w:t>elektrozařízení následně odebíral</w:t>
      </w:r>
      <w:r>
        <w:t xml:space="preserve"> (tím se poslední prodejce stává provozovatelem místa zpětného odběru v systému výrobce)</w:t>
      </w:r>
      <w:r w:rsidRPr="00385F53">
        <w:t>.</w:t>
      </w:r>
    </w:p>
    <w:p w:rsidR="00CC0F90" w:rsidRPr="00385F53" w:rsidRDefault="00CC0F90" w:rsidP="00CC0F90">
      <w:pPr>
        <w:spacing w:before="240"/>
      </w:pPr>
      <w:r w:rsidRPr="00385F53">
        <w:t xml:space="preserve">Zákon </w:t>
      </w:r>
      <w:r>
        <w:t>dále</w:t>
      </w:r>
      <w:r w:rsidRPr="00385F53">
        <w:t xml:space="preserve"> stanovuje povinnost posledního prodejce </w:t>
      </w:r>
      <w:r>
        <w:t xml:space="preserve">písemně informovat konečné uživatele o shora uvedených </w:t>
      </w:r>
      <w:r w:rsidRPr="00385F53">
        <w:t>možnostech zpětného odběru.</w:t>
      </w:r>
      <w:r>
        <w:t xml:space="preserve"> </w:t>
      </w:r>
      <w:r w:rsidRPr="00385F53">
        <w:t xml:space="preserve">Posledním prodejcům elektrozařízení určeným k použití v domácnosti, </w:t>
      </w:r>
      <w:r>
        <w:t>u nichž výrobce</w:t>
      </w:r>
      <w:r w:rsidRPr="00385F53">
        <w:t xml:space="preserve"> </w:t>
      </w:r>
      <w:r>
        <w:t>ne</w:t>
      </w:r>
      <w:r w:rsidRPr="00385F53">
        <w:t>zří</w:t>
      </w:r>
      <w:r>
        <w:t>dil</w:t>
      </w:r>
      <w:r w:rsidRPr="00385F53">
        <w:t xml:space="preserve"> místo zpětného odběru a nemají ani povinnost odebírat </w:t>
      </w:r>
      <w:r>
        <w:t xml:space="preserve">odpadní </w:t>
      </w:r>
      <w:r w:rsidRPr="00385F53">
        <w:t>elektrozařízení od konečných uživatelů</w:t>
      </w:r>
      <w:r>
        <w:t xml:space="preserve"> na základě § 85 odst. 1 nebo 2</w:t>
      </w:r>
      <w:r w:rsidRPr="00385F53">
        <w:t>, zákon ukládá povinnost umístit viditelně a čitelně ve svém prodejním místě informaci o tom, kde lze odpadní elektrozařízení bezplatně odevzdat. V případě, že tak poslední prodejce neučiní, je povinen odebírat odpadní elektrozařízení přímo ve své provozovně</w:t>
      </w:r>
      <w:r>
        <w:t xml:space="preserve"> </w:t>
      </w:r>
      <w:r w:rsidRPr="00475D8E">
        <w:t>bez nároku na úplatu, po celou provozní dobu a bez vázání na nákup zboží</w:t>
      </w:r>
      <w:r>
        <w:t xml:space="preserve"> (§ 16 odst. 3)</w:t>
      </w:r>
      <w:r w:rsidRPr="00385F53">
        <w:t>.</w:t>
      </w:r>
    </w:p>
    <w:p w:rsidR="00CC0F90" w:rsidRPr="00D06E70" w:rsidRDefault="00CC0F90" w:rsidP="00BD7946">
      <w:pPr>
        <w:keepNext/>
        <w:spacing w:before="240"/>
        <w:rPr>
          <w:b/>
        </w:rPr>
      </w:pPr>
      <w:r>
        <w:rPr>
          <w:b/>
        </w:rPr>
        <w:t xml:space="preserve">K </w:t>
      </w:r>
      <w:r w:rsidRPr="00D06E70">
        <w:rPr>
          <w:b/>
        </w:rPr>
        <w:t>§ 8</w:t>
      </w:r>
      <w:r>
        <w:rPr>
          <w:b/>
        </w:rPr>
        <w:t>6</w:t>
      </w:r>
      <w:r w:rsidRPr="00D06E70">
        <w:rPr>
          <w:b/>
        </w:rPr>
        <w:t xml:space="preserve"> </w:t>
      </w:r>
    </w:p>
    <w:p w:rsidR="00CC0F90" w:rsidRDefault="00CC0F90" w:rsidP="00CC0F90">
      <w:pPr>
        <w:spacing w:before="240"/>
      </w:pPr>
      <w:r w:rsidRPr="00652A91">
        <w:t>V § 8</w:t>
      </w:r>
      <w:r>
        <w:t>6</w:t>
      </w:r>
      <w:r w:rsidRPr="00652A91">
        <w:t xml:space="preserve"> </w:t>
      </w:r>
      <w:r>
        <w:t xml:space="preserve">zákon stanoví </w:t>
      </w:r>
      <w:r w:rsidRPr="00652A91">
        <w:t>výrobc</w:t>
      </w:r>
      <w:r>
        <w:t>i</w:t>
      </w:r>
      <w:r w:rsidRPr="00652A91">
        <w:t xml:space="preserve"> povinnost umožnit oddělené soustřeďování zpětně odebraných odpadních elektrozařízení za účelem jejich přípravy k opětovnému použití</w:t>
      </w:r>
      <w:r>
        <w:t>, a to</w:t>
      </w:r>
      <w:r w:rsidRPr="00652A91">
        <w:t xml:space="preserve"> alespoň </w:t>
      </w:r>
      <w:r w:rsidRPr="00652A91">
        <w:lastRenderedPageBreak/>
        <w:t>v jednom jím zřízeném místě zpětného odběru v</w:t>
      </w:r>
      <w:r>
        <w:t> </w:t>
      </w:r>
      <w:r w:rsidRPr="00652A91">
        <w:t>každé</w:t>
      </w:r>
      <w:r>
        <w:t>m kraji</w:t>
      </w:r>
      <w:r w:rsidRPr="00652A91">
        <w:t xml:space="preserve">, pokud </w:t>
      </w:r>
      <w:r>
        <w:t>na jeho území</w:t>
      </w:r>
      <w:r w:rsidRPr="00652A91">
        <w:t xml:space="preserve"> místo zpětného odběru zřídil. </w:t>
      </w:r>
      <w:r>
        <w:t>Konečnému uživateli</w:t>
      </w:r>
      <w:r w:rsidRPr="00652A91">
        <w:t xml:space="preserve"> tak bude umožněno </w:t>
      </w:r>
      <w:r>
        <w:t>ve vybraných</w:t>
      </w:r>
      <w:r w:rsidRPr="00652A91">
        <w:t xml:space="preserve"> místech zpětného odběru odkládat </w:t>
      </w:r>
      <w:r>
        <w:t xml:space="preserve">funkční </w:t>
      </w:r>
      <w:r w:rsidRPr="00652A91">
        <w:t xml:space="preserve">elektrozařízení odděleně od ostatních </w:t>
      </w:r>
      <w:r>
        <w:t xml:space="preserve">odpadních </w:t>
      </w:r>
      <w:r w:rsidRPr="00652A91">
        <w:t>elektrozařízení</w:t>
      </w:r>
      <w:r>
        <w:t xml:space="preserve"> za účelem opětovného použití</w:t>
      </w:r>
      <w:r w:rsidRPr="00652A91">
        <w:t>.  Výrobci zároveň navržené ustanovení dává možnost stanovit konkrétní podmínky a kritéria pro určení, zda zpětně odebrané odpadní elektrozařízení bude určeno k přípravě k opětovnému použití, či nikoliv.</w:t>
      </w:r>
      <w:r>
        <w:t xml:space="preserve"> </w:t>
      </w:r>
    </w:p>
    <w:p w:rsidR="00CC0F90" w:rsidRDefault="00CC0F90" w:rsidP="00CC0F90">
      <w:pPr>
        <w:spacing w:before="240"/>
      </w:pPr>
      <w:r>
        <w:t xml:space="preserve">Zákon dále stanoví podmínky, za nichž může být takto zpětně odebrané odpadní elektrozařízení předáno k opětovnému použití. Vychází přitom z předpokladu, že elektrozařízení, kterého se konečný uživatel zbavuje předáním ke zpětnému odběru v rámci systému výrobce, je odpadním elektrozařízením (odpadem), přestože je v tomto případě soustřeďováno odděleně od ostatních odpadních elektrozařízení. Z toho důvodu je nutné podrobit nejprve odpadní elektrozařízení procesu přípravy k opětovnému použití, který zahrnuje dle potřeby například čištění a opravu, vždy však musí být jeho součástí ověření funkčnosti a bezpečnosti elektrozařízení. Následně může být odpadní elektrozařízení předáno jiné osobě k opětovnému použití, jestliže jsou splněny podmínky stanovené </w:t>
      </w:r>
      <w:r w:rsidRPr="00906B35">
        <w:t>zákon</w:t>
      </w:r>
      <w:r>
        <w:t>em o </w:t>
      </w:r>
      <w:r w:rsidRPr="00906B35">
        <w:t>odpadech</w:t>
      </w:r>
      <w:r>
        <w:t xml:space="preserve">, za nichž odpad přestává být odpadem. Elektrozařízení, které bylo zpětně odebráno jako odpad, je tedy po splnění uvedených podmínek předáváno k opětovnému použití opět jako výrobek. </w:t>
      </w:r>
      <w:r w:rsidRPr="00652A91">
        <w:t>Prováděcí právní předpis stanoví konkrétní postup provedení zkoušky funkčnosti a bezpečnosti elektrozařízení.</w:t>
      </w:r>
    </w:p>
    <w:p w:rsidR="00CC0F90" w:rsidRDefault="00CC0F90" w:rsidP="00CC0F90">
      <w:pPr>
        <w:spacing w:before="240"/>
      </w:pPr>
      <w:r>
        <w:t>Proběhne-li příprava k opětovnému použití a jsou-li splněny zákonem stanovené podmínky pro předání zpětně odebraného odpadního elektrozařízení k opětovnému použití, měl by výrobce opětovné použití elektrozařízení přednostně zajistit, tzn. předat takové elektrozařízení k opětovnému použití. Pokud by to však z hlediska hierarchie způsobů nakládání s odpady, stanovené zákonem o odpadech, nebylo vhodné, může výrobce s odpadním elektrozařízením, které je v takovém případě stále odpadem, naložit jiným způsobem, resp. může zajistit jiné využití nebo odstranění odpadního elektrozařízení v souladu s tímto zákonem. Dokonce je povinen tak učinit</w:t>
      </w:r>
      <w:r w:rsidRPr="00096F0B">
        <w:t xml:space="preserve">, </w:t>
      </w:r>
      <w:r>
        <w:t xml:space="preserve">nedošlo-li k předání </w:t>
      </w:r>
      <w:r w:rsidRPr="00096F0B">
        <w:t>odpadního</w:t>
      </w:r>
      <w:r>
        <w:t xml:space="preserve"> elektrozařízení </w:t>
      </w:r>
      <w:r w:rsidRPr="00096F0B">
        <w:t>k </w:t>
      </w:r>
      <w:r>
        <w:t>opětovnému použití do 1 roku</w:t>
      </w:r>
      <w:r w:rsidRPr="00096F0B">
        <w:t xml:space="preserve"> od provedení přípravy k opětovnému použití</w:t>
      </w:r>
      <w:r>
        <w:t>. Při tom by měl upřednostnit přípravu k opětovnému použití komponentů, konstrukčních dílů nebo spotřebních dílů v případě, kdy je to vhodné z hlediska zásad stanovených zákonem o odpadech pro uplatnění hierarchie způsobů nakládání s odpady.</w:t>
      </w:r>
    </w:p>
    <w:p w:rsidR="00CC0F90" w:rsidRPr="00893BBC" w:rsidRDefault="00CC0F90" w:rsidP="00CC0F90">
      <w:pPr>
        <w:spacing w:before="240"/>
      </w:pPr>
      <w:r w:rsidRPr="00893BBC">
        <w:t xml:space="preserve">Navrhovanou právní úpravou není dotčena možnost přímého opětovného použití elektrozařízení, kdy se použité elektrozařízení vůbec nestává odpadem (například při vykupování a následném prodeji v bazarech apod.). Rozdíl je v tom, že při předání funkčního elektrozařízení </w:t>
      </w:r>
      <w:r>
        <w:t>obchodníkovi s</w:t>
      </w:r>
      <w:r w:rsidRPr="00893BBC">
        <w:t xml:space="preserve"> použitý</w:t>
      </w:r>
      <w:r>
        <w:t>mi</w:t>
      </w:r>
      <w:r w:rsidRPr="00893BBC">
        <w:t xml:space="preserve"> výrobk</w:t>
      </w:r>
      <w:r>
        <w:t>y</w:t>
      </w:r>
      <w:r w:rsidRPr="00893BBC">
        <w:t xml:space="preserve"> nebo jiné osobě za účelem přímého opětovného použití nejde o zbavení se věci ve smyslu zákona o odpadech, neboť původní účelové určení věci nezaniklo a konečný uživatel ji postupuje novému majiteli </w:t>
      </w:r>
      <w:r>
        <w:t>proto,</w:t>
      </w:r>
      <w:r w:rsidRPr="00893BBC">
        <w:t xml:space="preserve"> aby tomuto účelu dále sloužila, a to zpravidla za úplatu (věc má pro konečného uživatele zpravidla stále pozitivní hodnotu, a to nikoliv jen </w:t>
      </w:r>
      <w:r>
        <w:t>v podobě použitého</w:t>
      </w:r>
      <w:r w:rsidRPr="00893BBC">
        <w:t xml:space="preserve"> materiál</w:t>
      </w:r>
      <w:r>
        <w:t>u</w:t>
      </w:r>
      <w:r w:rsidRPr="00893BBC">
        <w:t xml:space="preserve">). Naproti tomu odevzdání použitého elektrozařízení v místě zpětného odběru by mělo být považováno vždy za zbavení se věci ve smyslu zákona o odpadech, i když jde o stále funkční elektrozařízení, </w:t>
      </w:r>
      <w:r w:rsidRPr="00893BBC">
        <w:lastRenderedPageBreak/>
        <w:t xml:space="preserve">které může sloužit svému původnímu účelu. Místa zpětného odběru slouží k odkládání výrobků s ukončenou životností (odpadů) a není </w:t>
      </w:r>
      <w:r>
        <w:t>zřejmé</w:t>
      </w:r>
      <w:r w:rsidRPr="00893BBC">
        <w:t xml:space="preserve">, zda odevzdané funkční elektrozařízení bude skutečně opětovně použito, nebo bude zpracováno jako odpad. S možností přebírat v místě zpětného odběru výrobky v neodpadovém režimu by rovněž bylo spojeno riziko směšování odpadového a neodpadového toku, které by bylo možné jen obtížně odhalovat. </w:t>
      </w:r>
    </w:p>
    <w:p w:rsidR="00CC0F90" w:rsidRPr="00652A91" w:rsidRDefault="00CC0F90" w:rsidP="00CC0F90">
      <w:pPr>
        <w:spacing w:before="240"/>
      </w:pPr>
      <w:r w:rsidRPr="00893BBC">
        <w:t>Vyšší nároky na zajištění opětovného použití elektrozařízení stanoveným postupem přes odpadový režim na druhou stranu umožní výrobcům zahrnout proces přípravy k opětovnému použití do množství využitých odpadních elektrozařízení za ú</w:t>
      </w:r>
      <w:r>
        <w:t>čelem plnění povinnosti podle § </w:t>
      </w:r>
      <w:r w:rsidRPr="00893BBC">
        <w:t>8</w:t>
      </w:r>
      <w:r>
        <w:t>7</w:t>
      </w:r>
      <w:r w:rsidRPr="00893BBC">
        <w:t xml:space="preserve"> odst. 1 písm. c). V souladu se směrnicí 2012/19/EU </w:t>
      </w:r>
      <w:r>
        <w:t xml:space="preserve">totiž </w:t>
      </w:r>
      <w:r w:rsidRPr="00893BBC">
        <w:t xml:space="preserve">nemůže být do plnění této povinnosti započítáváno přímé opětovné použití elektrozařízení. Proces přípravy k opětovnému použití, jehož součástí je i ověření bezpečnosti použití elektrozařízení, rovněž dává výrobci </w:t>
      </w:r>
      <w:r>
        <w:t>větší</w:t>
      </w:r>
      <w:r w:rsidRPr="00893BBC">
        <w:t xml:space="preserve"> </w:t>
      </w:r>
      <w:r>
        <w:t>záruku</w:t>
      </w:r>
      <w:r w:rsidRPr="00893BBC">
        <w:t xml:space="preserve">, že může převzít odpovědnost za bezpečnost předávaných výrobků k opětovnému použití. </w:t>
      </w:r>
    </w:p>
    <w:p w:rsidR="00CC0F90" w:rsidRPr="00D06E70" w:rsidRDefault="00CC0F90" w:rsidP="00CC0F90">
      <w:pPr>
        <w:spacing w:before="240"/>
        <w:rPr>
          <w:b/>
        </w:rPr>
      </w:pPr>
      <w:r w:rsidRPr="00D06E70">
        <w:rPr>
          <w:b/>
        </w:rPr>
        <w:t>K § 8</w:t>
      </w:r>
      <w:r>
        <w:rPr>
          <w:b/>
        </w:rPr>
        <w:t>7</w:t>
      </w:r>
      <w:r w:rsidRPr="00D06E70">
        <w:rPr>
          <w:b/>
        </w:rPr>
        <w:t xml:space="preserve"> </w:t>
      </w:r>
    </w:p>
    <w:p w:rsidR="00CC0F90" w:rsidRPr="00652A91" w:rsidRDefault="00CC0F90" w:rsidP="00CC0F90">
      <w:pPr>
        <w:spacing w:before="240"/>
      </w:pPr>
      <w:r>
        <w:t>Ustanovení upravuje</w:t>
      </w:r>
      <w:r w:rsidRPr="00652A91">
        <w:t xml:space="preserve"> povinnosti výrobců elektrozařízení</w:t>
      </w:r>
      <w:r>
        <w:t>, pokud jde o zajištění zpracování, využití nebo odstranění zpětně odebraných odpadních elektrozařízení. Výrobce musí zajistit, aby zpracování odpadních elektrozařízení probíhalo v zařízeních používajících tzv. nejlepší dostupné techniky tak, jak jsou definovány zákonem o integrované prevenci. Cílem je, aby odpadní elektrozařízení byla zpracovávána na vysoké technologické úrovni zaručující maximální účinnost v případě procesů recyklace a minimální negativní dopady na životní prostředí. Konečné využití nebo odstranění odpadních elektrozařízení je výrobce povinen zajistit</w:t>
      </w:r>
      <w:r w:rsidRPr="00953732">
        <w:t xml:space="preserve"> </w:t>
      </w:r>
      <w:r>
        <w:t xml:space="preserve">nejpozději </w:t>
      </w:r>
      <w:r w:rsidRPr="00B9450C">
        <w:t>do konce kalendářního roku následujícího po roce, v němž byl</w:t>
      </w:r>
      <w:r>
        <w:t>a odebrána. Tím má být zamezeno nadměrnému kumulování odpadních elektrozařízení, s nímž mohou být spojena rizika pro životní prostředí.</w:t>
      </w:r>
      <w:r w:rsidRPr="00652A91">
        <w:t xml:space="preserve"> </w:t>
      </w:r>
      <w:r>
        <w:t xml:space="preserve">Navrhovaný zákon dále stanoví výrobci povinnost </w:t>
      </w:r>
      <w:r w:rsidRPr="00652A91">
        <w:t>zaji</w:t>
      </w:r>
      <w:r>
        <w:t>stit</w:t>
      </w:r>
      <w:r w:rsidRPr="00652A91">
        <w:t xml:space="preserve"> využití odpadních elektrozařízení </w:t>
      </w:r>
      <w:r>
        <w:t>minimálně v rozsahu stanoveném</w:t>
      </w:r>
      <w:r w:rsidRPr="00652A91">
        <w:t> přílohou č. 3.</w:t>
      </w:r>
      <w:r>
        <w:t xml:space="preserve"> Ta stanovuje závazné cíle pro využití, recyklaci a přípravu k opětovnému použití pro jednotlivé skupiny elektrozařízení. Tyto cíle vycházejí z přílohy V směrnice 2012/19/EU.</w:t>
      </w:r>
    </w:p>
    <w:p w:rsidR="00CC0F90" w:rsidRPr="00652A91" w:rsidRDefault="00CC0F90" w:rsidP="00CC0F90">
      <w:pPr>
        <w:spacing w:before="240"/>
        <w:rPr>
          <w:bCs/>
        </w:rPr>
      </w:pPr>
      <w:r w:rsidRPr="00652A91">
        <w:t xml:space="preserve">Výrobci elektrozařízení </w:t>
      </w:r>
      <w:r>
        <w:t xml:space="preserve">je dále </w:t>
      </w:r>
      <w:r w:rsidRPr="00652A91">
        <w:t>nově stanovena povinnost zajistit znovuzískávání fluorovaných skleníkových plynů a jejich recyklaci, regeneraci nebo zneškodnění za podmínek stanovených </w:t>
      </w:r>
      <w:r>
        <w:t>n</w:t>
      </w:r>
      <w:r w:rsidRPr="00652A91">
        <w:t>ařízením Evropského parlamentu a Rady č.</w:t>
      </w:r>
      <w:r>
        <w:t> 517/2014/EU o </w:t>
      </w:r>
      <w:r w:rsidRPr="00652A91">
        <w:rPr>
          <w:bCs/>
        </w:rPr>
        <w:t xml:space="preserve">fluorovaných skleníkových plynech, jsou-li tyto látky v elektrozařízení obsaženy. </w:t>
      </w:r>
      <w:r>
        <w:rPr>
          <w:bCs/>
        </w:rPr>
        <w:t>Stanovením této</w:t>
      </w:r>
      <w:r w:rsidRPr="00652A91">
        <w:rPr>
          <w:bCs/>
        </w:rPr>
        <w:t xml:space="preserve"> povinnost</w:t>
      </w:r>
      <w:r>
        <w:rPr>
          <w:bCs/>
        </w:rPr>
        <w:t>i je v rozsahu věcné působnosti navrhovaného zákona implementován</w:t>
      </w:r>
      <w:r w:rsidRPr="00652A91">
        <w:rPr>
          <w:bCs/>
        </w:rPr>
        <w:t> člán</w:t>
      </w:r>
      <w:r>
        <w:rPr>
          <w:bCs/>
        </w:rPr>
        <w:t>e</w:t>
      </w:r>
      <w:r w:rsidRPr="00652A91">
        <w:rPr>
          <w:bCs/>
        </w:rPr>
        <w:t xml:space="preserve">k 9 </w:t>
      </w:r>
      <w:r>
        <w:rPr>
          <w:bCs/>
        </w:rPr>
        <w:t>citovaného</w:t>
      </w:r>
      <w:r w:rsidRPr="00652A91">
        <w:rPr>
          <w:bCs/>
        </w:rPr>
        <w:t xml:space="preserve"> nařízení.</w:t>
      </w:r>
    </w:p>
    <w:p w:rsidR="00CC0F90" w:rsidRPr="00D06E70" w:rsidRDefault="00CC0F90" w:rsidP="00BD7946">
      <w:pPr>
        <w:keepNext/>
        <w:spacing w:before="240"/>
        <w:rPr>
          <w:b/>
        </w:rPr>
      </w:pPr>
      <w:r w:rsidRPr="00D06E70">
        <w:rPr>
          <w:b/>
        </w:rPr>
        <w:t>K § 8</w:t>
      </w:r>
      <w:r>
        <w:rPr>
          <w:b/>
        </w:rPr>
        <w:t>8</w:t>
      </w:r>
    </w:p>
    <w:p w:rsidR="00CC0F90" w:rsidRDefault="00CC0F90" w:rsidP="00CC0F90">
      <w:pPr>
        <w:spacing w:before="240"/>
      </w:pPr>
      <w:r>
        <w:t>P</w:t>
      </w:r>
      <w:r w:rsidRPr="00652A91">
        <w:t xml:space="preserve">ovinnosti zpracovatelů </w:t>
      </w:r>
      <w:r>
        <w:t xml:space="preserve">odpadních elektrozařízení </w:t>
      </w:r>
      <w:r w:rsidRPr="00652A91">
        <w:t xml:space="preserve">vycházejí ze směrnice 2012/19/EU. </w:t>
      </w:r>
      <w:r>
        <w:t>Tyto povinnosti se vztahují na všechny zpracovatele</w:t>
      </w:r>
      <w:r w:rsidRPr="00DA4485">
        <w:t xml:space="preserve"> </w:t>
      </w:r>
      <w:r>
        <w:t xml:space="preserve">odpadních elektrozařízení. Uplatní se tedy i tehdy, pokud by výjimečně zpracovával odpadní elektrozařízení zpracovatel, který není součástí systému výrobce. Zpracovávat odpadní elektrozařízení je možné pouze v zařízení </w:t>
      </w:r>
      <w:r>
        <w:lastRenderedPageBreak/>
        <w:t>určeném pro nakládání s tímto druhem odpadu na základě povolení příslušného krajského úřadu podle zákona o odpadech. V případě zpracovatelských zařízení, která budou provádět výhradně přípravu k opětovnému použití odpadních elektrozařízení, není v</w:t>
      </w:r>
      <w:r w:rsidRPr="00694168">
        <w:t xml:space="preserve">zhledem k charakteru </w:t>
      </w:r>
      <w:r>
        <w:t xml:space="preserve">těchto </w:t>
      </w:r>
      <w:r w:rsidRPr="00694168">
        <w:t>operací</w:t>
      </w:r>
      <w:r>
        <w:t xml:space="preserve"> vyžadováno k jejich provozu uvedené povolení</w:t>
      </w:r>
      <w:r w:rsidRPr="00A146B8">
        <w:t xml:space="preserve">. </w:t>
      </w:r>
    </w:p>
    <w:p w:rsidR="00CC0F90" w:rsidRPr="00D06E70" w:rsidRDefault="00CC0F90" w:rsidP="00CC0F90">
      <w:pPr>
        <w:spacing w:before="240"/>
      </w:pPr>
      <w:r>
        <w:t xml:space="preserve">Navrhovaný zákon stanoví specifické povinnosti pro zpracovatele odpadních elektrozařízení nad rámec obecných povinností provozovatele zařízení určeného pro nakládání s odpady a povinností při úpravě, využití nebo odstranění odpadu stanovených zákonem o odpadech. Povinnost </w:t>
      </w:r>
      <w:r w:rsidRPr="00D5675E">
        <w:t xml:space="preserve">vést průběžnou evidenci </w:t>
      </w:r>
      <w:r w:rsidRPr="00D5675E">
        <w:rPr>
          <w:bCs/>
        </w:rPr>
        <w:t xml:space="preserve">o odpadech a způsobech nakládání s nimi a zasílat příslušnému správnímu úřadu hlášení o druzích a množství odpadů a o způsobech </w:t>
      </w:r>
      <w:r>
        <w:rPr>
          <w:bCs/>
        </w:rPr>
        <w:t xml:space="preserve">nakládání s nimi je zvlášť zakotvena v navrhovaném zákoně, přestože je stanovena i zákonem o odpadech, a to z toho důvodu, že rozsah a způsob vedení průběžné evidence a ohlašování odpadů bude upraven pro zařízení zpracovávající odpadní elektrozařízení samostatně vyhláškou vydanou k provedení navrhovaného zákona (obdobně je tato problematika dnes součástí vyhlášky č. 352/2005 Sb., </w:t>
      </w:r>
      <w:r w:rsidRPr="000C3B64">
        <w:rPr>
          <w:bCs/>
        </w:rPr>
        <w:t>o nakládání s elektrozařízeními a elektroodpady)</w:t>
      </w:r>
      <w:r>
        <w:rPr>
          <w:bCs/>
        </w:rPr>
        <w:t>.</w:t>
      </w:r>
    </w:p>
    <w:p w:rsidR="00CC0F90" w:rsidRPr="007E4815" w:rsidRDefault="00CC0F90" w:rsidP="00CC0F90">
      <w:pPr>
        <w:spacing w:before="240"/>
        <w:rPr>
          <w:b/>
        </w:rPr>
      </w:pPr>
      <w:r>
        <w:rPr>
          <w:b/>
        </w:rPr>
        <w:t>K § 89</w:t>
      </w:r>
    </w:p>
    <w:p w:rsidR="00CC0F90" w:rsidRPr="00BE16BB" w:rsidRDefault="00CC0F90" w:rsidP="00CC0F90">
      <w:pPr>
        <w:spacing w:before="240"/>
      </w:pPr>
      <w:r w:rsidRPr="00652A91">
        <w:t xml:space="preserve">Povinnost </w:t>
      </w:r>
      <w:r>
        <w:t xml:space="preserve">výrobce </w:t>
      </w:r>
      <w:r w:rsidRPr="00652A91">
        <w:t xml:space="preserve">zajistit financování </w:t>
      </w:r>
      <w:r>
        <w:t xml:space="preserve">zpětného </w:t>
      </w:r>
      <w:r w:rsidRPr="00C34710">
        <w:t>odběru a následné</w:t>
      </w:r>
      <w:r>
        <w:t>ho</w:t>
      </w:r>
      <w:r w:rsidRPr="00C34710">
        <w:t xml:space="preserve"> zpracování, využití a odstranění </w:t>
      </w:r>
      <w:r w:rsidRPr="00652A91">
        <w:t>elektrozařízení</w:t>
      </w:r>
      <w:r>
        <w:t xml:space="preserve"> pocházejících z domácností</w:t>
      </w:r>
      <w:r w:rsidRPr="00652A91">
        <w:t xml:space="preserve"> vychází přímo z</w:t>
      </w:r>
      <w:r>
        <w:t> čl. 12</w:t>
      </w:r>
      <w:r w:rsidRPr="00652A91">
        <w:t xml:space="preserve"> směrnice 2012/19/EU, a to jak pro elektrozařízení</w:t>
      </w:r>
      <w:r>
        <w:t xml:space="preserve"> uvedená na trh po dni 13. srpna 2005</w:t>
      </w:r>
      <w:r w:rsidRPr="00652A91">
        <w:t>, tak pro tzv. historická elektrozařízení</w:t>
      </w:r>
      <w:r>
        <w:t xml:space="preserve"> uvedená na trh do dne 13. srpna 2005. </w:t>
      </w:r>
      <w:r w:rsidRPr="00652A91">
        <w:t>Pokud jde o historická elektrozařízení, připouští zákon</w:t>
      </w:r>
      <w:r>
        <w:t>, stejně jako dosavadní zákon o odpadech,</w:t>
      </w:r>
      <w:r w:rsidRPr="00652A91">
        <w:t xml:space="preserve"> </w:t>
      </w:r>
      <w:r>
        <w:t xml:space="preserve">plnění povinností výrobců </w:t>
      </w:r>
      <w:r w:rsidRPr="00652A91">
        <w:t>pouze</w:t>
      </w:r>
      <w:r>
        <w:t xml:space="preserve"> v rámci kolektivních systémů, do kterých tito výrobci budou přispívat dle poměru jejich podílu na trhu v dané skupině elektrozařízení.</w:t>
      </w:r>
      <w:r w:rsidRPr="00652A91">
        <w:t xml:space="preserve"> </w:t>
      </w:r>
      <w:r>
        <w:t>Zatímco tedy v případě elektrozařízení uvedených na trh po dni 13. srpna 2005 financuje výrobce nakládání s elektrozařízením pocházejícím z domácností, jehož je výrobcem, v případě historických elektrozařízení uvedených na trh před účinností právní úpravy, která odpovědnost výrobce za zpětný odběr elektrozařízení</w:t>
      </w:r>
      <w:r w:rsidRPr="00A40010">
        <w:t xml:space="preserve"> </w:t>
      </w:r>
      <w:r>
        <w:t xml:space="preserve">pocházejících z domácností zavedla (směrnice 2002/96/ES </w:t>
      </w:r>
      <w:r>
        <w:rPr>
          <w:bCs/>
        </w:rPr>
        <w:t>o </w:t>
      </w:r>
      <w:r w:rsidRPr="00814412">
        <w:rPr>
          <w:bCs/>
        </w:rPr>
        <w:t>odpadních elektrických a elektronických zařízeních (OEEZ)</w:t>
      </w:r>
      <w:r>
        <w:rPr>
          <w:bCs/>
        </w:rPr>
        <w:t xml:space="preserve"> a zákon č. 7/2005 Sb., </w:t>
      </w:r>
      <w:r w:rsidRPr="00814412">
        <w:rPr>
          <w:bCs/>
        </w:rPr>
        <w:t>kterým se mění zákon č. 185/2001 Sb., o odpadech a o změně některých dalších zákonů, ve znění pozdějších předpisů</w:t>
      </w:r>
      <w:r>
        <w:rPr>
          <w:bCs/>
        </w:rPr>
        <w:t xml:space="preserve">) </w:t>
      </w:r>
      <w:r>
        <w:t xml:space="preserve">je uplatněn princip sdílení nákladů podnikatelsky činných výrobců v okamžiku vzniku těchto nákladů, a to v poměru jejich podílu na trhu. Stejně jako dosud, výrobce, který plní své povinnosti k elektrozařízením určeným k použití v domácnostech uvedeným na trh po dni 13. srpna 2005, je povinen poskytnout </w:t>
      </w:r>
      <w:r w:rsidRPr="00BE16BB">
        <w:t>záruku prokazující, že nakládání s</w:t>
      </w:r>
      <w:r>
        <w:t> odpadními elektrozařízeními</w:t>
      </w:r>
      <w:r w:rsidRPr="00BE16BB">
        <w:t xml:space="preserve"> bude finančně zajištěno </w:t>
      </w:r>
      <w:r>
        <w:t>(§ 31)</w:t>
      </w:r>
      <w:r w:rsidRPr="00BE16BB">
        <w:t>.</w:t>
      </w:r>
    </w:p>
    <w:p w:rsidR="00CC0F90" w:rsidRPr="00572846" w:rsidRDefault="00CC0F90" w:rsidP="00CC0F90">
      <w:pPr>
        <w:spacing w:before="240"/>
        <w:rPr>
          <w:b/>
        </w:rPr>
      </w:pPr>
      <w:r w:rsidRPr="00166954">
        <w:rPr>
          <w:b/>
        </w:rPr>
        <w:t xml:space="preserve">K § </w:t>
      </w:r>
      <w:r>
        <w:rPr>
          <w:b/>
        </w:rPr>
        <w:t>90</w:t>
      </w:r>
    </w:p>
    <w:p w:rsidR="00CC0F90" w:rsidRPr="00385F53" w:rsidRDefault="00CC0F90" w:rsidP="00CC0F90">
      <w:pPr>
        <w:spacing w:before="240"/>
      </w:pPr>
      <w:r w:rsidRPr="00385F53">
        <w:t>Zákon stanovuje výrobci elektrozařízení povinnost zajisti</w:t>
      </w:r>
      <w:r>
        <w:t>t financování zpětného odběru a </w:t>
      </w:r>
      <w:r w:rsidRPr="00385F53">
        <w:t>následného zpracování, využití a odstranění elektrozařízení nepocházejícího z</w:t>
      </w:r>
      <w:r>
        <w:t> </w:t>
      </w:r>
      <w:r w:rsidRPr="00385F53">
        <w:t>domácností</w:t>
      </w:r>
      <w:r>
        <w:t xml:space="preserve"> v souladu se </w:t>
      </w:r>
      <w:r w:rsidRPr="00385F53">
        <w:t>směrnic</w:t>
      </w:r>
      <w:r>
        <w:t>í</w:t>
      </w:r>
      <w:r w:rsidRPr="00385F53">
        <w:t xml:space="preserve"> 2012/19/EU</w:t>
      </w:r>
      <w:r>
        <w:t xml:space="preserve"> a stejným způsobem jako dosud platný zákon o odpadech</w:t>
      </w:r>
      <w:r w:rsidRPr="00385F53">
        <w:t xml:space="preserve">. </w:t>
      </w:r>
      <w:r>
        <w:t>Pokud</w:t>
      </w:r>
      <w:r w:rsidRPr="00385F53">
        <w:t xml:space="preserve"> elektrozařízení bylo uvedeno na trh po dni 13. srpna 2005 a jde-li o elektrozařízení, jehož je výrobcem, zajistí financování sám na vlastní náklady. V případě, že elektrozařízení bylo uvedeno na trh do dne 13. srpna 2005 a je nahrazováno elektrozařízením stejného typu </w:t>
      </w:r>
      <w:r w:rsidRPr="00385F53">
        <w:lastRenderedPageBreak/>
        <w:t>nebo elektrozařízením, které plní stejnou funkci, zajistí financování výrobce takového nového elektrozařízení při jeho dodávce, nejvýše však v počtu kusů dodávaných elektrozařízení</w:t>
      </w:r>
      <w:r>
        <w:t>.</w:t>
      </w:r>
      <w:r w:rsidRPr="00385F53">
        <w:t xml:space="preserve"> V případě elektrozařízení uvedených na trh do dne 13. srpna 2005, která nejsou nahrazována elektrozařízením stejného typu nebo elektrozařízením, které plní stejnou funkci, zajistí financování konečný uživatel, který není spotřebitelem.</w:t>
      </w:r>
      <w:r>
        <w:t xml:space="preserve"> Spotřebitel je definován zákonem č. 634/1992 Sb., </w:t>
      </w:r>
      <w:r w:rsidRPr="00C92E92">
        <w:t>o ochraně spotřebitele</w:t>
      </w:r>
      <w:r>
        <w:t xml:space="preserve">, ve znění pozdějších předpisů, jako </w:t>
      </w:r>
      <w:r w:rsidRPr="00AB6D3A">
        <w:t>fyzická osoba, která nejedná v rámci své podnikatelské činnosti nebo v rámci samostatného výkonu svého povolání</w:t>
      </w:r>
      <w:r>
        <w:t>.</w:t>
      </w:r>
    </w:p>
    <w:p w:rsidR="00CC0F90" w:rsidRPr="00385F53" w:rsidRDefault="00CC0F90" w:rsidP="00CC0F90">
      <w:pPr>
        <w:spacing w:before="240"/>
      </w:pPr>
      <w:r>
        <w:t>V návaznosti na dosavadní právní úpravu</w:t>
      </w:r>
      <w:r w:rsidRPr="00385F53">
        <w:t xml:space="preserve"> umožnuje </w:t>
      </w:r>
      <w:r>
        <w:t xml:space="preserve">navrhovaný zákon </w:t>
      </w:r>
      <w:r w:rsidRPr="00385F53">
        <w:t xml:space="preserve">dohodu o zajištění financování </w:t>
      </w:r>
      <w:r>
        <w:t>zpětného odběru</w:t>
      </w:r>
      <w:r w:rsidRPr="00385F53">
        <w:t xml:space="preserve">, zpracování, využití a odstranění </w:t>
      </w:r>
      <w:r w:rsidRPr="00EE2F05">
        <w:t>elektrozařízení nepocházejícího z domácností</w:t>
      </w:r>
      <w:r w:rsidRPr="00385F53">
        <w:t xml:space="preserve">, na základě které se výrobce a konečný uživatel, který není spotřebitelem, mohou mezi sebou dohodnout na odchylném způsobu zajištění financování, než jaký stanoví § </w:t>
      </w:r>
      <w:r>
        <w:t>90</w:t>
      </w:r>
      <w:r w:rsidRPr="00385F53">
        <w:t xml:space="preserve"> odst. 1 písm. a). Tato možnost vychází přímo z čl. 13 odst. 2 směrnice 2012/19/EU. Zákon požaduje písemnou formu takové dohody, na druhou stranu však není vyloučeno, aby taková dohoda byla součástí jiné smlouvy, typicky např. kupní. Dohodu </w:t>
      </w:r>
      <w:r>
        <w:t>je</w:t>
      </w:r>
      <w:r w:rsidRPr="00385F53">
        <w:t xml:space="preserve"> možné uzavřít nejpozději při dodání nového elektrozařízení konečnému uživateli. O uzavření takové dohody a základních dohodnutých podmínkách financování musí výrobce informovat ministerstvo v roční zprávě. V tomto směru postačí i informace obsahující souhrnné údaje, pokud výrobce například uzavírá větší počet identických dohod s jednotlivými odběrateli. </w:t>
      </w:r>
    </w:p>
    <w:p w:rsidR="00CC0F90" w:rsidRDefault="00CC0F90" w:rsidP="00CC0F90">
      <w:pPr>
        <w:spacing w:before="240"/>
      </w:pPr>
      <w:r w:rsidRPr="00385F53">
        <w:t xml:space="preserve">Na výrobce elektrozařízení určených k použití </w:t>
      </w:r>
      <w:r>
        <w:t>mimo</w:t>
      </w:r>
      <w:r w:rsidRPr="00385F53">
        <w:t> domácnost</w:t>
      </w:r>
      <w:r>
        <w:t>i</w:t>
      </w:r>
      <w:r w:rsidRPr="00385F53">
        <w:t xml:space="preserve">, kteří plní své povinnosti </w:t>
      </w:r>
      <w:r>
        <w:t xml:space="preserve">samostatně </w:t>
      </w:r>
      <w:r w:rsidRPr="00385F53">
        <w:t xml:space="preserve">v rámci individuálního </w:t>
      </w:r>
      <w:r>
        <w:t>systému</w:t>
      </w:r>
      <w:r w:rsidRPr="00385F53">
        <w:t xml:space="preserve">, se nevztahuje povinnost poskytnout před uvedením </w:t>
      </w:r>
      <w:r>
        <w:t>elektrozařízení</w:t>
      </w:r>
      <w:r w:rsidRPr="00385F53">
        <w:t xml:space="preserve"> na trh záruku prokazující, že nakládání s </w:t>
      </w:r>
      <w:r>
        <w:t>odpadním elektrozařízením</w:t>
      </w:r>
      <w:r w:rsidRPr="00385F53" w:rsidDel="00A71010">
        <w:t xml:space="preserve"> </w:t>
      </w:r>
      <w:r w:rsidRPr="00385F53">
        <w:t>bude finančně zajištěno (</w:t>
      </w:r>
      <w:r>
        <w:t>§ 31</w:t>
      </w:r>
      <w:r w:rsidRPr="00385F53">
        <w:t xml:space="preserve">). Tato povinnost </w:t>
      </w:r>
      <w:r>
        <w:t xml:space="preserve">nicméně </w:t>
      </w:r>
      <w:r w:rsidRPr="00385F53">
        <w:t xml:space="preserve">zůstává zachována pro výrobce solárních panelů plnící </w:t>
      </w:r>
      <w:r>
        <w:t xml:space="preserve">své </w:t>
      </w:r>
      <w:r w:rsidRPr="00385F53">
        <w:t xml:space="preserve">povinnosti </w:t>
      </w:r>
      <w:r>
        <w:t xml:space="preserve">v </w:t>
      </w:r>
      <w:r w:rsidRPr="00385F53">
        <w:t xml:space="preserve">individuálním </w:t>
      </w:r>
      <w:r>
        <w:t>systému</w:t>
      </w:r>
      <w:r w:rsidRPr="00385F53">
        <w:t>.</w:t>
      </w:r>
    </w:p>
    <w:p w:rsidR="00CC0F90" w:rsidRDefault="00CC0F90" w:rsidP="00CC0F90">
      <w:pPr>
        <w:spacing w:before="240"/>
      </w:pPr>
      <w:r>
        <w:t xml:space="preserve">Navrhovaný zákon již neupravuje zvlášť financování nakládání s odpadními solárními panely, s výjimkou solárních panelů uvedených na trh do dne 1. ledna 2013 (viz dále). To znamená, že se zde uplatní standardní režim financování nakládání s odpadním </w:t>
      </w:r>
      <w:r w:rsidRPr="00385F53">
        <w:t>elektrozařízení</w:t>
      </w:r>
      <w:r>
        <w:t>m.</w:t>
      </w:r>
      <w:r w:rsidRPr="00385F53">
        <w:t xml:space="preserve"> </w:t>
      </w:r>
      <w:r>
        <w:rPr>
          <w:bCs/>
        </w:rPr>
        <w:t>Jak bylo ale uvedeno, povinnost samostatně plnících výrobců poskytovat finanční záruku při uvádění solárních panelů na trh zůstává zachována.</w:t>
      </w:r>
    </w:p>
    <w:p w:rsidR="00CC0F90" w:rsidRPr="00385F53" w:rsidRDefault="00CC0F90" w:rsidP="00CC0F90">
      <w:pPr>
        <w:spacing w:before="240"/>
        <w:rPr>
          <w:b/>
        </w:rPr>
      </w:pPr>
      <w:r w:rsidRPr="00385F53">
        <w:rPr>
          <w:b/>
        </w:rPr>
        <w:t>K § 9</w:t>
      </w:r>
      <w:r>
        <w:rPr>
          <w:b/>
        </w:rPr>
        <w:t>1</w:t>
      </w:r>
    </w:p>
    <w:p w:rsidR="00CC0F90" w:rsidRDefault="00CC0F90" w:rsidP="00CC0F90">
      <w:pPr>
        <w:spacing w:before="240"/>
      </w:pPr>
      <w:r>
        <w:t>Pokud jde o solární panely uvedené na trh do dne 1. ledna 2013 („historické solární panely“), zachovává navrhovaný zákon kontinuitu s dosavadní právní úpravou v zákoně o odpadech, podle které není povinnou osobou výrobce, ale provozovatel solární elektrárny, jejíž jsou takové solární panely součástí, tedy v podstatě konečný uživatel. Ten je povinen</w:t>
      </w:r>
      <w:r w:rsidRPr="00932D65">
        <w:t xml:space="preserve"> zaji</w:t>
      </w:r>
      <w:r>
        <w:t>stit</w:t>
      </w:r>
      <w:r w:rsidRPr="00932D65">
        <w:t xml:space="preserve"> financování předání ke zpracování, využití a odstranění odp</w:t>
      </w:r>
      <w:r>
        <w:t>a</w:t>
      </w:r>
      <w:r w:rsidRPr="00932D65">
        <w:t xml:space="preserve">dních solárních panelů uvedených na trh do </w:t>
      </w:r>
      <w:r>
        <w:t xml:space="preserve">dne </w:t>
      </w:r>
      <w:r w:rsidRPr="00932D65">
        <w:t>1. ledna 2013</w:t>
      </w:r>
      <w:r>
        <w:t xml:space="preserve">, včetně plnění těchto povinností, a to prostřednictvím provozovatele kolektivního systému, který musí být k zajišťování plnění těchto povinností oprávněn. Půjde tedy buď o kolektivní systém výrobců elektrozařízení s oprávněním uděleným rovněž pro historické solární panely, anebo o speciální kolektivní systém založený </w:t>
      </w:r>
      <w:r>
        <w:lastRenderedPageBreak/>
        <w:t>provozovateli solárních elektráren s historickými solárními panely, což zákon nově umožňuje v § 63.</w:t>
      </w:r>
    </w:p>
    <w:p w:rsidR="00CC0F90" w:rsidRDefault="00CC0F90" w:rsidP="00CC0F90">
      <w:pPr>
        <w:spacing w:before="240"/>
      </w:pPr>
      <w:r>
        <w:t>Ke splnění uvedených povinností musí provozovatel solární elektrárny uzavřít s provozovatelem kolektivního systému smlouvu, jejímž předmětem je na jedné straně závazek provozovatele kolektivního systému splnění těchto povinností zajistit a na straně druhé povinnost provozovatele solární elektrárny financovat tuto činnost v podobě rovnoměrných dílčích plateb příspěvků, poskytovaných minimálně s roční periodicitou tak, aby financování bylo plně zajištěno nejpozději do 1. ledna 2019. Na rozdíl od dosud platného znění § 37p odst. 2 zákona o odpadech, podle kterého bylo kritériem pro určení příspěvku hmotnost a složení solárních panelů, stanoví navrhovaný zákon, že provozovatel kolektivního systému určí příspěvky na předání ke zpracování, využití a odstranění odpadních solárních panelů zejména v závislosti na jejich výkonu. Tento způsob s</w:t>
      </w:r>
      <w:r w:rsidRPr="008039DA">
        <w:t xml:space="preserve">tanovení výše příspěvků odráží </w:t>
      </w:r>
      <w:r>
        <w:t xml:space="preserve">úpravu ve </w:t>
      </w:r>
      <w:r w:rsidRPr="008039DA">
        <w:t>vyhláš</w:t>
      </w:r>
      <w:r>
        <w:t>ce</w:t>
      </w:r>
      <w:r w:rsidRPr="008039DA">
        <w:t xml:space="preserve"> č. </w:t>
      </w:r>
      <w:r>
        <w:t xml:space="preserve">352/2005 Sb., ve znění vyhlášky č. 178/2013 Sb., podle které je hmotnost solárních panelů pro účely stanovení výše příspěvku odvozována od jejich výkonu. </w:t>
      </w:r>
      <w:r w:rsidRPr="008039DA">
        <w:t>Uvedený mechanismus především významně usnadňuje kontrolu ze strany státu</w:t>
      </w:r>
      <w:r>
        <w:t>, i </w:t>
      </w:r>
      <w:r w:rsidRPr="008039DA">
        <w:t>jednotlivých kolektivních systémů, kdy instalovaný výkon solární elektrárny je vždy jednoznačný a snadno kontrolovatelný údaj ve vztahu k výši odvedených příspěvků ze strany provozovatelů solárních elektráren.</w:t>
      </w:r>
      <w:r>
        <w:t xml:space="preserve"> </w:t>
      </w:r>
    </w:p>
    <w:p w:rsidR="00CC0F90" w:rsidRDefault="00CC0F90" w:rsidP="00CC0F90">
      <w:pPr>
        <w:spacing w:before="240"/>
      </w:pPr>
      <w:r>
        <w:t>Jelikož stávající zákon o odpadech uložil provozovatelům solárních elektráren povinnost uzavřít smlouvy s provozovateli kolektivních systémů do 30. června 2013 a povinnost poskytovat každoročně uvedené platby příspěvků počínaje 1. ledna 2014, nestanoví navrhovaný zákon žádnou lhůtu pro uzavření těchto smluv, ani počátek vzniku povinnosti platit příspěvky.</w:t>
      </w:r>
    </w:p>
    <w:p w:rsidR="00CC0F90" w:rsidRDefault="00CC0F90" w:rsidP="00CC0F90">
      <w:pPr>
        <w:spacing w:before="240"/>
      </w:pPr>
      <w:r>
        <w:t xml:space="preserve">Dosavadní právní úprava byla v minulosti často kritizována zejména z toho důvodu, že zákon o odpadech neupravoval dostatečně problematiku hospodaření s vybranými finančními prostředky v rámci kolektivních systémů zajišťujících povinnosti provozovatelů solárních elektráren. Navrhovaný zákon tento nedostatek řeší jednak prostřednictvím zvláštního ustanovení odstavce 5 a rovněž společnou úpravou fungování kolektivních systémů v hlavě II dílu 5 oddílu 3. Vzhledem k tomu, že řada ustanovení tohoto dílu zákona hovoří o zajišťování kolektivního plnění povinností výrobců, avšak v případě historických solárních panelů nejde o plnění povinností výrobců, navrhuje se v odstavci 4 stanovit, že tato ustanovení se použijí přiměřeně. </w:t>
      </w:r>
    </w:p>
    <w:p w:rsidR="00CC0F90" w:rsidRDefault="00CC0F90" w:rsidP="00CC0F90">
      <w:pPr>
        <w:spacing w:before="240"/>
      </w:pPr>
      <w:r w:rsidRPr="00D1025C">
        <w:t xml:space="preserve">V případě solárních panelů uvedených na trh </w:t>
      </w:r>
      <w:r>
        <w:t>do dne</w:t>
      </w:r>
      <w:r w:rsidRPr="00D1025C">
        <w:t xml:space="preserve"> 1. </w:t>
      </w:r>
      <w:r>
        <w:t>ledna</w:t>
      </w:r>
      <w:r w:rsidRPr="00D1025C">
        <w:t xml:space="preserve"> 2013 přebírá </w:t>
      </w:r>
      <w:r>
        <w:t xml:space="preserve">tedy </w:t>
      </w:r>
      <w:r w:rsidRPr="00D1025C">
        <w:t xml:space="preserve">provozovatel kolektivního systému </w:t>
      </w:r>
      <w:r>
        <w:t xml:space="preserve">na základě smlouvy s provozovatelem solární elektrárny podle odstavce 1 plnou </w:t>
      </w:r>
      <w:r w:rsidRPr="00D1025C">
        <w:t>odpovědnost za zajištění veške</w:t>
      </w:r>
      <w:r>
        <w:t>rých povinností vyplývajících z tohoto zákona</w:t>
      </w:r>
      <w:r w:rsidRPr="00D1025C">
        <w:t xml:space="preserve"> </w:t>
      </w:r>
      <w:r>
        <w:t>ve vztahu</w:t>
      </w:r>
      <w:r w:rsidRPr="00D1025C">
        <w:t xml:space="preserve"> k solárním panelům</w:t>
      </w:r>
      <w:r>
        <w:t xml:space="preserve"> v elektrárně tohoto provozovatele</w:t>
      </w:r>
      <w:r w:rsidRPr="00D1025C">
        <w:t xml:space="preserve"> v </w:t>
      </w:r>
      <w:r>
        <w:t>okamžiku</w:t>
      </w:r>
      <w:r w:rsidRPr="00D1025C">
        <w:t>, kdy se z těchto solárních panelů stan</w:t>
      </w:r>
      <w:r>
        <w:t>e</w:t>
      </w:r>
      <w:r w:rsidRPr="00D1025C">
        <w:t xml:space="preserve"> odpad. </w:t>
      </w:r>
      <w:r>
        <w:t xml:space="preserve">Počet licencovaných provozovatelů solárních elektráren, na které se výše uvedená povinnost vztahuje, čítá cca 22 000 osob, celkové instalované hmotnostní množství panelů se pohybuje kolem 160 tisíc tun. </w:t>
      </w:r>
      <w:r w:rsidRPr="00D1025C">
        <w:t xml:space="preserve">S ohledem na zásadní časový nesoulad okamžiku výběru příspěvku a jeho použití je nutné, aby byly vybrány </w:t>
      </w:r>
      <w:r>
        <w:t xml:space="preserve">peněžní </w:t>
      </w:r>
      <w:r w:rsidRPr="00D1025C">
        <w:t>prostředky v dostatečné výši</w:t>
      </w:r>
      <w:r>
        <w:t xml:space="preserve">, tj. i s ohledem na možné budoucí </w:t>
      </w:r>
      <w:r w:rsidRPr="00D1025C">
        <w:t xml:space="preserve">výkyvy na trhu s druhotnými </w:t>
      </w:r>
      <w:r w:rsidRPr="00D1025C">
        <w:lastRenderedPageBreak/>
        <w:t xml:space="preserve">surovinami, </w:t>
      </w:r>
      <w:r>
        <w:t>aby s těmito peněžními</w:t>
      </w:r>
      <w:r w:rsidRPr="00D1025C">
        <w:t xml:space="preserve"> prostředky byl</w:t>
      </w:r>
      <w:r>
        <w:t>o</w:t>
      </w:r>
      <w:r w:rsidRPr="00D1025C">
        <w:t xml:space="preserve"> </w:t>
      </w:r>
      <w:r>
        <w:t>hospodařeno</w:t>
      </w:r>
      <w:r w:rsidRPr="00D1025C">
        <w:t xml:space="preserve"> odděleně</w:t>
      </w:r>
      <w:r>
        <w:t xml:space="preserve"> a byla zajištěna</w:t>
      </w:r>
      <w:r w:rsidRPr="00D1025C">
        <w:t xml:space="preserve"> dostatečn</w:t>
      </w:r>
      <w:r>
        <w:t>á</w:t>
      </w:r>
      <w:r w:rsidRPr="00D1025C">
        <w:t xml:space="preserve"> kontrol</w:t>
      </w:r>
      <w:r>
        <w:t>a nakládání s nimi</w:t>
      </w:r>
      <w:r w:rsidRPr="00D1025C">
        <w:t>.</w:t>
      </w:r>
      <w:r>
        <w:t xml:space="preserve"> Zákon váže použití těchto peněžních prostředků včetně výnosů z nich výhradně na zajištění financování </w:t>
      </w:r>
      <w:r w:rsidRPr="004329CB">
        <w:t xml:space="preserve">předání ke zpracování, využití a odstranění těch </w:t>
      </w:r>
      <w:r>
        <w:t>odpadních solárních panelů</w:t>
      </w:r>
      <w:r w:rsidRPr="002B661E">
        <w:t>, na které byly určeny.</w:t>
      </w:r>
    </w:p>
    <w:p w:rsidR="00CC0F90" w:rsidRDefault="00CC0F90" w:rsidP="00CC0F90">
      <w:pPr>
        <w:spacing w:before="240"/>
      </w:pPr>
      <w:r>
        <w:t>Zároveň by měl zákon chránit tyto peněžní prostředky z hlediska jejich bezpečného uložení. Tyto prostředky včetně výnosů z nich proto musejí být</w:t>
      </w:r>
      <w:r w:rsidRPr="00756570">
        <w:rPr>
          <w:bCs/>
        </w:rPr>
        <w:t xml:space="preserve"> </w:t>
      </w:r>
      <w:r>
        <w:rPr>
          <w:bCs/>
        </w:rPr>
        <w:t xml:space="preserve">uloženy na </w:t>
      </w:r>
      <w:r w:rsidRPr="00756570">
        <w:rPr>
          <w:bCs/>
        </w:rPr>
        <w:t xml:space="preserve">zvláštní účet </w:t>
      </w:r>
      <w:r>
        <w:rPr>
          <w:bCs/>
        </w:rPr>
        <w:t>vedený v </w:t>
      </w:r>
      <w:r w:rsidRPr="00756570">
        <w:rPr>
          <w:bCs/>
        </w:rPr>
        <w:t xml:space="preserve">bance se sídlem </w:t>
      </w:r>
      <w:r w:rsidRPr="00F84EEB">
        <w:rPr>
          <w:bCs/>
        </w:rPr>
        <w:t>na území České republiky nebo pobočce zahraniční banky na území České republiky</w:t>
      </w:r>
      <w:r>
        <w:rPr>
          <w:bCs/>
        </w:rPr>
        <w:t xml:space="preserve"> a </w:t>
      </w:r>
      <w:r>
        <w:t>s ohledem na předpokládaný výhled jejich přímého použití v řádu 10 a více let bude umožněno jejich dočasné investování pouze do konzervativních investičních nástrojů, taxativně stanovených prováděcí vyhláškou, tak aby nedošlo ke ztrátě jejich hodnoty.</w:t>
      </w:r>
    </w:p>
    <w:p w:rsidR="00CC0F90" w:rsidRDefault="00CC0F90" w:rsidP="00CC0F90">
      <w:pPr>
        <w:spacing w:before="240"/>
      </w:pPr>
      <w:r>
        <w:t>Konkrétní způsob výpočtu příspěvků na financování nakládání s odpadními solárními panely uvedenými na trh do dne 1. ledna 2013 včetně stanovení jejich minimální výše budou předmětem úpravy ve vyhlášce ministerstva.</w:t>
      </w:r>
    </w:p>
    <w:p w:rsidR="00CC0F90" w:rsidRDefault="00CC0F90" w:rsidP="00CC0F90">
      <w:pPr>
        <w:spacing w:before="240"/>
      </w:pPr>
      <w:r>
        <w:t xml:space="preserve">Nová právní úprava zachovává také institut zúčtování mezi provozovateli solárních elektráren a provozovateli kolektivních systémů po částečném i úplném zajištění splnění povinností </w:t>
      </w:r>
      <w:r w:rsidRPr="00760AF7">
        <w:t>zpětného odběru</w:t>
      </w:r>
      <w:r>
        <w:t>, zpracování, využití a odstranění elektroodpadu ze solárních panelů tak, aby se eliminovaly zásadní výkyvy ve financování oběma směry, včetně případných neadekvátních přebytků na straně provozovatelů kolektivních systémů. Vzhledem k časovému horizontu 10–30 let se předpokládají možné odchylky jednotlivých relevantních faktorů i v řádu desítek procent. Jelikož úpravu této problematiky prováděcím právním předpisem, jako je tomu nyní, nelze považovat za optimální, je navrhováno její včlenění do zákona.</w:t>
      </w:r>
    </w:p>
    <w:p w:rsidR="00CC0F90" w:rsidRPr="007E4815" w:rsidRDefault="00CC0F90" w:rsidP="00CC0F90">
      <w:pPr>
        <w:spacing w:before="240"/>
        <w:rPr>
          <w:b/>
        </w:rPr>
      </w:pPr>
      <w:r w:rsidRPr="007E4815">
        <w:rPr>
          <w:b/>
        </w:rPr>
        <w:t>K § 9</w:t>
      </w:r>
      <w:r>
        <w:rPr>
          <w:b/>
        </w:rPr>
        <w:t>2</w:t>
      </w:r>
    </w:p>
    <w:p w:rsidR="00CC0F90" w:rsidRPr="00652A91" w:rsidRDefault="00CC0F90" w:rsidP="00CC0F90">
      <w:pPr>
        <w:spacing w:before="240"/>
      </w:pPr>
      <w:r>
        <w:t xml:space="preserve"> Zákon</w:t>
      </w:r>
      <w:r w:rsidRPr="00652A91">
        <w:t xml:space="preserve"> stanov</w:t>
      </w:r>
      <w:r>
        <w:t>uje</w:t>
      </w:r>
      <w:r w:rsidRPr="00652A91">
        <w:t xml:space="preserve"> pro výrobce, distributory a poslední prodejce</w:t>
      </w:r>
      <w:r>
        <w:t xml:space="preserve"> povinnost</w:t>
      </w:r>
      <w:r w:rsidRPr="00652A91">
        <w:t xml:space="preserve"> uvádět </w:t>
      </w:r>
      <w:r w:rsidRPr="008A79C7">
        <w:t xml:space="preserve">při prodeji nového elektrozařízení </w:t>
      </w:r>
      <w:r w:rsidRPr="00652A91">
        <w:t>náklady na zpětný odběr, zpracování, využití a odstranění odpadního elektrozařízení odděleně. V současné době má výrobce na výběr, zda tyto náklady bude uvádět odděleně či nikoliv. V praxi tak může docházet k tomu, že u stejných výrobků je tzv. recyklační příspěvek viditelný a u dalších nikoliv (</w:t>
      </w:r>
      <w:r>
        <w:t xml:space="preserve">dále případy </w:t>
      </w:r>
      <w:r w:rsidRPr="00652A91">
        <w:t>prodej</w:t>
      </w:r>
      <w:r>
        <w:t>e</w:t>
      </w:r>
      <w:r w:rsidRPr="00652A91">
        <w:t xml:space="preserve"> přes různé výrobce, kdy jeden se rozhodl příspěvek zobrazovat, druhý nikoliv). U spotřebitelů může také tento stav v mnohých případech evokovat dojem, že u některých výrobků se na zpětný odběr recyklační příspěvek nevybírá. Oddělené uvádění příspěvků také může sloužit jako kontrolní mechanismus při plnění povinností výrobců elektrozařízení.  </w:t>
      </w:r>
    </w:p>
    <w:p w:rsidR="00CC0F90" w:rsidRDefault="00CC0F90" w:rsidP="00CC0F90">
      <w:pPr>
        <w:spacing w:before="240"/>
      </w:pPr>
      <w:r w:rsidRPr="00652A91">
        <w:t>V souladu s požadavkem směrnice</w:t>
      </w:r>
      <w:r>
        <w:t xml:space="preserve"> </w:t>
      </w:r>
      <w:r w:rsidRPr="00652A91">
        <w:t>2012/19/EU zákon rovněž stanoví, že uvedené náklady nesmějí převýšit náklady známé výrobci elektrozařízení v okamžiku uvedení nového elektrozařízení na trh, nebo prokazatelný odhad předpokládaných nákladů v případě, že náklady výrobci elektrozařízení vzniknou až po tomto okamžiku. Při plnění povinností výrobce elektrozařízení v rámci kolektivní</w:t>
      </w:r>
      <w:r>
        <w:t>ho</w:t>
      </w:r>
      <w:r w:rsidRPr="00652A91">
        <w:t xml:space="preserve"> systému </w:t>
      </w:r>
      <w:r>
        <w:t xml:space="preserve">se </w:t>
      </w:r>
      <w:r w:rsidRPr="00652A91">
        <w:t>určí náklady známé výrobci elektrozařízení v okamžiku uvedení nového elektrozařízení na trh podle výše příspěvku hrazeného provozovateli kolektivního systému.</w:t>
      </w:r>
    </w:p>
    <w:p w:rsidR="00CC0F90" w:rsidRPr="00652A91" w:rsidRDefault="00CC0F90" w:rsidP="00CC0F90">
      <w:pPr>
        <w:spacing w:before="240"/>
      </w:pPr>
      <w:r w:rsidRPr="00A85EB9">
        <w:rPr>
          <w:bCs/>
        </w:rPr>
        <w:lastRenderedPageBreak/>
        <w:t xml:space="preserve">Navrhovaným ustanovením nejsou dotčeny povinnosti posledního prodejce podle zákona č. 526/1990 Sb., o cenách, ve znění pozdějších předpisů, který ukládá prodávajícímu informovat spotřebitele o </w:t>
      </w:r>
      <w:r w:rsidRPr="00A85EB9">
        <w:t>konečné nabídkové ceně, jež zahrnuje všechny daně, cla a poplatky.</w:t>
      </w:r>
    </w:p>
    <w:p w:rsidR="00CC0F90" w:rsidRPr="007E4815" w:rsidRDefault="00CC0F90" w:rsidP="00BD7946">
      <w:pPr>
        <w:keepNext/>
        <w:spacing w:before="240"/>
        <w:rPr>
          <w:b/>
        </w:rPr>
      </w:pPr>
      <w:r>
        <w:rPr>
          <w:b/>
        </w:rPr>
        <w:t>K § 93</w:t>
      </w:r>
    </w:p>
    <w:p w:rsidR="00CC0F90" w:rsidRDefault="00CC0F90" w:rsidP="00CC0F90">
      <w:pPr>
        <w:spacing w:before="240"/>
      </w:pPr>
      <w:r w:rsidRPr="00652A91">
        <w:t>Na základě čl. 23 odst. 2 a přílohy VI směrnice 2012/19/EU</w:t>
      </w:r>
      <w:r>
        <w:t xml:space="preserve"> a v návaznosti na dosavadní právní úpravu v zákoně o odpadech</w:t>
      </w:r>
      <w:r w:rsidRPr="00652A91">
        <w:t xml:space="preserve"> </w:t>
      </w:r>
      <w:r>
        <w:t>upravuje</w:t>
      </w:r>
      <w:r w:rsidRPr="00652A91">
        <w:t xml:space="preserve"> </w:t>
      </w:r>
      <w:r>
        <w:t>navrhovaný zákon</w:t>
      </w:r>
      <w:r w:rsidRPr="00652A91">
        <w:t xml:space="preserve"> přeshraniční přepravu použitých elektrozařízení, resp. přepravu těchto elektrozařízení do České republiky, z ní nebo přes ni. Smyslem této právní úpravy je zamezit přeshraniční přepravě použitých elektrozařízení, která nejsou přepravována jako odpad, ale ve skutečnosti jím jsou. Návrh zákona v prvé řadě stanoví základní povinnost držitele přepravovaných použitých elektrozařízení prokázat na požádání celního úřadu nebo ČIŽP, že tato elektrozařízení nejsou odpadem. K prokázání této skutečnosti slouží dokumenty uvedené v navrhovaném ustanovení, které musí být při přepravě k dispozici celním úřadům a ČIŽP. Jedná se o kopii daňového dokladu podle zákona o dani z přidané hodnoty a kopii příslušné smlouvy (typicky kupní), v níž musí být uvedeno, že elektrozařízení jsou určena k přímému opětovnému použití a že jsou plně funkční, dále dokumentaci o každém jednotlivém kusu přepravovaného elektrozařízení, která prokazuje, že byla ověřena jeho </w:t>
      </w:r>
      <w:r w:rsidRPr="00D27453">
        <w:t>funkčnost a zjištěna přítomnost nebezpečných látek</w:t>
      </w:r>
      <w:r w:rsidRPr="00652A91">
        <w:t xml:space="preserve">, a prohlášení držitele, že přepravovaná elektrozařízení nejsou odpadem. </w:t>
      </w:r>
      <w:r>
        <w:t xml:space="preserve">Požadavek na zjištění </w:t>
      </w:r>
      <w:r w:rsidRPr="00D27453">
        <w:t>přítomnost</w:t>
      </w:r>
      <w:r>
        <w:t xml:space="preserve">i </w:t>
      </w:r>
      <w:r w:rsidRPr="00D27453">
        <w:t>nebezpečných látek</w:t>
      </w:r>
      <w:r>
        <w:t xml:space="preserve"> může být splněn např. i přiložením </w:t>
      </w:r>
      <w:r w:rsidRPr="00560D87">
        <w:t>průvodní technick</w:t>
      </w:r>
      <w:r>
        <w:t>é</w:t>
      </w:r>
      <w:r w:rsidRPr="00560D87">
        <w:t xml:space="preserve"> dokumentace k výrobku poskytovaná výrobcem, pokud obsahuje požadované údaje</w:t>
      </w:r>
      <w:r>
        <w:t xml:space="preserve">. </w:t>
      </w:r>
      <w:r w:rsidRPr="00652A91">
        <w:t>Způsob ověřování a prokazování funkčno</w:t>
      </w:r>
      <w:r>
        <w:t>sti použitých elektrozařízení a </w:t>
      </w:r>
      <w:r w:rsidRPr="00652A91">
        <w:t>rozsah uvedené dokumentace budou stanoveny vyhláškou ministerstva, stejně jako seznam dalších dokladů přikládaných k nákladu přepravovaných použitých elektrozařízení a výčet elektrozařízení s obsahem nebezpečných látek, která nesm</w:t>
      </w:r>
      <w:r>
        <w:t>ěj</w:t>
      </w:r>
      <w:r w:rsidRPr="00652A91">
        <w:t xml:space="preserve">í být přepravována jako použitá. </w:t>
      </w:r>
    </w:p>
    <w:p w:rsidR="00CC0F90" w:rsidRPr="00652A91" w:rsidRDefault="00CC0F90" w:rsidP="00CC0F90">
      <w:pPr>
        <w:spacing w:before="240"/>
      </w:pPr>
      <w:r w:rsidRPr="00652A91">
        <w:t>Navrhované ustanovení rovněž v souladu s bodem 2 přílohy VI směrnice 2012/19/EU upravuje výjimky z povinnosti mít při přepravě k dispozici uvedené dokumenty v souvislosti se zasíláním použitých elektrozařízení za stanovených podmínek k opravě nebo renovaci mezi podnikajícími subjekty. Z povinnosti prokazovat na základě uvedených dokumentů, že přepravovaná elektrozařízení nejsou odpadem, se jeví potřebné vyjmout též přepravu elektrozařízení výhradně k soukromému nebo osobnímu použití. Dikce odstavce 3 vychází z</w:t>
      </w:r>
      <w:r>
        <w:t> </w:t>
      </w:r>
      <w:r w:rsidRPr="00652A91">
        <w:t>definice tzv. zboží neobchodní povahy uvedené v čl. 1 o</w:t>
      </w:r>
      <w:r>
        <w:t>dst. 6 nařízení Komise (EHS) č. </w:t>
      </w:r>
      <w:r w:rsidRPr="00652A91">
        <w:t>2454/93 ze dne 2. července 1993, kterým se provádí nařízení Rady (EHS) č. 2913/92, kterým se vydává celní kodex Společenství.</w:t>
      </w:r>
    </w:p>
    <w:p w:rsidR="00CC0F90" w:rsidRDefault="00CC0F90" w:rsidP="00CC0F90">
      <w:pPr>
        <w:spacing w:before="240"/>
      </w:pPr>
      <w:r w:rsidRPr="00652A91">
        <w:t>Dalším požadavkem, který navrhovaná právní úprava klade na přeshraniční přepravu použitých elektrozařízení, je zajištění ochrany elektrozařízení před poškozením v průběhu přepravy, nakládky a vykládky, zejména prostřednictvím dostatečných obalů a vhodného uspořádání nákladu. Jestliže tento požadavek není splněn, stejně jako v případě, že držitel přepravovaných použitých elektrozařízení stanoveným způsobem neprokáže, že přepravovaná elektrozařízení nejsou odpadem, uplatní se nevyvratitelná právní domněnka, že tato elektrozařízení jsou odpad</w:t>
      </w:r>
      <w:r>
        <w:t xml:space="preserve">ními elektrozařízeními </w:t>
      </w:r>
      <w:r w:rsidRPr="00652A91">
        <w:t xml:space="preserve">a jejich přeprava je nedovolenou přepravou </w:t>
      </w:r>
      <w:r w:rsidRPr="00652A91">
        <w:lastRenderedPageBreak/>
        <w:t>odpadů podle přímo použitelného právního předpisu EU o př</w:t>
      </w:r>
      <w:r>
        <w:t>epravě odpadů (nařízení (ES) č. </w:t>
      </w:r>
      <w:r w:rsidRPr="00652A91">
        <w:t>1013/2006 o přepravě odpadů).</w:t>
      </w:r>
    </w:p>
    <w:p w:rsidR="00CC0F90" w:rsidRPr="00B213C7" w:rsidRDefault="00CC0F90" w:rsidP="00BD7946">
      <w:pPr>
        <w:keepNext/>
        <w:spacing w:before="240"/>
        <w:rPr>
          <w:b/>
        </w:rPr>
      </w:pPr>
      <w:r>
        <w:rPr>
          <w:b/>
        </w:rPr>
        <w:t xml:space="preserve">K § 94 a </w:t>
      </w:r>
      <w:r w:rsidRPr="00B213C7">
        <w:rPr>
          <w:b/>
        </w:rPr>
        <w:t>9</w:t>
      </w:r>
      <w:r>
        <w:rPr>
          <w:b/>
        </w:rPr>
        <w:t>5</w:t>
      </w:r>
    </w:p>
    <w:p w:rsidR="00CC0F90" w:rsidRDefault="00CC0F90" w:rsidP="00CC0F90">
      <w:pPr>
        <w:spacing w:before="240"/>
      </w:pPr>
      <w:r>
        <w:t>V</w:t>
      </w:r>
      <w:r w:rsidRPr="00B213C7">
        <w:t>ymez</w:t>
      </w:r>
      <w:r>
        <w:t>ení rozsahu věcné</w:t>
      </w:r>
      <w:r w:rsidRPr="00B213C7">
        <w:t xml:space="preserve"> působnosti a </w:t>
      </w:r>
      <w:r>
        <w:t xml:space="preserve">definice </w:t>
      </w:r>
      <w:r w:rsidRPr="00B213C7">
        <w:t>další</w:t>
      </w:r>
      <w:r>
        <w:t>ch</w:t>
      </w:r>
      <w:r w:rsidRPr="00B213C7">
        <w:t xml:space="preserve"> pojm</w:t>
      </w:r>
      <w:r>
        <w:t>ů</w:t>
      </w:r>
      <w:r w:rsidRPr="00B213C7">
        <w:t>, které se bezprostředně vztahují k</w:t>
      </w:r>
      <w:r>
        <w:t> dílu 2 hlavy III, vycházejí</w:t>
      </w:r>
      <w:r w:rsidRPr="00B213C7">
        <w:t xml:space="preserve"> </w:t>
      </w:r>
      <w:r>
        <w:t>ze s</w:t>
      </w:r>
      <w:r w:rsidRPr="00B213C7">
        <w:t>měrnice 2006/66/ES o bateriích a akumulátorech.</w:t>
      </w:r>
    </w:p>
    <w:p w:rsidR="00CC0F90" w:rsidRPr="00B213C7" w:rsidRDefault="00CC0F90" w:rsidP="00CC0F90">
      <w:pPr>
        <w:spacing w:before="240"/>
      </w:pPr>
      <w:r>
        <w:t xml:space="preserve">Kategorie, do nichž se rozdělují baterie a akumulátory – přenosné, automobilové a průmyslové, jsou označeny jako skupiny. Jde tedy o stejnou úroveň členění jako v případě elektrozařízení (např. pro účely informací o výrobci při zápisu do Seznamu výrobců, rozsahu </w:t>
      </w:r>
      <w:r w:rsidRPr="00522149">
        <w:t>projekt</w:t>
      </w:r>
      <w:r>
        <w:t>u</w:t>
      </w:r>
      <w:r w:rsidRPr="00522149">
        <w:t xml:space="preserve"> zajišťování kolektivního plnění</w:t>
      </w:r>
      <w:r>
        <w:t xml:space="preserve"> atd.).</w:t>
      </w:r>
    </w:p>
    <w:p w:rsidR="00CC0F90" w:rsidRPr="00B213C7" w:rsidRDefault="00CC0F90" w:rsidP="00CC0F90">
      <w:pPr>
        <w:spacing w:before="240"/>
        <w:rPr>
          <w:b/>
        </w:rPr>
      </w:pPr>
      <w:r w:rsidRPr="00B213C7">
        <w:rPr>
          <w:b/>
        </w:rPr>
        <w:t>K § 9</w:t>
      </w:r>
      <w:r>
        <w:rPr>
          <w:b/>
        </w:rPr>
        <w:t>6 a 97</w:t>
      </w:r>
    </w:p>
    <w:p w:rsidR="00CC0F90" w:rsidRDefault="00CC0F90" w:rsidP="00CC0F90">
      <w:pPr>
        <w:spacing w:before="240"/>
      </w:pPr>
      <w:r>
        <w:t>Podmínky pro uvádění baterií a </w:t>
      </w:r>
      <w:r w:rsidRPr="00B213C7">
        <w:t>akumulátorů</w:t>
      </w:r>
      <w:r w:rsidRPr="00D86EF8">
        <w:t xml:space="preserve"> </w:t>
      </w:r>
      <w:r>
        <w:t xml:space="preserve">na trh nebo do oběhu jsou upraveny v souladu se směrnicí </w:t>
      </w:r>
      <w:r w:rsidRPr="00B213C7">
        <w:t>2006/66/ES</w:t>
      </w:r>
      <w:r>
        <w:t>, ve znění směrnice 2013/56/EU.</w:t>
      </w:r>
      <w:r w:rsidRPr="00B213C7">
        <w:t xml:space="preserve"> </w:t>
      </w:r>
      <w:r>
        <w:t xml:space="preserve">Zákon stanoví zákaz uvádět na trh nebo do oběhu baterie a akumulátory, </w:t>
      </w:r>
      <w:r w:rsidRPr="00B213C7">
        <w:t xml:space="preserve">které obsahují určité množství rtuti </w:t>
      </w:r>
      <w:r>
        <w:t>nebo</w:t>
      </w:r>
      <w:r w:rsidRPr="00B213C7">
        <w:t xml:space="preserve"> kadmia</w:t>
      </w:r>
      <w:r>
        <w:t>, a dále konkrétní výjimky z tohoto zákazu</w:t>
      </w:r>
      <w:r w:rsidRPr="00B213C7">
        <w:t xml:space="preserve">. </w:t>
      </w:r>
      <w:r>
        <w:t>V případě baterií a akumulátorů s vyšším než povoleným obsahem kadmia</w:t>
      </w:r>
      <w:r w:rsidRPr="00B213C7">
        <w:t xml:space="preserve"> </w:t>
      </w:r>
      <w:r>
        <w:t xml:space="preserve">se </w:t>
      </w:r>
      <w:r w:rsidRPr="00B213C7">
        <w:t>zákaz nevztahu</w:t>
      </w:r>
      <w:r>
        <w:t>je na přenosné baterie a akumulátory používané</w:t>
      </w:r>
      <w:r w:rsidRPr="00B213C7">
        <w:t xml:space="preserve"> v</w:t>
      </w:r>
      <w:r>
        <w:t xml:space="preserve"> nouzových nebo </w:t>
      </w:r>
      <w:r w:rsidRPr="00B213C7">
        <w:t xml:space="preserve">poplašných systémech či zdravotnických přístrojích. </w:t>
      </w:r>
    </w:p>
    <w:p w:rsidR="00CC0F90" w:rsidRPr="00B213C7" w:rsidRDefault="00CC0F90" w:rsidP="00CC0F90">
      <w:pPr>
        <w:spacing w:before="240"/>
      </w:pPr>
      <w:r>
        <w:t xml:space="preserve">Článek 6 odst. 2 směrnice </w:t>
      </w:r>
      <w:r w:rsidRPr="00B213C7">
        <w:t>2006/66/ES</w:t>
      </w:r>
      <w:r>
        <w:t>, ve znění směrnice 2013/56/EU, stanoví, že baterie a </w:t>
      </w:r>
      <w:r w:rsidRPr="00770DDB">
        <w:t>akumulátory, které nesplňují požadavky této směrnice, av</w:t>
      </w:r>
      <w:r>
        <w:t>šak které byly uvedeny na trh v </w:t>
      </w:r>
      <w:r w:rsidRPr="00770DDB">
        <w:t>souladu s právními předpisy přede dnem použitelnosti příslušných zákazů podle článku 4, mohou být prodávány až do vyčerpání zásob.</w:t>
      </w:r>
      <w:r>
        <w:t xml:space="preserve"> Navrhovaný zákon proto nařizuje stažení z trhu pouze takových nevyhovujících baterií a akumulátorů, které byly uvedeny na trh po 26. září 2008, což je datum stanovené pro implementaci směrnice 2006/66/ES. Z této povinnosti jsou stanoveny výjimky, které odpovídají časově omezeným výjimkám ze zákazu uvádět na trh nebo do oběhu některé baterie a akumulátory podle směrnice 2013/56/EU. Jinými slovy, povinnost zajistit stažení z trhu se bude vztahovat až na nevyhovující baterie a akumulátory uvedené na trh po stanovených termínech.</w:t>
      </w:r>
    </w:p>
    <w:p w:rsidR="00CC0F90" w:rsidRPr="00B213C7" w:rsidRDefault="00CC0F90" w:rsidP="00CC0F90">
      <w:pPr>
        <w:spacing w:before="240"/>
      </w:pPr>
      <w:r w:rsidRPr="00760AD9">
        <w:t xml:space="preserve">Prokazování splnění podmínek uvádění baterií a akumulátorů na trh nebo do oběhu </w:t>
      </w:r>
      <w:r>
        <w:t xml:space="preserve">je upraveno stejným způsobem jako ve stávajícím zákoně o odpadech. </w:t>
      </w:r>
      <w:r w:rsidRPr="00B213C7">
        <w:t xml:space="preserve">Výrobce, distributor </w:t>
      </w:r>
      <w:r>
        <w:t>nebo</w:t>
      </w:r>
      <w:r w:rsidRPr="00B213C7">
        <w:t xml:space="preserve"> dovozce jsou povinni předkládat na požádání </w:t>
      </w:r>
      <w:r>
        <w:t xml:space="preserve">kontrolních orgánů </w:t>
      </w:r>
      <w:r w:rsidRPr="00B213C7">
        <w:t xml:space="preserve">technickou dokumentaci, která prokazuje, že baterie a akumulátory </w:t>
      </w:r>
      <w:r>
        <w:t>splňují podmínky tohoto zákona, pokud jde o</w:t>
      </w:r>
      <w:r w:rsidRPr="00B213C7">
        <w:t xml:space="preserve"> obsah těžkých kovů.</w:t>
      </w:r>
    </w:p>
    <w:p w:rsidR="00CC0F90" w:rsidRPr="00B213C7" w:rsidRDefault="00CC0F90" w:rsidP="00BD7946">
      <w:pPr>
        <w:keepNext/>
        <w:spacing w:before="240"/>
        <w:rPr>
          <w:b/>
        </w:rPr>
      </w:pPr>
      <w:r w:rsidRPr="00B213C7">
        <w:rPr>
          <w:b/>
        </w:rPr>
        <w:t>K § 9</w:t>
      </w:r>
      <w:r>
        <w:rPr>
          <w:b/>
        </w:rPr>
        <w:t>8</w:t>
      </w:r>
    </w:p>
    <w:p w:rsidR="00CC0F90" w:rsidRPr="00B213C7" w:rsidRDefault="00CC0F90" w:rsidP="00CC0F90">
      <w:pPr>
        <w:spacing w:before="240"/>
      </w:pPr>
      <w:r>
        <w:t>Úprava</w:t>
      </w:r>
      <w:r w:rsidRPr="00B213C7">
        <w:t xml:space="preserve"> označování baterií a akumulátorů </w:t>
      </w:r>
      <w:r>
        <w:t xml:space="preserve">vychází z </w:t>
      </w:r>
      <w:r w:rsidRPr="00B213C7">
        <w:t>článk</w:t>
      </w:r>
      <w:r>
        <w:t>u</w:t>
      </w:r>
      <w:r w:rsidRPr="00B213C7">
        <w:t xml:space="preserve"> 21 směrnice</w:t>
      </w:r>
      <w:r>
        <w:t xml:space="preserve"> </w:t>
      </w:r>
      <w:r w:rsidRPr="00B213C7">
        <w:t>2006/66/ES</w:t>
      </w:r>
      <w:r>
        <w:t xml:space="preserve">, ve znění směrnice 2013/56/EU. Součástí značení jsou vedle </w:t>
      </w:r>
      <w:r w:rsidRPr="007714CC">
        <w:t>grafick</w:t>
      </w:r>
      <w:r>
        <w:t>ého</w:t>
      </w:r>
      <w:r w:rsidRPr="007714CC">
        <w:t xml:space="preserve"> symbol</w:t>
      </w:r>
      <w:r>
        <w:t>u pro zpětný odběr také údaje</w:t>
      </w:r>
      <w:r w:rsidRPr="00B213C7">
        <w:t xml:space="preserve"> o kapacitě </w:t>
      </w:r>
      <w:r>
        <w:t xml:space="preserve">baterií nebo akumulátorů </w:t>
      </w:r>
      <w:r w:rsidRPr="00B213C7">
        <w:t>a obsahu těžkých kovů</w:t>
      </w:r>
      <w:r>
        <w:t xml:space="preserve">. Povinnosti označovat baterie a akumulátory budou konkretizovány vyhláškou ministerstva (např. vzor grafického symbolu, chemické symboly obsažených těžkých kovů a způsoby jejich uvedení na výrobku </w:t>
      </w:r>
      <w:r>
        <w:lastRenderedPageBreak/>
        <w:t>atd.)</w:t>
      </w:r>
      <w:r w:rsidRPr="00B213C7">
        <w:t>.</w:t>
      </w:r>
      <w:r>
        <w:t xml:space="preserve"> Zmocnění ke stanovení výjimek z požadavků na označování baterií a akumulátorů je formulováno pouze jako možnost prováděcí právní předpis vydat, neboť toto zmocnění je vázáno na přijetí delegovaného aktu Komise podle čl. </w:t>
      </w:r>
      <w:r w:rsidRPr="00B213C7">
        <w:t xml:space="preserve">21 </w:t>
      </w:r>
      <w:r>
        <w:t xml:space="preserve">odst. 7 </w:t>
      </w:r>
      <w:r w:rsidRPr="00B213C7">
        <w:t>směrnice</w:t>
      </w:r>
      <w:r>
        <w:t xml:space="preserve"> </w:t>
      </w:r>
      <w:r w:rsidRPr="00B213C7">
        <w:t>2006/66/ES</w:t>
      </w:r>
      <w:r>
        <w:t>, ve znění směrnice 2013/56/EU.</w:t>
      </w:r>
    </w:p>
    <w:p w:rsidR="00CC0F90" w:rsidRPr="00B213C7" w:rsidRDefault="00CC0F90" w:rsidP="00CC0F90">
      <w:pPr>
        <w:spacing w:before="240"/>
        <w:rPr>
          <w:b/>
        </w:rPr>
      </w:pPr>
      <w:r w:rsidRPr="00B213C7">
        <w:rPr>
          <w:b/>
        </w:rPr>
        <w:t>K § 9</w:t>
      </w:r>
      <w:r>
        <w:rPr>
          <w:b/>
        </w:rPr>
        <w:t>9</w:t>
      </w:r>
    </w:p>
    <w:p w:rsidR="00CC0F90" w:rsidRPr="00B213C7" w:rsidRDefault="00CC0F90" w:rsidP="00CC0F90">
      <w:pPr>
        <w:spacing w:before="240"/>
      </w:pPr>
      <w:r>
        <w:t>Ustanovením se provádí požadavek článku</w:t>
      </w:r>
      <w:r w:rsidRPr="00B213C7">
        <w:t xml:space="preserve"> 11 směrnice 2006/66/ES</w:t>
      </w:r>
      <w:r>
        <w:t>,</w:t>
      </w:r>
      <w:r w:rsidRPr="00A74726">
        <w:t xml:space="preserve"> </w:t>
      </w:r>
      <w:r>
        <w:t>ve znění směrnice 2013/56/EU,</w:t>
      </w:r>
      <w:r w:rsidRPr="00B213C7">
        <w:t xml:space="preserve"> </w:t>
      </w:r>
      <w:r>
        <w:t>pokud jde o snadnou a </w:t>
      </w:r>
      <w:r w:rsidRPr="00B213C7">
        <w:t>bezpečnou vyj</w:t>
      </w:r>
      <w:r>
        <w:t>í</w:t>
      </w:r>
      <w:r w:rsidRPr="00B213C7">
        <w:t>matelnost baterií a akumulátorů</w:t>
      </w:r>
      <w:r>
        <w:t xml:space="preserve"> </w:t>
      </w:r>
      <w:r w:rsidRPr="00B213C7">
        <w:t>zabudovaných</w:t>
      </w:r>
      <w:r>
        <w:t xml:space="preserve"> v </w:t>
      </w:r>
      <w:r w:rsidRPr="00B213C7">
        <w:t>elektrozařízení</w:t>
      </w:r>
      <w:r>
        <w:t>ch</w:t>
      </w:r>
      <w:r w:rsidRPr="00B213C7">
        <w:t xml:space="preserve"> nebo </w:t>
      </w:r>
      <w:r>
        <w:t>v jiných výrobcích</w:t>
      </w:r>
      <w:r w:rsidRPr="00B213C7">
        <w:t xml:space="preserve">. </w:t>
      </w:r>
      <w:r>
        <w:t xml:space="preserve">Takové </w:t>
      </w:r>
      <w:r w:rsidRPr="00B213C7">
        <w:t>vý</w:t>
      </w:r>
      <w:r>
        <w:t xml:space="preserve">robky musejí být již navrženy s ohledem na snadnou a bezpečnou </w:t>
      </w:r>
      <w:r w:rsidRPr="00B213C7">
        <w:t>vyj</w:t>
      </w:r>
      <w:r>
        <w:t>í</w:t>
      </w:r>
      <w:r w:rsidRPr="00B213C7">
        <w:t>matelnost</w:t>
      </w:r>
      <w:r>
        <w:t xml:space="preserve"> baterií nebo akumulátorů </w:t>
      </w:r>
      <w:r w:rsidRPr="00B213C7">
        <w:t xml:space="preserve">konečným uživatelem </w:t>
      </w:r>
      <w:r>
        <w:t>či</w:t>
      </w:r>
      <w:r w:rsidRPr="00B213C7">
        <w:t xml:space="preserve"> kvalifikovaným profesionálem nezávislým na výrobci</w:t>
      </w:r>
      <w:r>
        <w:t xml:space="preserve"> a je nutné přiložit k nim návod na bezpečné</w:t>
      </w:r>
      <w:r w:rsidRPr="00B213C7">
        <w:t xml:space="preserve"> vyjmutí zabudovaných baterií </w:t>
      </w:r>
      <w:r>
        <w:t>nebo</w:t>
      </w:r>
      <w:r w:rsidRPr="00B213C7">
        <w:t xml:space="preserve"> akumulátorů. </w:t>
      </w:r>
      <w:r>
        <w:t xml:space="preserve"> Z těchto požadavků zákon stanoví některé výjimky.</w:t>
      </w:r>
    </w:p>
    <w:p w:rsidR="00CC0F90" w:rsidRPr="00B213C7" w:rsidRDefault="00CC0F90" w:rsidP="00CC0F90">
      <w:pPr>
        <w:spacing w:before="240"/>
        <w:rPr>
          <w:b/>
        </w:rPr>
      </w:pPr>
      <w:r w:rsidRPr="00B213C7">
        <w:rPr>
          <w:b/>
        </w:rPr>
        <w:t xml:space="preserve">K § </w:t>
      </w:r>
      <w:r>
        <w:rPr>
          <w:b/>
        </w:rPr>
        <w:t>100</w:t>
      </w:r>
    </w:p>
    <w:p w:rsidR="00CC0F90" w:rsidRDefault="00CC0F90" w:rsidP="00CC0F90">
      <w:pPr>
        <w:spacing w:before="240"/>
      </w:pPr>
      <w:r>
        <w:t xml:space="preserve">Výrobcům ukládá navrhovaný zákon povinnosti informovat konečné uživatele </w:t>
      </w:r>
      <w:r w:rsidRPr="009403FF">
        <w:t xml:space="preserve">o zpětném odběru </w:t>
      </w:r>
      <w:r>
        <w:t>odpadních baterií nebo akumulátorů, a</w:t>
      </w:r>
      <w:r w:rsidRPr="009403FF">
        <w:t>by bylo dosaženo vysoké úrovně zpětného odběru a naplněny cíle právní úpravy, pokud jde o zajištění ochrany životního prostředí</w:t>
      </w:r>
      <w:r>
        <w:t xml:space="preserve">. Tyto povinnosti plní výrobce </w:t>
      </w:r>
      <w:r w:rsidRPr="009403FF">
        <w:t>prostřednictvím posledních prodejců, tedy při koupi výrobku, a to písemně a na vlastní náklady</w:t>
      </w:r>
      <w:r>
        <w:t>.</w:t>
      </w:r>
    </w:p>
    <w:p w:rsidR="00CC0F90" w:rsidRPr="00B213C7" w:rsidRDefault="00CC0F90" w:rsidP="00CC0F90">
      <w:pPr>
        <w:spacing w:before="240"/>
      </w:pPr>
      <w:r w:rsidRPr="00B213C7">
        <w:t xml:space="preserve">Výrobce zajistí informování konečných uživatelů o </w:t>
      </w:r>
      <w:r>
        <w:t>požadavku, aby odpadní baterie a </w:t>
      </w:r>
      <w:r w:rsidRPr="00B213C7">
        <w:t>akumulátory nebyly odstraňovány jako netříděný komunální odpad, ale byly předáván</w:t>
      </w:r>
      <w:r>
        <w:t>y</w:t>
      </w:r>
      <w:r w:rsidRPr="00B213C7">
        <w:t xml:space="preserve"> na místa zpětného odběru, dále o způsobu </w:t>
      </w:r>
      <w:r>
        <w:t xml:space="preserve">zajištění </w:t>
      </w:r>
      <w:r w:rsidRPr="00B213C7">
        <w:t xml:space="preserve">zpětného odběru, úloze konečných uživatelů v recyklaci </w:t>
      </w:r>
      <w:r>
        <w:t xml:space="preserve">odpadních </w:t>
      </w:r>
      <w:r w:rsidRPr="00B213C7">
        <w:t xml:space="preserve">baterií a akumulátorů, možných negativních účincích látek obsažených v bateriích a akumulátorech na lidské zdraví </w:t>
      </w:r>
      <w:r>
        <w:t>a</w:t>
      </w:r>
      <w:r w:rsidRPr="00B213C7">
        <w:t xml:space="preserve"> životní prostředí a o významu grafického symbolu pro zpětný odběr</w:t>
      </w:r>
      <w:r>
        <w:t xml:space="preserve"> </w:t>
      </w:r>
      <w:r w:rsidRPr="00346688">
        <w:t>a chemických symbolů pro těžké kovy obsažené v baterii nebo akumulátoru</w:t>
      </w:r>
      <w:r w:rsidRPr="00B213C7">
        <w:t xml:space="preserve">. </w:t>
      </w:r>
    </w:p>
    <w:p w:rsidR="00CC0F90" w:rsidRPr="00B213C7" w:rsidRDefault="00CC0F90" w:rsidP="00CC0F90">
      <w:pPr>
        <w:spacing w:before="240"/>
        <w:rPr>
          <w:b/>
        </w:rPr>
      </w:pPr>
      <w:r w:rsidRPr="00B213C7">
        <w:rPr>
          <w:b/>
        </w:rPr>
        <w:t xml:space="preserve">K § </w:t>
      </w:r>
      <w:r>
        <w:rPr>
          <w:b/>
        </w:rPr>
        <w:t>101</w:t>
      </w:r>
    </w:p>
    <w:p w:rsidR="00CC0F90" w:rsidRDefault="00CC0F90" w:rsidP="00CC0F90">
      <w:pPr>
        <w:spacing w:before="240"/>
      </w:pPr>
      <w:r w:rsidRPr="00B213C7">
        <w:t xml:space="preserve">V případě, že jsou baterie a akumulátory uváděny </w:t>
      </w:r>
      <w:r>
        <w:t xml:space="preserve">na trh </w:t>
      </w:r>
      <w:r w:rsidRPr="00B213C7">
        <w:t>spolu s</w:t>
      </w:r>
      <w:r>
        <w:t> </w:t>
      </w:r>
      <w:r w:rsidRPr="00B213C7">
        <w:t>elektrozařízením</w:t>
      </w:r>
      <w:r>
        <w:t xml:space="preserve"> (zabudované či přiložené)</w:t>
      </w:r>
      <w:r w:rsidRPr="00B213C7">
        <w:t xml:space="preserve">, přejímá výrobce tohoto </w:t>
      </w:r>
      <w:r>
        <w:t>elektro</w:t>
      </w:r>
      <w:r w:rsidRPr="00B213C7">
        <w:t>zařízení povinnosti výrobce baterií a akumulátorů</w:t>
      </w:r>
      <w:r>
        <w:t xml:space="preserve"> (resp. je současně výrobcem elektrozařízení a výrobcem baterií nebo akumulátorů)</w:t>
      </w:r>
      <w:r w:rsidRPr="00B213C7">
        <w:t xml:space="preserve">. </w:t>
      </w:r>
      <w:r>
        <w:t>Aby nedocházelo ke dvojímu plnění povinností výrobců ke stejným bateriím nebo akumulátorům, stanoví navrhovaný zákon, že povinnosti výrobce nemá ten, kdo baterie nebo akumulátory uvedl na trh samostatně, jestliže po jejich následném zabudování nebo přiložení k elektrozařízení uvedenému na trh má tyto povinnosti výrobce elektrozařízení.</w:t>
      </w:r>
    </w:p>
    <w:p w:rsidR="00CC0F90" w:rsidRPr="00B213C7" w:rsidRDefault="00CC0F90" w:rsidP="00CC0F90">
      <w:pPr>
        <w:spacing w:before="240"/>
      </w:pPr>
      <w:r>
        <w:t xml:space="preserve">Praktickým důsledkem toho, že některé baterie a akumulátory jsou zabudovány do elektrozařízení nebo k nim přiloženy, je skutečnost, že tyto baterie a akumulátory pak bývají konečnými uživateli odevzdávány v rámci systémů zpětného odběru odpadních elektrozařízení spolu s vysloužilým elektrozařízením. Proto je nutné, aby zákon upravil pravidla vzájemné kooperace systémů zpětného odběru výrobců baterií a akumulátorů </w:t>
      </w:r>
      <w:r>
        <w:lastRenderedPageBreak/>
        <w:t xml:space="preserve">a výrobců elektrozařízení. Tato spolupráce přitom může reálně fungovat pouze mezi kolektivními systémy, neboť výrobci plnící své povinnosti v individuálních systémech by museli navzájem uzavírat velké množství smluv a kontrola řádného plnění jejich povinností ve vztahu ke zpětnému odběru by byla značně ztížena. V případě </w:t>
      </w:r>
      <w:r w:rsidRPr="00A63288">
        <w:t xml:space="preserve">přenosných baterií </w:t>
      </w:r>
      <w:r>
        <w:t>a </w:t>
      </w:r>
      <w:r w:rsidRPr="00A63288">
        <w:t>akumulátorů</w:t>
      </w:r>
      <w:r>
        <w:t xml:space="preserve"> </w:t>
      </w:r>
      <w:r w:rsidRPr="00A63288">
        <w:t xml:space="preserve">zabudovaných </w:t>
      </w:r>
      <w:r>
        <w:t>do elektrozařízení nebo k nim</w:t>
      </w:r>
      <w:r w:rsidRPr="00A63288">
        <w:t xml:space="preserve"> přiložených</w:t>
      </w:r>
      <w:r>
        <w:t xml:space="preserve"> proto zákon stanoví, že jejich výrobce musí své</w:t>
      </w:r>
      <w:r w:rsidRPr="00B213C7">
        <w:t xml:space="preserve"> povinnosti </w:t>
      </w:r>
      <w:r>
        <w:t>ve vztahu k nim</w:t>
      </w:r>
      <w:r w:rsidRPr="00B213C7">
        <w:t xml:space="preserve"> plnit pouze prostřednictvím provozovatele kolektivního systému </w:t>
      </w:r>
      <w:r>
        <w:t>(</w:t>
      </w:r>
      <w:r w:rsidRPr="00B213C7">
        <w:t>pro baterie a akumulátory</w:t>
      </w:r>
      <w:r>
        <w:t>)</w:t>
      </w:r>
      <w:r w:rsidRPr="00B213C7">
        <w:t>. Provozovatelé kolektivních systémů pro baterie a akumulátory mají povinnost uzavřít smlouvy o spolupráci při zajišťování zpětného odběru</w:t>
      </w:r>
      <w:r>
        <w:t>, zpracování a recyklace</w:t>
      </w:r>
      <w:r w:rsidRPr="00B213C7">
        <w:t xml:space="preserve"> zabudovaných či přiložených</w:t>
      </w:r>
      <w:r>
        <w:t xml:space="preserve"> (nejen přenosných)</w:t>
      </w:r>
      <w:r w:rsidRPr="00B213C7">
        <w:t xml:space="preserve"> baterií a akumulátorů s provozovatel</w:t>
      </w:r>
      <w:r>
        <w:t>i</w:t>
      </w:r>
      <w:r w:rsidRPr="00B213C7">
        <w:t xml:space="preserve"> kolektivních systémů výrobců elektrozařízení.</w:t>
      </w:r>
    </w:p>
    <w:p w:rsidR="00CC0F90" w:rsidRDefault="00CC0F90" w:rsidP="00CC0F90">
      <w:pPr>
        <w:spacing w:before="240"/>
      </w:pPr>
      <w:r>
        <w:t>Uvedená smlouva o spolupráci je předpokladem k tomu, aby v</w:t>
      </w:r>
      <w:r w:rsidRPr="00B213C7">
        <w:t> rámci zpětného odběru elektrozařízení moh</w:t>
      </w:r>
      <w:r>
        <w:t>ly</w:t>
      </w:r>
      <w:r w:rsidRPr="00B213C7">
        <w:t xml:space="preserve"> kolektivní systémy výrobc</w:t>
      </w:r>
      <w:r>
        <w:t>ů</w:t>
      </w:r>
      <w:r w:rsidRPr="00B213C7">
        <w:t xml:space="preserve"> elektrozařízení </w:t>
      </w:r>
      <w:r>
        <w:t>zpětně odebírat odpadní</w:t>
      </w:r>
      <w:r w:rsidRPr="00B213C7">
        <w:t xml:space="preserve"> baterie a akumulátory </w:t>
      </w:r>
      <w:r>
        <w:t xml:space="preserve">zabudované do </w:t>
      </w:r>
      <w:r w:rsidRPr="00B213C7">
        <w:t>elektrozařízení</w:t>
      </w:r>
      <w:r>
        <w:t xml:space="preserve"> nebo k nim přiložené</w:t>
      </w:r>
      <w:r w:rsidRPr="00B213C7">
        <w:t xml:space="preserve">. </w:t>
      </w:r>
      <w:r>
        <w:t>Pouze v případě zabudovaných nebo přiložených automobilových a průmyslových baterií a akumulátorů, pro které lze povinnosti stanovené tímto zákonem plnit i v individuálním systému, je umožněn jejich zpětný odběr v rámci individuálního systému výrobce elektrozařízení, který je zároveň na základě odstavce 1 výrobcem těchto baterií nebo akumulátorů.</w:t>
      </w:r>
    </w:p>
    <w:p w:rsidR="00CC0F90" w:rsidRPr="00B213C7" w:rsidRDefault="00CC0F90" w:rsidP="00CC0F90">
      <w:pPr>
        <w:spacing w:before="240"/>
      </w:pPr>
      <w:r w:rsidRPr="00B213C7">
        <w:t>Odpadní baterie zabudované do elektrozařízení</w:t>
      </w:r>
      <w:r>
        <w:t xml:space="preserve"> nebo k nim přiložené</w:t>
      </w:r>
      <w:r w:rsidRPr="00B213C7">
        <w:t>, které byly zpětně odebrány v rámci zpětného odběru</w:t>
      </w:r>
      <w:r>
        <w:t xml:space="preserve"> odpadních</w:t>
      </w:r>
      <w:r w:rsidRPr="00B213C7">
        <w:t xml:space="preserve"> elektrozařízení, mus</w:t>
      </w:r>
      <w:r>
        <w:t>ej</w:t>
      </w:r>
      <w:r w:rsidRPr="00B213C7">
        <w:t xml:space="preserve">í být předány ke zpracování pouze zpracovateli určenému výrobcem baterií </w:t>
      </w:r>
      <w:r>
        <w:t>nebo</w:t>
      </w:r>
      <w:r w:rsidRPr="00B213C7">
        <w:t xml:space="preserve"> akumulátorů.</w:t>
      </w:r>
    </w:p>
    <w:p w:rsidR="00CC0F90" w:rsidRPr="00B213C7" w:rsidRDefault="00CC0F90" w:rsidP="00CC0F90">
      <w:pPr>
        <w:spacing w:before="240"/>
        <w:rPr>
          <w:b/>
        </w:rPr>
      </w:pPr>
      <w:r w:rsidRPr="00B213C7">
        <w:rPr>
          <w:b/>
        </w:rPr>
        <w:t>K § 10</w:t>
      </w:r>
      <w:r>
        <w:rPr>
          <w:b/>
        </w:rPr>
        <w:t>2</w:t>
      </w:r>
    </w:p>
    <w:p w:rsidR="00CC0F90" w:rsidRPr="00B213C7" w:rsidRDefault="00CC0F90" w:rsidP="00CC0F90">
      <w:pPr>
        <w:spacing w:before="240"/>
      </w:pPr>
      <w:r>
        <w:t>V souladu se s</w:t>
      </w:r>
      <w:r w:rsidRPr="00B213C7">
        <w:t>měrnic</w:t>
      </w:r>
      <w:r>
        <w:t>í</w:t>
      </w:r>
      <w:r w:rsidRPr="00B213C7">
        <w:t xml:space="preserve"> 2006/66/ES ukládá </w:t>
      </w:r>
      <w:r>
        <w:t xml:space="preserve">navrhovaný zákon </w:t>
      </w:r>
      <w:r w:rsidRPr="00B213C7">
        <w:t xml:space="preserve">výrobcům přenosných baterií </w:t>
      </w:r>
      <w:r>
        <w:t xml:space="preserve">nebo akumulátorů </w:t>
      </w:r>
      <w:r w:rsidRPr="00B213C7">
        <w:t xml:space="preserve">povinnost </w:t>
      </w:r>
      <w:r>
        <w:t>zajistit na vlastní náklady</w:t>
      </w:r>
      <w:r w:rsidRPr="00B213C7">
        <w:t xml:space="preserve"> zpětný odběr </w:t>
      </w:r>
      <w:r>
        <w:t>odpadních</w:t>
      </w:r>
      <w:r w:rsidRPr="00F852B5">
        <w:t xml:space="preserve"> </w:t>
      </w:r>
      <w:r w:rsidRPr="00B213C7">
        <w:t xml:space="preserve">přenosných baterií </w:t>
      </w:r>
      <w:r>
        <w:t xml:space="preserve">a akumulátorů </w:t>
      </w:r>
      <w:r w:rsidRPr="00B213C7">
        <w:t>od konečných uživatelů, a to bez ohledu na výrobní značku, bez ohledu na datum uvedení na trh</w:t>
      </w:r>
      <w:r>
        <w:t>,</w:t>
      </w:r>
      <w:r w:rsidRPr="00B213C7">
        <w:t xml:space="preserve"> bez vazby na koupi nového výrobku</w:t>
      </w:r>
      <w:r>
        <w:t xml:space="preserve"> a</w:t>
      </w:r>
      <w:r w:rsidRPr="00F852B5">
        <w:t xml:space="preserve"> </w:t>
      </w:r>
      <w:r w:rsidRPr="00B213C7">
        <w:t xml:space="preserve">bez nároku na úplatu. </w:t>
      </w:r>
    </w:p>
    <w:p w:rsidR="00CC0F90" w:rsidRPr="00B213C7" w:rsidRDefault="00CC0F90" w:rsidP="00CC0F90">
      <w:pPr>
        <w:spacing w:before="240"/>
      </w:pPr>
      <w:r w:rsidRPr="00B213C7">
        <w:t xml:space="preserve">Povinnost dosáhnout </w:t>
      </w:r>
      <w:r w:rsidRPr="00B213C7">
        <w:rPr>
          <w:bCs/>
        </w:rPr>
        <w:t>minimální úrovně zpětného odběru</w:t>
      </w:r>
      <w:r>
        <w:rPr>
          <w:bCs/>
        </w:rPr>
        <w:t xml:space="preserve"> odpadních</w:t>
      </w:r>
      <w:r w:rsidRPr="00B213C7">
        <w:t xml:space="preserve"> přenosných baterií a</w:t>
      </w:r>
      <w:r>
        <w:t> </w:t>
      </w:r>
      <w:r w:rsidRPr="00B213C7">
        <w:t xml:space="preserve">akumulátorů </w:t>
      </w:r>
      <w:r>
        <w:t>má za cíl</w:t>
      </w:r>
      <w:r w:rsidRPr="00B213C7">
        <w:t xml:space="preserve"> motivovat výrobce k zavedení funkčních systémů zpětného odběru</w:t>
      </w:r>
      <w:r>
        <w:t xml:space="preserve"> a zajistit splnění závazného cíle sběru odpadních přenosných baterií a akumulátorů, který pro Českou republiku vyplývá z</w:t>
      </w:r>
      <w:r w:rsidRPr="00B213C7">
        <w:t xml:space="preserve"> článku 10 odst. 2 směrnice</w:t>
      </w:r>
      <w:r>
        <w:t xml:space="preserve"> </w:t>
      </w:r>
      <w:r w:rsidRPr="00B213C7">
        <w:t>2006/66/ES.</w:t>
      </w:r>
      <w:r>
        <w:t xml:space="preserve"> M</w:t>
      </w:r>
      <w:r w:rsidRPr="00B213C7">
        <w:rPr>
          <w:bCs/>
        </w:rPr>
        <w:t>inimální úrov</w:t>
      </w:r>
      <w:r>
        <w:rPr>
          <w:bCs/>
        </w:rPr>
        <w:t>eň</w:t>
      </w:r>
      <w:r w:rsidRPr="00B213C7">
        <w:rPr>
          <w:bCs/>
        </w:rPr>
        <w:t xml:space="preserve"> zpětného odběru</w:t>
      </w:r>
      <w:r>
        <w:rPr>
          <w:bCs/>
        </w:rPr>
        <w:t xml:space="preserve"> je v příloze č. 2 k navrhovanému zákonu stanovena pro </w:t>
      </w:r>
      <w:r>
        <w:t>odpadní přenosné baterie a akumulátory ve výši odpovídající tomuto cíli (45 %).</w:t>
      </w:r>
    </w:p>
    <w:p w:rsidR="00CC0F90" w:rsidRPr="00B213C7" w:rsidRDefault="00CC0F90" w:rsidP="00CC0F90">
      <w:pPr>
        <w:spacing w:before="240"/>
      </w:pPr>
      <w:r>
        <w:t>Minimální požadavky a </w:t>
      </w:r>
      <w:r w:rsidRPr="00B213C7">
        <w:t xml:space="preserve">kritéria </w:t>
      </w:r>
      <w:r>
        <w:t>na</w:t>
      </w:r>
      <w:r w:rsidRPr="00B213C7">
        <w:t xml:space="preserve"> vytvoření dostatečně husté sítě </w:t>
      </w:r>
      <w:r>
        <w:t xml:space="preserve">veřejných </w:t>
      </w:r>
      <w:r w:rsidRPr="00B213C7">
        <w:t>míst zpětného odběru výrobcem</w:t>
      </w:r>
      <w:r>
        <w:t xml:space="preserve"> jsou stanoveny tak, aby byly splněny požadavky na systémy sběru podle </w:t>
      </w:r>
      <w:r w:rsidRPr="00B213C7">
        <w:t>článk</w:t>
      </w:r>
      <w:r>
        <w:t>u</w:t>
      </w:r>
      <w:r w:rsidRPr="00B213C7">
        <w:t xml:space="preserve"> 8 odst. 1 směrnice</w:t>
      </w:r>
      <w:r>
        <w:t xml:space="preserve"> </w:t>
      </w:r>
      <w:r w:rsidRPr="00B213C7">
        <w:t>2006/66/ES.</w:t>
      </w:r>
      <w:r>
        <w:t xml:space="preserve"> Tyto parametry návrhu se neodlišují od dosavadní právní úpravy v zákoně o odpadech. </w:t>
      </w:r>
      <w:r w:rsidRPr="00F4173A">
        <w:t xml:space="preserve">Nově se </w:t>
      </w:r>
      <w:r>
        <w:t xml:space="preserve">pouze </w:t>
      </w:r>
      <w:r w:rsidRPr="00F4173A">
        <w:t xml:space="preserve">navrhuje nevázat povinnost zřizovat místa zpětného odběru na prodej nových </w:t>
      </w:r>
      <w:r>
        <w:t>přenosných baterií nebo akumulátorů</w:t>
      </w:r>
      <w:r w:rsidRPr="00F4173A">
        <w:t xml:space="preserve">, která výrobce uvádí na trh, v dané obci. Důvodem je, že odpadní </w:t>
      </w:r>
      <w:r>
        <w:t>baterie a akumulátory</w:t>
      </w:r>
      <w:r w:rsidRPr="00F4173A">
        <w:t xml:space="preserve"> vznikají na celém území České republiky, nikoliv jen tam, kde jsou skutečně prodáván</w:t>
      </w:r>
      <w:r>
        <w:t>y</w:t>
      </w:r>
      <w:r w:rsidRPr="00F4173A">
        <w:t xml:space="preserve"> nebo dodáván</w:t>
      </w:r>
      <w:r>
        <w:t>y</w:t>
      </w:r>
      <w:r w:rsidRPr="00F4173A">
        <w:t>.</w:t>
      </w:r>
    </w:p>
    <w:p w:rsidR="00CC0F90" w:rsidRPr="00B213C7" w:rsidRDefault="00CC0F90" w:rsidP="00CC0F90">
      <w:pPr>
        <w:spacing w:before="240"/>
      </w:pPr>
      <w:r w:rsidRPr="00B213C7">
        <w:lastRenderedPageBreak/>
        <w:t xml:space="preserve">Podmínka dostupnosti </w:t>
      </w:r>
      <w:r>
        <w:t xml:space="preserve">veřejných </w:t>
      </w:r>
      <w:r w:rsidRPr="00B213C7">
        <w:t xml:space="preserve">míst </w:t>
      </w:r>
      <w:r w:rsidRPr="00F4173A">
        <w:t xml:space="preserve">zpětného odběru </w:t>
      </w:r>
      <w:r w:rsidRPr="00B213C7">
        <w:t>pro konečného uživatele je dle písm</w:t>
      </w:r>
      <w:r>
        <w:t>ene</w:t>
      </w:r>
      <w:r w:rsidRPr="00B213C7">
        <w:t xml:space="preserve"> a) definována podle územních celků a optimalizována dle velikosti obcí v rámci ČR. Záměrem je koncentrovat obligatorně zřizovaná místa zpětného odběru do míst, kde tento odběr bude skutečně efektivní a bude dosahovat určité minimální výtěžnosti.</w:t>
      </w:r>
    </w:p>
    <w:p w:rsidR="00CC0F90" w:rsidRPr="00B213C7" w:rsidRDefault="00CC0F90" w:rsidP="00CC0F90">
      <w:pPr>
        <w:spacing w:before="240"/>
      </w:pPr>
      <w:r w:rsidRPr="00B213C7">
        <w:t xml:space="preserve">Ustanovení písmene b) představuje faktickou podporu obcí </w:t>
      </w:r>
      <w:r>
        <w:t>nesplňujících kritéria podle písmene a) v podobě možnosti žádat výrobce o zřízení veřejného místa zpětného odběru na jejím území. V kombinaci s</w:t>
      </w:r>
      <w:r w:rsidRPr="00B213C7">
        <w:t xml:space="preserve"> možnost</w:t>
      </w:r>
      <w:r>
        <w:t>í</w:t>
      </w:r>
      <w:r w:rsidRPr="00B213C7">
        <w:t xml:space="preserve"> zajištění zpětného odběru prostřednictvím </w:t>
      </w:r>
      <w:r>
        <w:t xml:space="preserve">obecního </w:t>
      </w:r>
      <w:r w:rsidRPr="00B213C7">
        <w:t xml:space="preserve">systému </w:t>
      </w:r>
      <w:r>
        <w:rPr>
          <w:bCs/>
        </w:rPr>
        <w:t>nakládání s komunálním odpadem</w:t>
      </w:r>
      <w:r>
        <w:t xml:space="preserve"> (§ 14) lze docílit úspory</w:t>
      </w:r>
      <w:r w:rsidRPr="00B213C7">
        <w:t xml:space="preserve"> nákladů z obecního rozpočtu </w:t>
      </w:r>
      <w:r>
        <w:t>n</w:t>
      </w:r>
      <w:r w:rsidRPr="00B213C7">
        <w:t xml:space="preserve">a </w:t>
      </w:r>
      <w:r>
        <w:t xml:space="preserve">zpětný odběr a </w:t>
      </w:r>
      <w:r w:rsidRPr="00B213C7">
        <w:t>nakládání s</w:t>
      </w:r>
      <w:r>
        <w:t xml:space="preserve"> odpadními </w:t>
      </w:r>
      <w:r w:rsidRPr="00B213C7">
        <w:t>přenosnými bateriemi a akumulátory.</w:t>
      </w:r>
    </w:p>
    <w:p w:rsidR="00CC0F90" w:rsidRPr="00B213C7" w:rsidRDefault="00CC0F90" w:rsidP="00CC0F90">
      <w:pPr>
        <w:spacing w:before="240"/>
      </w:pPr>
      <w:r w:rsidRPr="00B213C7">
        <w:t>Ustanovením písmene c) je transponován požadavek zpě</w:t>
      </w:r>
      <w:r>
        <w:t>tně odebírat přenosné baterie a </w:t>
      </w:r>
      <w:r w:rsidRPr="00B213C7">
        <w:t>akumulátory jejich posledními prodejci, stanovený článke</w:t>
      </w:r>
      <w:r>
        <w:t xml:space="preserve">m 8 odst. 1 písm. b) směrnice </w:t>
      </w:r>
      <w:r w:rsidRPr="00B213C7">
        <w:t>2006/66/ES</w:t>
      </w:r>
      <w:r>
        <w:t xml:space="preserve"> a </w:t>
      </w:r>
      <w:r w:rsidRPr="00B213C7">
        <w:t xml:space="preserve">optimalizovaný tak, aby byla vyloučena zejména místa posledního prodeje, kde není účelné, efektivní nebo environmentálně příznivé místo zpětného odběru vytvářet (např. stánkové prodeje, restaurace, hotely). Seznam prodejních míst, kde povinnost zřídit místo zpětného odběru vzniká po vyzvání posledním prodejcem, je stanoven dle klasifikace odvětvových činností CZ-NACE a uveden v příloze č. 4 </w:t>
      </w:r>
      <w:r>
        <w:t xml:space="preserve">k navrhovanému </w:t>
      </w:r>
      <w:r w:rsidRPr="00B213C7">
        <w:t>zákon</w:t>
      </w:r>
      <w:r>
        <w:t>u, přičemž u </w:t>
      </w:r>
      <w:r w:rsidRPr="00B213C7">
        <w:t>vybraných kódů je navíc specifikace v podobě velikosti prodejní plochy, čímž se výsledný počet míst zpětného odběru výrazně omezí.</w:t>
      </w:r>
    </w:p>
    <w:p w:rsidR="00CC0F90" w:rsidRPr="00B213C7" w:rsidRDefault="00CC0F90" w:rsidP="00CC0F90">
      <w:pPr>
        <w:spacing w:before="240"/>
      </w:pPr>
      <w:r w:rsidRPr="00B213C7">
        <w:t>Povinně zřizovaná síť míst zpětného odběru v prodejních místech může být dle navrhované úpravy v případě iniciativy posledních prodejců rozšířena o ta prodejní místa, která sice neodpovídají příloze č. 4, ale dle písmene d) jsou v nich uváděna do oběhu významná množství baterií a akumulátorů.</w:t>
      </w:r>
    </w:p>
    <w:p w:rsidR="00CC0F90" w:rsidRPr="00AC6AD8" w:rsidRDefault="00CC0F90" w:rsidP="00CC0F90">
      <w:pPr>
        <w:spacing w:before="240"/>
      </w:pPr>
      <w:r>
        <w:t xml:space="preserve">V souladu s požadavkem stanoveným v článku 16 odst. 4 směrnice </w:t>
      </w:r>
      <w:r w:rsidRPr="00B213C7">
        <w:t>2006/66/ES</w:t>
      </w:r>
      <w:r>
        <w:t xml:space="preserve"> zakazuje zákon uvádět </w:t>
      </w:r>
      <w:r w:rsidRPr="00AC6AD8">
        <w:t>při prodeji nových přenosných baterií nebo akumulátorů odděleně</w:t>
      </w:r>
      <w:r>
        <w:t xml:space="preserve"> n</w:t>
      </w:r>
      <w:r w:rsidRPr="00AC6AD8">
        <w:t>áklady na zpětný odběr, zpracování a recyklaci odpadních přenosných baterií a akumulátorů</w:t>
      </w:r>
      <w:r>
        <w:t>. Na rozdíl od elektrozařízení a pneumatik tedy navrhovaný zákon stanoví v případě přenosných baterií a akumulátorů</w:t>
      </w:r>
      <w:r w:rsidRPr="00AC6AD8">
        <w:t xml:space="preserve"> </w:t>
      </w:r>
      <w:r>
        <w:t>zákaz uvádění tzv. viditelného recyklačního příspěvku, neboť právo EU členským státům zavedení tohoto opatření nedovoluje.</w:t>
      </w:r>
    </w:p>
    <w:p w:rsidR="00CC0F90" w:rsidRPr="00B213C7" w:rsidRDefault="00CC0F90" w:rsidP="00CC0F90">
      <w:pPr>
        <w:spacing w:before="240"/>
        <w:rPr>
          <w:b/>
        </w:rPr>
      </w:pPr>
      <w:r w:rsidRPr="00B213C7">
        <w:rPr>
          <w:b/>
        </w:rPr>
        <w:t>K § 10</w:t>
      </w:r>
      <w:r>
        <w:rPr>
          <w:b/>
        </w:rPr>
        <w:t>3</w:t>
      </w:r>
      <w:r w:rsidRPr="00B213C7">
        <w:rPr>
          <w:b/>
        </w:rPr>
        <w:t xml:space="preserve"> a 10</w:t>
      </w:r>
      <w:r>
        <w:rPr>
          <w:b/>
        </w:rPr>
        <w:t>4</w:t>
      </w:r>
    </w:p>
    <w:p w:rsidR="00CC0F90" w:rsidRDefault="00CC0F90" w:rsidP="00CC0F90">
      <w:pPr>
        <w:spacing w:before="240"/>
      </w:pPr>
      <w:r>
        <w:t>V souladu se s</w:t>
      </w:r>
      <w:r w:rsidRPr="00B213C7">
        <w:t>měrnic</w:t>
      </w:r>
      <w:r>
        <w:t>í</w:t>
      </w:r>
      <w:r w:rsidRPr="00B213C7">
        <w:t xml:space="preserve"> 2006/66/ES ukládá </w:t>
      </w:r>
      <w:r>
        <w:t>navrhovaný zákon</w:t>
      </w:r>
      <w:r w:rsidRPr="00B213C7">
        <w:t xml:space="preserve"> výrobcům povinnost </w:t>
      </w:r>
      <w:r>
        <w:t>zajistit na vlastní náklady</w:t>
      </w:r>
      <w:r w:rsidRPr="00B213C7">
        <w:t xml:space="preserve"> zpětný odběr </w:t>
      </w:r>
      <w:r>
        <w:t xml:space="preserve">odpadních </w:t>
      </w:r>
      <w:r w:rsidRPr="00B213C7">
        <w:t xml:space="preserve">automobilových baterií </w:t>
      </w:r>
      <w:r>
        <w:t>nebo</w:t>
      </w:r>
      <w:r w:rsidRPr="00B213C7">
        <w:t xml:space="preserve"> akumulátorů bez nároku na úplatu, bez ohledu na výrobní značku, bez ohledu na datum uvedení na trh a bez vazby na koupi nového výrobku. </w:t>
      </w:r>
      <w:r>
        <w:t xml:space="preserve">Jde-li však o baterie nebo akumulátory </w:t>
      </w:r>
      <w:r w:rsidRPr="00117DE8">
        <w:t xml:space="preserve">z vozidel, která jsou používána k podnikatelským účelům, </w:t>
      </w:r>
      <w:r>
        <w:t xml:space="preserve">nemusí výrobce nést náklady na zpětný odběr, dohodne-li se s konečným uživatelem na jiném způsobu financování. Stejný princip platí, pokud jde o zpětný odběr </w:t>
      </w:r>
      <w:r w:rsidRPr="00AF0A97">
        <w:t>odpadních průmyslových baterií nebo akumulátorů</w:t>
      </w:r>
      <w:r>
        <w:t xml:space="preserve"> (zde se použití k podnikatelským účelům předpokládá automaticky). Zpětný odběr je výrobce povinen zajistit pro </w:t>
      </w:r>
      <w:r w:rsidRPr="00AF0A97">
        <w:t>odpadní průmyslov</w:t>
      </w:r>
      <w:r>
        <w:t>é</w:t>
      </w:r>
      <w:r w:rsidRPr="00AF0A97">
        <w:t xml:space="preserve"> bateri</w:t>
      </w:r>
      <w:r>
        <w:t>e</w:t>
      </w:r>
      <w:r w:rsidRPr="00AF0A97">
        <w:t xml:space="preserve"> </w:t>
      </w:r>
      <w:r>
        <w:t>a</w:t>
      </w:r>
      <w:r w:rsidRPr="00AF0A97">
        <w:t xml:space="preserve"> akumulátor</w:t>
      </w:r>
      <w:r>
        <w:t>y</w:t>
      </w:r>
      <w:r w:rsidRPr="00AF0A97">
        <w:t xml:space="preserve"> stejného typu a určení, jaké uvedl na trh, a to </w:t>
      </w:r>
      <w:r w:rsidRPr="00AF0A97">
        <w:lastRenderedPageBreak/>
        <w:t>bez ohledu na jejich chemické složení, bez ohledu na datum jejich uvedení na trh a bez vazby na koupi nového výrobku.</w:t>
      </w:r>
    </w:p>
    <w:p w:rsidR="00CC0F90" w:rsidRPr="00F005AE" w:rsidRDefault="00CC0F90" w:rsidP="00CC0F90">
      <w:pPr>
        <w:spacing w:before="240"/>
      </w:pPr>
      <w:r>
        <w:t xml:space="preserve">V případě odpadních </w:t>
      </w:r>
      <w:r w:rsidRPr="00B213C7">
        <w:t xml:space="preserve">automobilových baterií </w:t>
      </w:r>
      <w:r>
        <w:t>nebo</w:t>
      </w:r>
      <w:r w:rsidRPr="00B213C7">
        <w:t xml:space="preserve"> akumulátorů</w:t>
      </w:r>
      <w:r>
        <w:t xml:space="preserve"> předpokládá navrhovaný zákon možnost zpětného odběru </w:t>
      </w:r>
      <w:r w:rsidRPr="00F005AE">
        <w:t>také od provozovatele zařízení ke zpracování vozidel s ukončenou životností</w:t>
      </w:r>
      <w:r>
        <w:t xml:space="preserve">, neboť automobilové baterie nebo akumulátory mohou být sbírány také v rámci sběru vozidel s ukončenou životností a je žádoucí, aby tyto baterie a akumulátory mohly být následně zpracovány v rámci systémů výrobců. Jde o výjimku z principu, že zpětný odběr výrobků s ukončenou životností zajišťuje výrobce pro konečné uživatele. Uvedená možnost ovšem nevylučuje odevzdání odpadní automobilové baterie nebo akumulátoru místo do systému zpětného odběru přímo </w:t>
      </w:r>
      <w:r w:rsidRPr="00D0494F">
        <w:t>osobě oprávněné k jejich převzetí podle zákona o odpadech</w:t>
      </w:r>
      <w:r>
        <w:t>, což výslovně umožňuje odstavec 4.</w:t>
      </w:r>
    </w:p>
    <w:p w:rsidR="00CC0F90" w:rsidRPr="008D3937" w:rsidRDefault="00CC0F90" w:rsidP="00CC0F90">
      <w:pPr>
        <w:spacing w:before="240"/>
      </w:pPr>
      <w:r w:rsidRPr="00B213C7">
        <w:t xml:space="preserve">Na rozdíl od přenosných baterií a akumulátorů nejsou pro automobilové a průmyslové baterie a akumulátory stanoveny závazné cíle </w:t>
      </w:r>
      <w:r>
        <w:t>zpětného odběru</w:t>
      </w:r>
      <w:r w:rsidRPr="00B213C7">
        <w:t xml:space="preserve">, z tohoto důvodu jsou zde stanoveny menší nároky na </w:t>
      </w:r>
      <w:r>
        <w:t>hustotu sítě míst zpětného odběru</w:t>
      </w:r>
      <w:r w:rsidRPr="00B213C7">
        <w:t xml:space="preserve"> a</w:t>
      </w:r>
      <w:r>
        <w:t xml:space="preserve"> tyto odpadní baterie a akumulátory</w:t>
      </w:r>
      <w:r w:rsidRPr="00B213C7">
        <w:t xml:space="preserve"> je možné odevzdat kromě místa zpětného odběru i osobě oprávněné k jejich převzetí podle zákona o odpadech.</w:t>
      </w:r>
      <w:r>
        <w:t xml:space="preserve"> Stanovením povinnosti výrobce zřídit </w:t>
      </w:r>
      <w:r w:rsidRPr="008D3937">
        <w:t>veřejné místo zpětného odběru v</w:t>
      </w:r>
      <w:r>
        <w:t> </w:t>
      </w:r>
      <w:r w:rsidRPr="008D3937">
        <w:t>každé obci s pověřeným obecním úřadem a v případě územn</w:t>
      </w:r>
      <w:r>
        <w:t>ě členěných statutárních měst v </w:t>
      </w:r>
      <w:r w:rsidRPr="008D3937">
        <w:t>každém městském obvodě nebo městské části</w:t>
      </w:r>
      <w:r>
        <w:t xml:space="preserve"> dochází ke zmírnění požadavků oproti dosavadní právní úpravě v zákoně o odpadech, kdy výrobce musel zřídit místo zpětného odběru pro odpadní automobilové baterie nebo akumulátory </w:t>
      </w:r>
      <w:r w:rsidRPr="008D3937">
        <w:t xml:space="preserve">v každé obci, městském obvodě nebo městské části, kde </w:t>
      </w:r>
      <w:r>
        <w:t>byly</w:t>
      </w:r>
      <w:r w:rsidRPr="008D3937">
        <w:t xml:space="preserve"> automobilové baterie a akumulátory, které uv</w:t>
      </w:r>
      <w:r>
        <w:t>áděl</w:t>
      </w:r>
      <w:r w:rsidRPr="008D3937">
        <w:t xml:space="preserve"> na trh, prodávány.</w:t>
      </w:r>
      <w:r>
        <w:t xml:space="preserve"> To znamenalo povinné zřízení místa zpětného odběru v podstatě v každé obci v ČR, což se nejeví pro účely zpětného odběru </w:t>
      </w:r>
      <w:r w:rsidRPr="008D3937">
        <w:t>automobilov</w:t>
      </w:r>
      <w:r>
        <w:t>ých</w:t>
      </w:r>
      <w:r w:rsidRPr="008D3937">
        <w:t xml:space="preserve"> bateri</w:t>
      </w:r>
      <w:r>
        <w:t>í a akumulátorů jako potřebné a přiměřené. V případě průmyslových baterií a akumulátorů nestanoví zákon dokonce žádné požadavky na hustotu sběrné sítě.</w:t>
      </w:r>
    </w:p>
    <w:p w:rsidR="00CC0F90" w:rsidRPr="00B213C7" w:rsidRDefault="00CC0F90" w:rsidP="00CC0F90">
      <w:pPr>
        <w:spacing w:before="240"/>
      </w:pPr>
      <w:r>
        <w:t>Z obdobných důvodů není zákonem vyžadováno, aby výrobce plnící své povinnosti v individuálním systému poskytoval při uvedení automobilové nebo průmyslové baterie nebo akumulátoru na trh finanční záruku podle § 31 jako v případě přenosných baterií a akumulátorů.</w:t>
      </w:r>
    </w:p>
    <w:p w:rsidR="00CC0F90" w:rsidRPr="00B213C7" w:rsidRDefault="00CC0F90" w:rsidP="00CC0F90">
      <w:pPr>
        <w:spacing w:before="240"/>
        <w:rPr>
          <w:b/>
        </w:rPr>
      </w:pPr>
      <w:r w:rsidRPr="00B213C7">
        <w:rPr>
          <w:b/>
        </w:rPr>
        <w:t>K § 10</w:t>
      </w:r>
      <w:r>
        <w:rPr>
          <w:b/>
        </w:rPr>
        <w:t>4</w:t>
      </w:r>
    </w:p>
    <w:p w:rsidR="00CC0F90" w:rsidRDefault="00CC0F90" w:rsidP="00CC0F90">
      <w:pPr>
        <w:spacing w:before="240"/>
      </w:pPr>
      <w:r>
        <w:t xml:space="preserve">S cílem zaručit pro konečné uživatele dostatečně hustou sběrnou síť pro přenosné baterie a akumulátory a v souladu s </w:t>
      </w:r>
      <w:r w:rsidRPr="00B213C7">
        <w:t>článke</w:t>
      </w:r>
      <w:r>
        <w:t xml:space="preserve">m 8 odst. 1 písm. b) směrnice </w:t>
      </w:r>
      <w:r w:rsidRPr="00B213C7">
        <w:t>2006/66/ES</w:t>
      </w:r>
      <w:r>
        <w:t xml:space="preserve"> je povinnost výrobců zřizovat místa zpětného odběru u posledních prodejců doplněna povinností posledních prodejců</w:t>
      </w:r>
      <w:r w:rsidRPr="00B213C7">
        <w:t xml:space="preserve"> zpětně odebírat </w:t>
      </w:r>
      <w:r>
        <w:t xml:space="preserve">odpadní </w:t>
      </w:r>
      <w:r w:rsidRPr="00B213C7">
        <w:t>přenosné baterie a akumulátory od konečného uživatele</w:t>
      </w:r>
      <w:r>
        <w:t xml:space="preserve"> v určitých případech i tehdy, pokud u nich výrobce místo zpětného odběru nezřídil.</w:t>
      </w:r>
      <w:r w:rsidRPr="00B213C7">
        <w:t xml:space="preserve"> </w:t>
      </w:r>
      <w:r>
        <w:t xml:space="preserve">Poslední prodejce je povinen </w:t>
      </w:r>
      <w:r w:rsidRPr="00B213C7">
        <w:t xml:space="preserve">zpětně odebírat </w:t>
      </w:r>
      <w:r>
        <w:t xml:space="preserve">odpadní </w:t>
      </w:r>
      <w:r w:rsidRPr="00B213C7">
        <w:t>přenosné baterie a akumulátory bez nároku na úplatu, bez ohledu na výrobní značku, bez ohledu na datum uvedení na trh a bez vazby na koupi nového výrobku</w:t>
      </w:r>
      <w:r>
        <w:t>, a to</w:t>
      </w:r>
      <w:r w:rsidRPr="00B213C7">
        <w:t xml:space="preserve"> v případě, že se jedná o posledního prodejce, jehož ekonomick</w:t>
      </w:r>
      <w:r>
        <w:t>á</w:t>
      </w:r>
      <w:r w:rsidRPr="00B213C7">
        <w:t xml:space="preserve"> činnost je uvede</w:t>
      </w:r>
      <w:r>
        <w:t>na</w:t>
      </w:r>
      <w:r w:rsidRPr="00B213C7">
        <w:t xml:space="preserve"> v příloze č. 4</w:t>
      </w:r>
      <w:r>
        <w:t>,</w:t>
      </w:r>
      <w:r w:rsidRPr="00B213C7">
        <w:t xml:space="preserve"> nebo </w:t>
      </w:r>
      <w:r>
        <w:t xml:space="preserve">pokud </w:t>
      </w:r>
      <w:r w:rsidRPr="00B213C7">
        <w:t xml:space="preserve">umožní odevzdání </w:t>
      </w:r>
      <w:r>
        <w:t xml:space="preserve">odpadních </w:t>
      </w:r>
      <w:r w:rsidRPr="00B213C7">
        <w:t>přenosných baterií a akumulátorů.</w:t>
      </w:r>
      <w:r>
        <w:t xml:space="preserve"> Poslední prodejci podle přílohy č. 4 musejí tedy vždy </w:t>
      </w:r>
      <w:r>
        <w:lastRenderedPageBreak/>
        <w:t xml:space="preserve">zpětně odebírat odpadní přenosné baterie a akumulátory s tím, že případně mohou po výrobci požadovat, aby u nich zřídil místo zpětného odběru (§ 102 odst. 2 písm. c)). </w:t>
      </w:r>
    </w:p>
    <w:p w:rsidR="00CC0F90" w:rsidRPr="00811B66" w:rsidRDefault="00CC0F90" w:rsidP="00CC0F90">
      <w:pPr>
        <w:spacing w:before="240"/>
      </w:pPr>
      <w:r>
        <w:t xml:space="preserve">Navrhovaný zákon dále stanoví povinnosti </w:t>
      </w:r>
      <w:r w:rsidRPr="00811B66">
        <w:t>při in</w:t>
      </w:r>
      <w:r>
        <w:t>formování konečných uživatelů o </w:t>
      </w:r>
      <w:r w:rsidRPr="00811B66">
        <w:t>možnost</w:t>
      </w:r>
      <w:r>
        <w:t>ech</w:t>
      </w:r>
      <w:r w:rsidRPr="00811B66">
        <w:t xml:space="preserve"> odevzdání odpadních baterií a akumulátorů</w:t>
      </w:r>
      <w:r>
        <w:t>, a to posledním prodejcům jakýchkoliv baterií nebo akumulátorů, nejen přenosných. Zřídil-li výrobce u posledního prodejce místo zpětného odběru, má informační povinnost podle § 15 odst. 2 písm. g).</w:t>
      </w:r>
    </w:p>
    <w:p w:rsidR="00CC0F90" w:rsidRPr="00B213C7" w:rsidRDefault="00CC0F90" w:rsidP="00CC0F90">
      <w:pPr>
        <w:spacing w:before="240"/>
        <w:rPr>
          <w:b/>
        </w:rPr>
      </w:pPr>
      <w:r w:rsidRPr="00B213C7">
        <w:rPr>
          <w:b/>
        </w:rPr>
        <w:t>K § 10</w:t>
      </w:r>
      <w:r>
        <w:rPr>
          <w:b/>
        </w:rPr>
        <w:t>6</w:t>
      </w:r>
    </w:p>
    <w:p w:rsidR="00CC0F90" w:rsidRDefault="00CC0F90" w:rsidP="00CC0F90">
      <w:pPr>
        <w:spacing w:before="240"/>
      </w:pPr>
      <w:r w:rsidRPr="00B213C7">
        <w:t xml:space="preserve">Ustanovení </w:t>
      </w:r>
      <w:r w:rsidRPr="00C83950">
        <w:t>upravuje</w:t>
      </w:r>
      <w:r w:rsidRPr="00B213C7">
        <w:t xml:space="preserve"> povinnosti výrobců</w:t>
      </w:r>
      <w:r>
        <w:t xml:space="preserve"> baterií a akumulátorů, </w:t>
      </w:r>
      <w:r w:rsidRPr="00C83950">
        <w:t xml:space="preserve">pokud jde o zajištění </w:t>
      </w:r>
      <w:r w:rsidRPr="00B213C7">
        <w:t>zpracování</w:t>
      </w:r>
      <w:r>
        <w:t>,</w:t>
      </w:r>
      <w:r w:rsidRPr="00B213C7">
        <w:t xml:space="preserve"> </w:t>
      </w:r>
      <w:r w:rsidRPr="00C83950">
        <w:t>využití nebo odstranění zpětně odebraných</w:t>
      </w:r>
      <w:r w:rsidRPr="00B213C7">
        <w:t xml:space="preserve"> odpadních baterií a akumulátorů. </w:t>
      </w:r>
      <w:r w:rsidRPr="00C83950">
        <w:t xml:space="preserve">Výrobce musí zajistit, aby zpracování odpadních </w:t>
      </w:r>
      <w:r>
        <w:t>baterií a akumulátorů</w:t>
      </w:r>
      <w:r w:rsidRPr="00C83950">
        <w:t xml:space="preserve"> probíhalo v zařízeních používajících tzv. nejlepší dostupné techniky tak, jak jsou definovány zákonem o integrované prevenci. Cílem je, aby odpadní </w:t>
      </w:r>
      <w:r>
        <w:t>baterie a akumulátory byly</w:t>
      </w:r>
      <w:r w:rsidRPr="00C83950">
        <w:t xml:space="preserve"> zpracováván</w:t>
      </w:r>
      <w:r>
        <w:t>y</w:t>
      </w:r>
      <w:r w:rsidRPr="00C83950">
        <w:t xml:space="preserve"> na vysoké technologické úrovni zaručující maximální účinnost v případě procesů recyklace a minimální negativní dopady na životní prostředí.</w:t>
      </w:r>
      <w:r>
        <w:t xml:space="preserve"> V souladu se směrnicí </w:t>
      </w:r>
      <w:r w:rsidRPr="00B213C7">
        <w:t>2006/66/ES</w:t>
      </w:r>
      <w:r>
        <w:t xml:space="preserve"> navrhovaný zákon přímo stanoví, jaké</w:t>
      </w:r>
      <w:r w:rsidRPr="00B213C7">
        <w:t xml:space="preserve"> minimální recyklační účinnosti procesů recyklace</w:t>
      </w:r>
      <w:r>
        <w:t xml:space="preserve"> musí zařízení zpracovávající odpadní baterie a akumulátory dosahovat</w:t>
      </w:r>
      <w:r w:rsidRPr="00B213C7">
        <w:t xml:space="preserve"> </w:t>
      </w:r>
      <w:r>
        <w:t>(</w:t>
      </w:r>
      <w:r w:rsidRPr="00B213C7">
        <w:t>t</w:t>
      </w:r>
      <w:r>
        <w:t>y</w:t>
      </w:r>
      <w:r w:rsidRPr="00B213C7">
        <w:t>to</w:t>
      </w:r>
      <w:r>
        <w:t xml:space="preserve"> požadavky stanovuje příloha č. </w:t>
      </w:r>
      <w:r w:rsidRPr="00B213C7">
        <w:t>5</w:t>
      </w:r>
      <w:r>
        <w:t>)</w:t>
      </w:r>
      <w:r w:rsidRPr="00B213C7">
        <w:t>. Pravidla pro výpočet recyklační účinnosti proces</w:t>
      </w:r>
      <w:r>
        <w:t>ů recyklace odpadních baterií a </w:t>
      </w:r>
      <w:r w:rsidRPr="00B213C7">
        <w:t>akumulátorů stanoví přímo použitelný předpis EU – nařízení Komise (EU) č. 493/2012, kterým se stanoví prováděcí pravidla pro výpočet recyklační účinnosti procesů recyklace odpadních baterií a akumulátorů podle směrnice Evropského parlamentu a Rady 2006/66/ES.</w:t>
      </w:r>
    </w:p>
    <w:p w:rsidR="00CC0F90" w:rsidRPr="00B213C7" w:rsidRDefault="00CC0F90" w:rsidP="00CC0F90">
      <w:pPr>
        <w:spacing w:before="240"/>
      </w:pPr>
      <w:r w:rsidRPr="00C83950">
        <w:t xml:space="preserve">Konečné </w:t>
      </w:r>
      <w:r w:rsidRPr="00B213C7">
        <w:t xml:space="preserve"> využití či odstranění </w:t>
      </w:r>
      <w:r w:rsidRPr="00C83950">
        <w:t>odpadních</w:t>
      </w:r>
      <w:r>
        <w:t xml:space="preserve"> baterií a akumulátorů</w:t>
      </w:r>
      <w:r w:rsidRPr="00C83950">
        <w:t xml:space="preserve"> je výrobce povinen zajistit nejpozději </w:t>
      </w:r>
      <w:r w:rsidRPr="00B213C7">
        <w:t xml:space="preserve">do konce </w:t>
      </w:r>
      <w:r w:rsidRPr="00C83950">
        <w:t>kalendářního</w:t>
      </w:r>
      <w:r w:rsidRPr="00B213C7">
        <w:t xml:space="preserve"> roku následujícího po roce, </w:t>
      </w:r>
      <w:r>
        <w:t>v němž</w:t>
      </w:r>
      <w:r w:rsidRPr="00B213C7">
        <w:t xml:space="preserve"> byly zpětně odebrány.</w:t>
      </w:r>
      <w:r w:rsidRPr="00595893">
        <w:t xml:space="preserve"> </w:t>
      </w:r>
      <w:r w:rsidRPr="00C83950">
        <w:t xml:space="preserve">Tím má být zamezeno nadměrnému kumulování odpadních </w:t>
      </w:r>
      <w:r>
        <w:t>baterií a akumulátorů</w:t>
      </w:r>
      <w:r w:rsidRPr="00C83950">
        <w:t>, s nímž mohou být spojena rizika pro životní prostředí.</w:t>
      </w:r>
    </w:p>
    <w:p w:rsidR="00CC0F90" w:rsidRPr="00B213C7" w:rsidRDefault="00CC0F90" w:rsidP="00CC0F90">
      <w:pPr>
        <w:spacing w:before="240"/>
      </w:pPr>
      <w:r>
        <w:t xml:space="preserve">V souladu s článkem 14 směrnice </w:t>
      </w:r>
      <w:r w:rsidRPr="00B213C7">
        <w:t>2006/66/ES stanovuje</w:t>
      </w:r>
      <w:r>
        <w:t xml:space="preserve"> zákon</w:t>
      </w:r>
      <w:r w:rsidRPr="00B213C7">
        <w:t xml:space="preserve"> zákaz skládkování a spalování všech odpadních baterií a akumulátorů</w:t>
      </w:r>
      <w:r>
        <w:t xml:space="preserve"> s některými výjimkami pro odpadní přenosné baterie a </w:t>
      </w:r>
      <w:r w:rsidRPr="007502A0">
        <w:t xml:space="preserve">akumulátory a </w:t>
      </w:r>
      <w:r>
        <w:t xml:space="preserve">pro </w:t>
      </w:r>
      <w:r w:rsidRPr="007502A0">
        <w:t>odpad, který vznikl zpracováním a recyklací odpadních baterií nebo akumulátorů.</w:t>
      </w:r>
      <w:r w:rsidRPr="00B213C7">
        <w:t xml:space="preserve"> </w:t>
      </w:r>
    </w:p>
    <w:p w:rsidR="00CC0F90" w:rsidRPr="00B213C7" w:rsidRDefault="00CC0F90" w:rsidP="00BD7946">
      <w:pPr>
        <w:keepNext/>
        <w:spacing w:before="240"/>
        <w:rPr>
          <w:b/>
        </w:rPr>
      </w:pPr>
      <w:r w:rsidRPr="00B213C7">
        <w:rPr>
          <w:b/>
        </w:rPr>
        <w:t>K § 10</w:t>
      </w:r>
      <w:r>
        <w:rPr>
          <w:b/>
        </w:rPr>
        <w:t>7</w:t>
      </w:r>
    </w:p>
    <w:p w:rsidR="00CC0F90" w:rsidRPr="00B213C7" w:rsidRDefault="00CC0F90" w:rsidP="00CC0F90">
      <w:pPr>
        <w:spacing w:before="240"/>
      </w:pPr>
      <w:r w:rsidRPr="002E0BF2">
        <w:t xml:space="preserve">Povinnosti zpracovatelů odpadních </w:t>
      </w:r>
      <w:r w:rsidRPr="00B213C7">
        <w:t xml:space="preserve">baterií a akumulátorů </w:t>
      </w:r>
      <w:r w:rsidRPr="002E0BF2">
        <w:t xml:space="preserve">vycházejí ze směrnice </w:t>
      </w:r>
      <w:r>
        <w:t>2006/66/ES</w:t>
      </w:r>
      <w:r w:rsidRPr="002E0BF2">
        <w:t xml:space="preserve">. Tyto povinnosti se vztahují na všechny zpracovatele odpadních </w:t>
      </w:r>
      <w:r w:rsidRPr="00B213C7">
        <w:t>baterií a akumulátorů</w:t>
      </w:r>
      <w:r>
        <w:t>, tedy nejen na ty, kteří jsou součástí systémů výrobců</w:t>
      </w:r>
      <w:r w:rsidRPr="002E0BF2">
        <w:t xml:space="preserve">. Zpracovávat odpadní </w:t>
      </w:r>
      <w:r>
        <w:t>baterie</w:t>
      </w:r>
      <w:r w:rsidRPr="00B213C7">
        <w:t xml:space="preserve"> a akumulátor</w:t>
      </w:r>
      <w:r>
        <w:t>y</w:t>
      </w:r>
      <w:r w:rsidRPr="002E0BF2">
        <w:t xml:space="preserve"> je možné pouze v zařízení určeném pro nakládání s tímto druhem odpadu na základě </w:t>
      </w:r>
      <w:r>
        <w:t>povolení</w:t>
      </w:r>
      <w:r w:rsidRPr="00B213C7">
        <w:t xml:space="preserve"> </w:t>
      </w:r>
      <w:r w:rsidRPr="002E0BF2">
        <w:t xml:space="preserve">krajského úřadu </w:t>
      </w:r>
      <w:r>
        <w:t>po</w:t>
      </w:r>
      <w:r w:rsidRPr="00B213C7">
        <w:t>dle zákona o odpadech</w:t>
      </w:r>
      <w:r>
        <w:t>.</w:t>
      </w:r>
      <w:r w:rsidRPr="00B213C7">
        <w:t xml:space="preserve"> </w:t>
      </w:r>
      <w:r>
        <w:t>N</w:t>
      </w:r>
      <w:r w:rsidRPr="00B213C7">
        <w:t>ad ráme</w:t>
      </w:r>
      <w:r>
        <w:t>c</w:t>
      </w:r>
      <w:r w:rsidRPr="00B213C7">
        <w:t xml:space="preserve"> </w:t>
      </w:r>
      <w:r w:rsidRPr="002E0BF2">
        <w:t xml:space="preserve">obecných povinností </w:t>
      </w:r>
      <w:r>
        <w:t>podle zákona o </w:t>
      </w:r>
      <w:r w:rsidRPr="00B213C7">
        <w:t xml:space="preserve">odpadech </w:t>
      </w:r>
      <w:r>
        <w:t xml:space="preserve">musí </w:t>
      </w:r>
      <w:r w:rsidRPr="002E0BF2">
        <w:t xml:space="preserve">zpracovatel odpadních </w:t>
      </w:r>
      <w:r w:rsidRPr="00B213C7">
        <w:t xml:space="preserve">baterií a akumulátorů dodržovat další podmínky </w:t>
      </w:r>
      <w:r>
        <w:t xml:space="preserve">– dosáhnout </w:t>
      </w:r>
      <w:r w:rsidRPr="00B213C7">
        <w:t>minimální recyklační úrovně</w:t>
      </w:r>
      <w:r>
        <w:t xml:space="preserve"> procesů recyklace</w:t>
      </w:r>
      <w:r w:rsidRPr="00B213C7">
        <w:t xml:space="preserve">, </w:t>
      </w:r>
      <w:r>
        <w:t>plnit požadavky na soustřeďování</w:t>
      </w:r>
      <w:r w:rsidRPr="00B213C7">
        <w:t xml:space="preserve"> </w:t>
      </w:r>
      <w:r>
        <w:t xml:space="preserve">a </w:t>
      </w:r>
      <w:r w:rsidRPr="00B213C7">
        <w:t xml:space="preserve">skladování </w:t>
      </w:r>
      <w:r>
        <w:t xml:space="preserve">odpadních </w:t>
      </w:r>
      <w:r w:rsidRPr="00B213C7">
        <w:t>baterií a akumulátorů</w:t>
      </w:r>
      <w:r>
        <w:t xml:space="preserve"> a</w:t>
      </w:r>
      <w:r w:rsidRPr="00B213C7">
        <w:t xml:space="preserve"> vyjm</w:t>
      </w:r>
      <w:r>
        <w:t>out</w:t>
      </w:r>
      <w:r w:rsidRPr="00B213C7">
        <w:t xml:space="preserve"> </w:t>
      </w:r>
      <w:r>
        <w:t xml:space="preserve">z odpadních baterií a akumulátorů </w:t>
      </w:r>
      <w:r w:rsidRPr="00B213C7">
        <w:lastRenderedPageBreak/>
        <w:t>všech</w:t>
      </w:r>
      <w:r>
        <w:t>ny</w:t>
      </w:r>
      <w:r w:rsidRPr="00B213C7">
        <w:t xml:space="preserve"> kapalin</w:t>
      </w:r>
      <w:r>
        <w:t>y</w:t>
      </w:r>
      <w:r w:rsidRPr="00B213C7">
        <w:t xml:space="preserve"> a kyselin</w:t>
      </w:r>
      <w:r>
        <w:t>y.</w:t>
      </w:r>
      <w:r w:rsidRPr="00B213C7">
        <w:t xml:space="preserve"> </w:t>
      </w:r>
      <w:r>
        <w:t>V</w:t>
      </w:r>
      <w:r w:rsidRPr="00B213C7">
        <w:t> případě využití výjimky pro spalování</w:t>
      </w:r>
      <w:r>
        <w:t xml:space="preserve"> odpadních </w:t>
      </w:r>
      <w:r w:rsidRPr="00D51F09">
        <w:t>přenosných baterií nebo akumulátorů</w:t>
      </w:r>
      <w:r w:rsidRPr="00B213C7">
        <w:t xml:space="preserve"> </w:t>
      </w:r>
      <w:r>
        <w:t xml:space="preserve">musí zpracovatel </w:t>
      </w:r>
      <w:r w:rsidRPr="00B213C7">
        <w:t>průkazně doložit důvod</w:t>
      </w:r>
      <w:r>
        <w:t>y pro takový postup</w:t>
      </w:r>
      <w:r w:rsidRPr="00B213C7">
        <w:t>.</w:t>
      </w:r>
    </w:p>
    <w:p w:rsidR="00CC0F90" w:rsidRPr="00B213C7" w:rsidRDefault="00CC0F90" w:rsidP="00BD7946">
      <w:pPr>
        <w:keepNext/>
        <w:spacing w:before="240"/>
        <w:rPr>
          <w:b/>
        </w:rPr>
      </w:pPr>
      <w:r w:rsidRPr="00B213C7">
        <w:rPr>
          <w:b/>
        </w:rPr>
        <w:t>K § 10</w:t>
      </w:r>
      <w:r>
        <w:rPr>
          <w:b/>
        </w:rPr>
        <w:t>8</w:t>
      </w:r>
      <w:r w:rsidRPr="00B213C7">
        <w:rPr>
          <w:b/>
        </w:rPr>
        <w:t xml:space="preserve"> a 10</w:t>
      </w:r>
      <w:r>
        <w:rPr>
          <w:b/>
        </w:rPr>
        <w:t>9</w:t>
      </w:r>
    </w:p>
    <w:p w:rsidR="00CC0F90" w:rsidRDefault="00CC0F90" w:rsidP="00CC0F90">
      <w:pPr>
        <w:spacing w:before="240"/>
      </w:pPr>
      <w:r>
        <w:t>Navrhovaný zákon přináší v hlavě III dílu 3 ve srovnání s dosavadními ustanoveními zákona o odpadech (§ 38a a násl.) ucelenou právní úpravu zpětného odběru odpadních pneumatik. Na tom nic nemění skutečnost, že oproti dílům 1 a 2 věnovaným elektrozařízením a bateriím a akumulátorům jde o méně obsáhlou úpravu, neboť oblast zpětného odběru pneumatik není harmonizována na úrovni EU a okruh vztahů vyžadujících zákonnou regulaci je v tomto případě užší.</w:t>
      </w:r>
    </w:p>
    <w:p w:rsidR="00CC0F90" w:rsidRDefault="00CC0F90" w:rsidP="00CC0F90">
      <w:pPr>
        <w:spacing w:before="240"/>
      </w:pPr>
      <w:r>
        <w:t xml:space="preserve">Navrhovaná právní úprava se vztahuje na všechny pneumatiky tak, jak jsou vymezeny v § 3 odst. 1 písm. e), a to bez </w:t>
      </w:r>
      <w:r w:rsidRPr="008B063E">
        <w:t>ohledu na jejich</w:t>
      </w:r>
      <w:r>
        <w:t xml:space="preserve"> rozměry a použití (osobní či nákladní automobily, pracovní stroje atd.) </w:t>
      </w:r>
      <w:r w:rsidRPr="008B063E">
        <w:t>a</w:t>
      </w:r>
      <w:r>
        <w:t> </w:t>
      </w:r>
      <w:r w:rsidRPr="008B063E">
        <w:t xml:space="preserve">bez ohledu na to, zda jsou na trh uváděny samostatně nebo jako součást </w:t>
      </w:r>
      <w:r>
        <w:t xml:space="preserve">či příslušenství </w:t>
      </w:r>
      <w:r w:rsidRPr="001C77DC">
        <w:rPr>
          <w:bCs/>
          <w:iCs/>
        </w:rPr>
        <w:t>vozid</w:t>
      </w:r>
      <w:r>
        <w:rPr>
          <w:bCs/>
          <w:iCs/>
        </w:rPr>
        <w:t>e</w:t>
      </w:r>
      <w:r w:rsidRPr="001C77DC">
        <w:rPr>
          <w:bCs/>
          <w:iCs/>
        </w:rPr>
        <w:t>l nebo jiný</w:t>
      </w:r>
      <w:r>
        <w:rPr>
          <w:bCs/>
          <w:iCs/>
        </w:rPr>
        <w:t>ch</w:t>
      </w:r>
      <w:r w:rsidRPr="001C77DC">
        <w:t xml:space="preserve"> </w:t>
      </w:r>
      <w:r w:rsidRPr="008B063E">
        <w:t>funkčních celků</w:t>
      </w:r>
      <w:r>
        <w:t xml:space="preserve">. Zákon se vztahuje rovněž na protektorované pneumatiky, což jsou použité pneumatiky, které jsou pomocí metody protektorování (studené či teplé) renovovány tak, že na </w:t>
      </w:r>
      <w:r w:rsidRPr="00D26D6E">
        <w:t>obroušenou pneumatiku</w:t>
      </w:r>
      <w:r>
        <w:t xml:space="preserve"> (kostru)</w:t>
      </w:r>
      <w:r w:rsidRPr="00D26D6E">
        <w:t xml:space="preserve"> </w:t>
      </w:r>
      <w:r>
        <w:t xml:space="preserve">je nanesen nový kaučukový materiál. Na protektorovanou pneumatiku, přestože jde o použitý výrobek, je v navrhovaném zákoně nahlíženo jako na nový vybraný výrobek, jehož výrobce má povinnosti stanovené tímto zákonem. V souvislosti s tím je pro účely tohoto dílu, resp. zvláštní povinnosti podle § 110 odst. 2, definován pojem výrobce protektorovaných pneumatik, jímž se rozumí </w:t>
      </w:r>
      <w:r w:rsidRPr="006665E0">
        <w:t>podnikatel, který v</w:t>
      </w:r>
      <w:r>
        <w:t xml:space="preserve"> České republice provádí protektorování pneumatik a </w:t>
      </w:r>
      <w:r w:rsidRPr="00DE10B8">
        <w:t xml:space="preserve">bez ohledu na způsob prodeje, včetně použití prostředků komunikace na dálku, uvádí </w:t>
      </w:r>
      <w:r>
        <w:t>protektorované</w:t>
      </w:r>
      <w:r w:rsidRPr="00DE10B8">
        <w:t xml:space="preserve"> pneumatiky na trh</w:t>
      </w:r>
      <w:r>
        <w:t xml:space="preserve">. Jsou-li na trh </w:t>
      </w:r>
      <w:r w:rsidRPr="006665E0">
        <w:t>v</w:t>
      </w:r>
      <w:r>
        <w:t> České republice uváděny protektorované pneumatiky vyrobené v zahraničí, je jejich výrobcem osoba podle § 3 odst. 1 písm. l), tedy podnikatel, který je na tuzemský trh v rámci své podnikatelské činnosti uvedl.</w:t>
      </w:r>
    </w:p>
    <w:p w:rsidR="00CC0F90" w:rsidRDefault="00CC0F90" w:rsidP="00CC0F90">
      <w:pPr>
        <w:spacing w:before="240"/>
      </w:pPr>
      <w:r>
        <w:t>Ú</w:t>
      </w:r>
      <w:r w:rsidRPr="00912E52">
        <w:t xml:space="preserve">roveň zpětného odběru </w:t>
      </w:r>
      <w:r>
        <w:t xml:space="preserve">je podle dosavadní právní úpravy v zákoně o odpadech počítána ve vztahu k množství pneumatik </w:t>
      </w:r>
      <w:r w:rsidRPr="00912E52">
        <w:t>uvedených povinnou osobou</w:t>
      </w:r>
      <w:r>
        <w:t xml:space="preserve"> (výrobcem)</w:t>
      </w:r>
      <w:r w:rsidRPr="00912E52">
        <w:t xml:space="preserve"> na t</w:t>
      </w:r>
      <w:r>
        <w:t>rh v témže kalendářním roce, za který je bráno množství zpětně odebraných pneumatik. Tento způsob výpočtu však povinným osobám komplikuje plánování výdajů na plnění povinností zpětného odběru a zpracování odpadních pneumatik na následující období</w:t>
      </w:r>
      <w:r w:rsidRPr="005670A0">
        <w:t>.</w:t>
      </w:r>
      <w:r>
        <w:t xml:space="preserve"> Z toho důvodu je navrhováno, aby se </w:t>
      </w:r>
      <w:r w:rsidRPr="003C59E3">
        <w:t>úrov</w:t>
      </w:r>
      <w:r>
        <w:t>eň</w:t>
      </w:r>
      <w:r w:rsidRPr="003C59E3">
        <w:t xml:space="preserve"> zpětného odběru </w:t>
      </w:r>
      <w:r>
        <w:t>počítala stejným způsobem jako v případě baterií a akumulátorů, tedy ve vztahu k průměrné roční hmotnosti pneumatik uvedených na trh v posledních třech kalendářních letech.</w:t>
      </w:r>
    </w:p>
    <w:p w:rsidR="00CC0F90" w:rsidRPr="00B213C7" w:rsidRDefault="00CC0F90" w:rsidP="00BD7946">
      <w:pPr>
        <w:keepNext/>
        <w:spacing w:before="240"/>
        <w:rPr>
          <w:b/>
        </w:rPr>
      </w:pPr>
      <w:r w:rsidRPr="00B213C7">
        <w:rPr>
          <w:b/>
        </w:rPr>
        <w:t>K § 1</w:t>
      </w:r>
      <w:r>
        <w:rPr>
          <w:b/>
        </w:rPr>
        <w:t>1</w:t>
      </w:r>
      <w:r w:rsidRPr="00B213C7">
        <w:rPr>
          <w:b/>
        </w:rPr>
        <w:t>0</w:t>
      </w:r>
    </w:p>
    <w:p w:rsidR="00CC0F90" w:rsidRDefault="00CC0F90" w:rsidP="00CC0F90">
      <w:pPr>
        <w:spacing w:before="240"/>
      </w:pPr>
      <w:r w:rsidRPr="00967505">
        <w:t xml:space="preserve">Protektorování pneumatik je </w:t>
      </w:r>
      <w:r>
        <w:t xml:space="preserve">z hlediska hierarchie způsobů nakládání s odpady žádoucím postupem, neboť díky němu mohou být pneumatiky opětovně použity. Jsou-li tímto způsobem obnovovány pneumatiky, které byly před tím zpětně odebrány nebo sebrány jako odpad, jde vlastně o přípravu k opětovnému použití jako jeden z možných </w:t>
      </w:r>
      <w:r w:rsidRPr="00967505">
        <w:t>ekologických způsobů využití odpad</w:t>
      </w:r>
      <w:r>
        <w:t>u</w:t>
      </w:r>
      <w:r w:rsidRPr="00967505">
        <w:t xml:space="preserve">. </w:t>
      </w:r>
      <w:r>
        <w:t xml:space="preserve">Protektorovaná pneumatika je poté opětovně použita a po ukončení její (prodloužené, resp. obnovené) životnosti je třeba zajistit její zpětný odběr a využití v souladu s tímto </w:t>
      </w:r>
      <w:r>
        <w:lastRenderedPageBreak/>
        <w:t xml:space="preserve">zákonem. Vzhledem k tomu, že k protektorování jsou zpravidla využívány pneumatiky, které byly zpětně odebrány a pro které tedy již jejich původní výrobce splnil své povinnosti stanovené zákonem, měl by jejich další zpětný odběr a využití zajistit ten, kdo je vyrobil a uvedl na trh za účelem jejich dalšího, opětovného použití. </w:t>
      </w:r>
    </w:p>
    <w:p w:rsidR="00CC0F90" w:rsidRDefault="00CC0F90" w:rsidP="00CC0F90">
      <w:pPr>
        <w:spacing w:before="240"/>
      </w:pPr>
      <w:r>
        <w:t>Podle navrhované právní úpravy tedy bude mít výrobce</w:t>
      </w:r>
      <w:r w:rsidRPr="00B213C7">
        <w:t xml:space="preserve"> protektorovaných pneumatik </w:t>
      </w:r>
      <w:r>
        <w:t>stejné povinnosti jako výrobce nových pneumatik, tedy zejména povinnost zajistit pro tyto pneumatiky po ukončení jejich životnosti zpětný odběr a následné využití</w:t>
      </w:r>
      <w:r w:rsidRPr="00B213C7">
        <w:t xml:space="preserve">. Na rozdíl od </w:t>
      </w:r>
      <w:r>
        <w:t>doposud zastávaného</w:t>
      </w:r>
      <w:r w:rsidRPr="00B213C7">
        <w:t xml:space="preserve"> výkladu zákona o odpadech </w:t>
      </w:r>
      <w:r>
        <w:t>má povinnosti</w:t>
      </w:r>
      <w:r w:rsidRPr="00B213C7">
        <w:t xml:space="preserve"> výrobce, dle </w:t>
      </w:r>
      <w:r>
        <w:t>navrhovaného</w:t>
      </w:r>
      <w:r w:rsidRPr="00B213C7">
        <w:t xml:space="preserve"> ustanovení, výrobce protektor</w:t>
      </w:r>
      <w:r>
        <w:t>ovaných pneumatik</w:t>
      </w:r>
      <w:r w:rsidRPr="00B213C7">
        <w:t xml:space="preserve"> </w:t>
      </w:r>
      <w:r>
        <w:t>ve vztahu ke</w:t>
      </w:r>
      <w:r w:rsidRPr="00B213C7">
        <w:t xml:space="preserve"> vše</w:t>
      </w:r>
      <w:r>
        <w:t>m</w:t>
      </w:r>
      <w:r w:rsidRPr="00B213C7">
        <w:t xml:space="preserve"> protektor</w:t>
      </w:r>
      <w:r>
        <w:t>ům</w:t>
      </w:r>
      <w:r w:rsidRPr="00B213C7">
        <w:t xml:space="preserve"> vyroben</w:t>
      </w:r>
      <w:r>
        <w:t>ým a uvedeným na tuzemský trh</w:t>
      </w:r>
      <w:r w:rsidRPr="00B213C7">
        <w:t xml:space="preserve"> a </w:t>
      </w:r>
      <w:r>
        <w:t>nikoliv</w:t>
      </w:r>
      <w:r w:rsidRPr="00B213C7">
        <w:t xml:space="preserve"> pouze </w:t>
      </w:r>
      <w:r>
        <w:t>ve vztahu k </w:t>
      </w:r>
      <w:r w:rsidRPr="00B213C7">
        <w:t>protektorovan</w:t>
      </w:r>
      <w:r>
        <w:t>ým</w:t>
      </w:r>
      <w:r w:rsidRPr="00B213C7">
        <w:t xml:space="preserve"> pneumatik</w:t>
      </w:r>
      <w:r>
        <w:t>ám</w:t>
      </w:r>
      <w:r w:rsidRPr="00B213C7">
        <w:t xml:space="preserve"> na kostrách dovezených</w:t>
      </w:r>
      <w:r>
        <w:t xml:space="preserve"> nebo dodaných</w:t>
      </w:r>
      <w:r w:rsidRPr="00B213C7">
        <w:t xml:space="preserve"> k protektorování z</w:t>
      </w:r>
      <w:r>
        <w:t>e</w:t>
      </w:r>
      <w:r w:rsidRPr="00B213C7">
        <w:t> </w:t>
      </w:r>
      <w:r>
        <w:t>zahraničí</w:t>
      </w:r>
      <w:r w:rsidRPr="00B213C7">
        <w:t xml:space="preserve">. </w:t>
      </w:r>
      <w:r>
        <w:t>Toto rozlišování se jeví jako neopodstatněné. Navíc p</w:t>
      </w:r>
      <w:r w:rsidRPr="00B213C7">
        <w:t xml:space="preserve">ři </w:t>
      </w:r>
      <w:r>
        <w:t>uvedeném</w:t>
      </w:r>
      <w:r w:rsidRPr="00B213C7">
        <w:t xml:space="preserve"> výkladu </w:t>
      </w:r>
      <w:r>
        <w:t>vznikaly nesrovnalosti v evidenci v případě protektorovaných pneumatik vyrobených z koster nabytých v tuzemsku, za něž odpovídala původní povinná osoba. Tyto</w:t>
      </w:r>
      <w:r w:rsidRPr="00B213C7">
        <w:t xml:space="preserve"> pneumatiky</w:t>
      </w:r>
      <w:r>
        <w:t xml:space="preserve"> totiž</w:t>
      </w:r>
      <w:r w:rsidRPr="00B213C7">
        <w:t xml:space="preserve"> byly </w:t>
      </w:r>
      <w:r>
        <w:t xml:space="preserve">již </w:t>
      </w:r>
      <w:r w:rsidRPr="00B213C7">
        <w:t>jednou započítány do úrovně zpětného odběru jako zpětně odebrané</w:t>
      </w:r>
      <w:r>
        <w:t xml:space="preserve"> a následně,</w:t>
      </w:r>
      <w:r w:rsidRPr="00B213C7">
        <w:t xml:space="preserve"> </w:t>
      </w:r>
      <w:r>
        <w:t>p</w:t>
      </w:r>
      <w:r w:rsidRPr="00B213C7">
        <w:t>o protektorování</w:t>
      </w:r>
      <w:r>
        <w:t>,</w:t>
      </w:r>
      <w:r w:rsidRPr="00B213C7">
        <w:t xml:space="preserve"> </w:t>
      </w:r>
      <w:r>
        <w:t>aniž by byly zaneseny</w:t>
      </w:r>
      <w:r w:rsidRPr="00B213C7">
        <w:t xml:space="preserve"> v evidenci na straně druhé </w:t>
      </w:r>
      <w:r>
        <w:t>–</w:t>
      </w:r>
      <w:r w:rsidRPr="00B213C7">
        <w:t xml:space="preserve"> uvedeno na trh, jsou </w:t>
      </w:r>
      <w:r>
        <w:t xml:space="preserve">opět </w:t>
      </w:r>
      <w:r w:rsidRPr="00B213C7">
        <w:t>zpětně odebírány</w:t>
      </w:r>
      <w:r>
        <w:t>, což</w:t>
      </w:r>
      <w:r w:rsidRPr="00B213C7">
        <w:t xml:space="preserve"> fakticky </w:t>
      </w:r>
      <w:r>
        <w:t>zkresluje</w:t>
      </w:r>
      <w:r w:rsidRPr="00B213C7">
        <w:t xml:space="preserve"> plnění cílů </w:t>
      </w:r>
      <w:r>
        <w:t>zpětného odběru</w:t>
      </w:r>
      <w:r w:rsidRPr="00B213C7">
        <w:t>.</w:t>
      </w:r>
    </w:p>
    <w:p w:rsidR="00CC0F90" w:rsidRPr="00B213C7" w:rsidRDefault="00CC0F90" w:rsidP="00CC0F90">
      <w:pPr>
        <w:spacing w:before="240"/>
      </w:pPr>
      <w:r>
        <w:t xml:space="preserve">Nad rámec obecných povinností výrobce pneumatik stanoví navrhovaný zákon výrobcům </w:t>
      </w:r>
      <w:r w:rsidRPr="00B213C7">
        <w:t>protektorovaných pneumatik</w:t>
      </w:r>
      <w:r>
        <w:t xml:space="preserve"> povinnost vést evidenci </w:t>
      </w:r>
      <w:r w:rsidRPr="00627436">
        <w:t>podle § 26 odst. 1 písm. a) pro protektorované pneumatiky zvlášť</w:t>
      </w:r>
      <w:r>
        <w:t>, jestliže zároveň uvádějí na trh i</w:t>
      </w:r>
      <w:r w:rsidRPr="00627436">
        <w:t xml:space="preserve"> </w:t>
      </w:r>
      <w:r>
        <w:t xml:space="preserve">nové </w:t>
      </w:r>
      <w:r w:rsidRPr="00627436">
        <w:t>pneumatiky.</w:t>
      </w:r>
    </w:p>
    <w:p w:rsidR="00CC0F90" w:rsidRPr="00B213C7" w:rsidRDefault="00CC0F90" w:rsidP="00CC0F90">
      <w:pPr>
        <w:spacing w:before="240"/>
      </w:pPr>
      <w:r>
        <w:t>Navrhovaná právní úprava nedopadá na</w:t>
      </w:r>
      <w:r w:rsidRPr="00B213C7">
        <w:t xml:space="preserve"> pneumatiky, které byly předány </w:t>
      </w:r>
      <w:r>
        <w:t xml:space="preserve">zákazníkem </w:t>
      </w:r>
      <w:r w:rsidRPr="00B213C7">
        <w:t>přímo výrobci protektorů a tomuto zákazníkov</w:t>
      </w:r>
      <w:r>
        <w:t>i</w:t>
      </w:r>
      <w:r w:rsidRPr="00B213C7">
        <w:t xml:space="preserve"> jsou opět </w:t>
      </w:r>
      <w:r>
        <w:t xml:space="preserve">po provedení protektorování </w:t>
      </w:r>
      <w:r w:rsidRPr="00B213C7">
        <w:t>vráceny. V tomto případě se na protektorování nahlíží jako na službu</w:t>
      </w:r>
      <w:r>
        <w:t xml:space="preserve"> prováděnou na cizí věci, kdy nedochází k uvedení protektorované pneumatiky na trh</w:t>
      </w:r>
      <w:r w:rsidRPr="00B213C7">
        <w:t>.</w:t>
      </w:r>
      <w:r>
        <w:t xml:space="preserve"> </w:t>
      </w:r>
      <w:r w:rsidRPr="00B213C7">
        <w:t xml:space="preserve">Tyto pneumatiky jsou </w:t>
      </w:r>
      <w:r>
        <w:t>před protektorováním</w:t>
      </w:r>
      <w:r w:rsidRPr="00B213C7">
        <w:t xml:space="preserve"> mimo evidenci zpětného odběru.</w:t>
      </w:r>
    </w:p>
    <w:p w:rsidR="00CC0F90" w:rsidRPr="00B213C7" w:rsidRDefault="00CC0F90" w:rsidP="00CC0F90">
      <w:pPr>
        <w:spacing w:before="240"/>
        <w:rPr>
          <w:b/>
        </w:rPr>
      </w:pPr>
      <w:r w:rsidRPr="00B213C7">
        <w:rPr>
          <w:b/>
        </w:rPr>
        <w:t>K § 1</w:t>
      </w:r>
      <w:r>
        <w:rPr>
          <w:b/>
        </w:rPr>
        <w:t>11</w:t>
      </w:r>
    </w:p>
    <w:p w:rsidR="00CC0F90" w:rsidRDefault="00CC0F90" w:rsidP="00CC0F90">
      <w:pPr>
        <w:spacing w:before="240"/>
      </w:pPr>
      <w:r>
        <w:t xml:space="preserve">Výrobcům ukládá navrhovaný zákon povinnosti informovat konečné uživatele </w:t>
      </w:r>
      <w:r w:rsidRPr="009403FF">
        <w:t xml:space="preserve">o zpětném odběru </w:t>
      </w:r>
      <w:r>
        <w:t>odpadních pneumatik, a</w:t>
      </w:r>
      <w:r w:rsidRPr="009403FF">
        <w:t>by bylo dosaženo vysoké úrovně zpětného odběru a naplněny cíle právní úpravy, pokud jde o zajištění ochrany životního prostředí</w:t>
      </w:r>
      <w:r>
        <w:t xml:space="preserve">. Tyto povinnosti plní výrobce </w:t>
      </w:r>
      <w:r w:rsidRPr="009403FF">
        <w:t>prostřednictvím posledních prodejců, tedy při koupi výrobku, a to písemně a na vlastní náklady</w:t>
      </w:r>
      <w:r>
        <w:t>.</w:t>
      </w:r>
    </w:p>
    <w:p w:rsidR="00CC0F90" w:rsidRPr="00B213C7" w:rsidRDefault="00CC0F90" w:rsidP="00CC0F90">
      <w:pPr>
        <w:spacing w:before="240"/>
      </w:pPr>
      <w:r w:rsidRPr="00B213C7">
        <w:t>Na výrobce pneumatik jsou kladeny menší nároky</w:t>
      </w:r>
      <w:r>
        <w:t>, pokud jde o</w:t>
      </w:r>
      <w:r w:rsidRPr="00B213C7">
        <w:t xml:space="preserve"> informování konečného uživatele</w:t>
      </w:r>
      <w:r>
        <w:t xml:space="preserve"> o zpětném odběru,</w:t>
      </w:r>
      <w:r w:rsidRPr="00B213C7">
        <w:t xml:space="preserve"> než </w:t>
      </w:r>
      <w:r>
        <w:t>na výrobce</w:t>
      </w:r>
      <w:r w:rsidRPr="00B213C7">
        <w:t xml:space="preserve"> elektrozařízení a </w:t>
      </w:r>
      <w:r>
        <w:t xml:space="preserve">výrobce </w:t>
      </w:r>
      <w:r w:rsidRPr="00B213C7">
        <w:t xml:space="preserve">baterií </w:t>
      </w:r>
      <w:r>
        <w:t>nebo</w:t>
      </w:r>
      <w:r w:rsidRPr="00B213C7">
        <w:t xml:space="preserve"> akumulátorů. Výrobce </w:t>
      </w:r>
      <w:r>
        <w:t xml:space="preserve">pneumatik </w:t>
      </w:r>
      <w:r w:rsidRPr="00B213C7">
        <w:t xml:space="preserve">zajistí informování konečných uživatelů o požadavku, aby </w:t>
      </w:r>
      <w:r>
        <w:t xml:space="preserve">odpadní </w:t>
      </w:r>
      <w:r w:rsidRPr="00B213C7">
        <w:t>pneumatiky nebyly odstraňovány jako netříděný komunální odpad, ale byly předáván</w:t>
      </w:r>
      <w:r>
        <w:t>y</w:t>
      </w:r>
      <w:r w:rsidRPr="00B213C7">
        <w:t xml:space="preserve"> na míst</w:t>
      </w:r>
      <w:r>
        <w:t>ech</w:t>
      </w:r>
      <w:r w:rsidRPr="00B213C7">
        <w:t xml:space="preserve"> </w:t>
      </w:r>
      <w:r>
        <w:t xml:space="preserve">k tomu určených, </w:t>
      </w:r>
      <w:r w:rsidRPr="00B213C7">
        <w:t xml:space="preserve">a </w:t>
      </w:r>
      <w:r>
        <w:t xml:space="preserve">dále o </w:t>
      </w:r>
      <w:r w:rsidRPr="00B213C7">
        <w:t xml:space="preserve">způsobu </w:t>
      </w:r>
      <w:r>
        <w:t xml:space="preserve">zajištění </w:t>
      </w:r>
      <w:r w:rsidRPr="00B213C7">
        <w:t xml:space="preserve">zpětného odběru. </w:t>
      </w:r>
    </w:p>
    <w:p w:rsidR="00CC0F90" w:rsidRPr="00B213C7" w:rsidRDefault="00CC0F90" w:rsidP="00BD7946">
      <w:pPr>
        <w:keepNext/>
        <w:spacing w:before="240"/>
        <w:rPr>
          <w:b/>
        </w:rPr>
      </w:pPr>
      <w:r w:rsidRPr="00B213C7">
        <w:rPr>
          <w:b/>
        </w:rPr>
        <w:lastRenderedPageBreak/>
        <w:t>K § 11</w:t>
      </w:r>
      <w:r>
        <w:rPr>
          <w:b/>
        </w:rPr>
        <w:t>2</w:t>
      </w:r>
    </w:p>
    <w:p w:rsidR="00CC0F90" w:rsidRPr="00B213C7" w:rsidRDefault="00CC0F90" w:rsidP="00CC0F90">
      <w:pPr>
        <w:spacing w:before="240"/>
      </w:pPr>
      <w:r w:rsidRPr="00B213C7">
        <w:t xml:space="preserve">Zákon ukládá výrobcům pneumatik </w:t>
      </w:r>
      <w:r>
        <w:t>povinnost zajistit</w:t>
      </w:r>
      <w:r w:rsidRPr="00B213C7">
        <w:t xml:space="preserve"> </w:t>
      </w:r>
      <w:r w:rsidRPr="005A674E">
        <w:t>na vlastní náklady</w:t>
      </w:r>
      <w:r w:rsidRPr="00B213C7">
        <w:t xml:space="preserve"> zpětný odběr</w:t>
      </w:r>
      <w:r>
        <w:t xml:space="preserve"> odpadních pneumatik</w:t>
      </w:r>
      <w:r w:rsidRPr="00B213C7">
        <w:t xml:space="preserve"> od konečných uživatelů, a to bez ohledu na výrobní značku, bez ohledu na datum uvedení na trh</w:t>
      </w:r>
      <w:r>
        <w:t>,</w:t>
      </w:r>
      <w:r w:rsidRPr="00B213C7">
        <w:t xml:space="preserve"> bez vazby na koupi nového výrobku</w:t>
      </w:r>
      <w:r>
        <w:t xml:space="preserve"> a </w:t>
      </w:r>
      <w:r w:rsidRPr="00B213C7">
        <w:t xml:space="preserve">bez nároku na úplatu. Výrobce má </w:t>
      </w:r>
      <w:r>
        <w:t>dále</w:t>
      </w:r>
      <w:r w:rsidRPr="00B213C7">
        <w:t xml:space="preserve"> povinnost dosáhnout </w:t>
      </w:r>
      <w:r w:rsidRPr="00B213C7">
        <w:rPr>
          <w:bCs/>
        </w:rPr>
        <w:t>minimální úrovně zpětného odběru</w:t>
      </w:r>
      <w:r w:rsidRPr="00B213C7">
        <w:t xml:space="preserve"> stanovené v příloze č. 2.  Jedině tak lze motivovat výrobce k zavedení funkčních systémů zpětného odběru. Bylo zvoleno postupné zvyšování minimální úrovně zpětného odběru ze současných 35 % až k cílovým 80 %. Cílový stav by měl zabezpečit téměř úplný </w:t>
      </w:r>
      <w:r>
        <w:t>zpětný odběr odpadních</w:t>
      </w:r>
      <w:r w:rsidRPr="00B213C7">
        <w:t xml:space="preserve"> pneumatik, jelikož opotřebení pneumatik v průběhu životnosti je cca 10 – 15 % hmotnosti. Cílový stav </w:t>
      </w:r>
      <w:r>
        <w:t xml:space="preserve">lze </w:t>
      </w:r>
      <w:r w:rsidRPr="00B213C7">
        <w:t>považ</w:t>
      </w:r>
      <w:r>
        <w:t>ovat</w:t>
      </w:r>
      <w:r w:rsidRPr="00B213C7">
        <w:t xml:space="preserve"> za dosažitelný, protože v současné době, kdy je zavedena povinná </w:t>
      </w:r>
      <w:r>
        <w:t xml:space="preserve">minimální </w:t>
      </w:r>
      <w:r w:rsidRPr="00B213C7">
        <w:t>úroveň zpětného odběru pouze 35 %</w:t>
      </w:r>
      <w:r>
        <w:t>,</w:t>
      </w:r>
      <w:r w:rsidRPr="00B213C7">
        <w:t xml:space="preserve"> se v rámci celé ČR </w:t>
      </w:r>
      <w:r>
        <w:t xml:space="preserve">celková </w:t>
      </w:r>
      <w:r w:rsidRPr="00B213C7">
        <w:t xml:space="preserve">úroveň </w:t>
      </w:r>
      <w:r>
        <w:t>zpětného odběru</w:t>
      </w:r>
      <w:r w:rsidRPr="00B213C7">
        <w:t xml:space="preserve"> pohybuje okolo 70 %.</w:t>
      </w:r>
    </w:p>
    <w:p w:rsidR="00CC0F90" w:rsidRPr="00B213C7" w:rsidRDefault="00CC0F90" w:rsidP="00CC0F90">
      <w:pPr>
        <w:spacing w:before="240"/>
      </w:pPr>
      <w:r>
        <w:t>Navrhovaný zákon stanoví nově pro zpětný odběr odpadních pneumatik</w:t>
      </w:r>
      <w:r w:rsidRPr="00B213C7">
        <w:t xml:space="preserve"> minimální požadavky a kritéria pro vytvoření dostatečně husté sítě míst zpětného odběru zřizované výrobcem.</w:t>
      </w:r>
    </w:p>
    <w:p w:rsidR="00CC0F90" w:rsidRPr="00B213C7" w:rsidRDefault="00CC0F90" w:rsidP="00CC0F90">
      <w:pPr>
        <w:spacing w:before="240"/>
      </w:pPr>
      <w:r w:rsidRPr="00B213C7">
        <w:t xml:space="preserve">Podmínka dostupnosti míst </w:t>
      </w:r>
      <w:r>
        <w:t xml:space="preserve">zpětného odběru </w:t>
      </w:r>
      <w:r w:rsidRPr="00B213C7">
        <w:t xml:space="preserve">pro konečného uživatele je dle </w:t>
      </w:r>
      <w:r>
        <w:t xml:space="preserve">odstavce 2 </w:t>
      </w:r>
      <w:r w:rsidRPr="00B213C7">
        <w:t xml:space="preserve">písm. a) definována podle územních celků a optimalizována dle velikosti obcí v rámci ČR. Záměrem je koncentrovat obligatorně zřizovaná </w:t>
      </w:r>
      <w:r>
        <w:t xml:space="preserve">veřejná </w:t>
      </w:r>
      <w:r w:rsidRPr="00B213C7">
        <w:t xml:space="preserve">místa zpětného odběru do míst, kde </w:t>
      </w:r>
      <w:r>
        <w:t>zpětný</w:t>
      </w:r>
      <w:r w:rsidRPr="00B213C7">
        <w:t xml:space="preserve"> odběr bude skutečně efektivní a bude dosahovat určité minimální výtěžnosti.</w:t>
      </w:r>
      <w:r>
        <w:t xml:space="preserve"> Výrobce pneumatik bude povinen zřídit veřejné místo </w:t>
      </w:r>
      <w:r w:rsidRPr="00B213C7">
        <w:t>zpětného odběru</w:t>
      </w:r>
      <w:r>
        <w:t xml:space="preserve"> v každé </w:t>
      </w:r>
      <w:r w:rsidRPr="00832A60">
        <w:t xml:space="preserve">obci s pověřeným obecním úřadem a </w:t>
      </w:r>
      <w:r w:rsidRPr="00447B19">
        <w:t>v případě územně členěných statutárních měst v každém městském obvodě nebo městské části</w:t>
      </w:r>
      <w:r>
        <w:t>.</w:t>
      </w:r>
    </w:p>
    <w:p w:rsidR="00CC0F90" w:rsidRPr="00B213C7" w:rsidRDefault="00CC0F90" w:rsidP="00CC0F90">
      <w:pPr>
        <w:spacing w:before="240"/>
      </w:pPr>
      <w:r w:rsidRPr="00B213C7">
        <w:t xml:space="preserve">Ustanovení </w:t>
      </w:r>
      <w:r>
        <w:t xml:space="preserve">odstavce 2 </w:t>
      </w:r>
      <w:r w:rsidRPr="00B213C7">
        <w:t>písm</w:t>
      </w:r>
      <w:r>
        <w:t>.</w:t>
      </w:r>
      <w:r w:rsidRPr="00B213C7">
        <w:t xml:space="preserve"> b) představuje faktickou podporu obcí </w:t>
      </w:r>
      <w:r w:rsidRPr="00EA5FC8">
        <w:t xml:space="preserve">nesplňujících kritéria podle písmene a) v podobě </w:t>
      </w:r>
      <w:r w:rsidRPr="00B213C7">
        <w:t>možnost</w:t>
      </w:r>
      <w:r>
        <w:t>i</w:t>
      </w:r>
      <w:r w:rsidRPr="00B213C7">
        <w:t xml:space="preserve"> </w:t>
      </w:r>
      <w:r w:rsidRPr="00EA5FC8">
        <w:t>žádat výrobce o zřízení veřejného místa</w:t>
      </w:r>
      <w:r w:rsidRPr="00B213C7">
        <w:t xml:space="preserve"> zpětného odběru </w:t>
      </w:r>
      <w:r>
        <w:t>na jejich území.</w:t>
      </w:r>
      <w:r w:rsidRPr="00B213C7">
        <w:t xml:space="preserve"> </w:t>
      </w:r>
      <w:r w:rsidRPr="00EA5FC8">
        <w:t xml:space="preserve">V kombinaci s možností zajištění zpětného odběru prostřednictvím obecního systému </w:t>
      </w:r>
      <w:r w:rsidRPr="00EA5FC8">
        <w:rPr>
          <w:bCs/>
        </w:rPr>
        <w:t>nakládání s komunálním odpadem</w:t>
      </w:r>
      <w:r w:rsidRPr="00EA5FC8">
        <w:t xml:space="preserve"> (§ 14) lze docílit úspory</w:t>
      </w:r>
      <w:r w:rsidRPr="00B213C7">
        <w:t xml:space="preserve"> nákladů z obecního rozpočtu </w:t>
      </w:r>
      <w:r>
        <w:t>na</w:t>
      </w:r>
      <w:r w:rsidRPr="00EA5FC8">
        <w:t xml:space="preserve"> zpětný odběr</w:t>
      </w:r>
      <w:r>
        <w:t xml:space="preserve"> a</w:t>
      </w:r>
      <w:r w:rsidRPr="00B213C7">
        <w:t xml:space="preserve"> nakládání s </w:t>
      </w:r>
      <w:r>
        <w:t>odpadními pneumatikami</w:t>
      </w:r>
      <w:r w:rsidRPr="00B213C7">
        <w:t xml:space="preserve">. </w:t>
      </w:r>
      <w:r>
        <w:t>Vzhledem k vysokým</w:t>
      </w:r>
      <w:r w:rsidRPr="00B213C7">
        <w:t xml:space="preserve"> náklad</w:t>
      </w:r>
      <w:r>
        <w:t>ům</w:t>
      </w:r>
      <w:r w:rsidRPr="00B213C7">
        <w:t xml:space="preserve"> </w:t>
      </w:r>
      <w:r>
        <w:t>na zpětný odběr odpadních pneumatik však navrhovaný zákon umožňuje výrobci požadavek obce na zřízení místa zpětného odběru odmítnout</w:t>
      </w:r>
      <w:r w:rsidRPr="00B213C7">
        <w:t xml:space="preserve"> v případě, že v</w:t>
      </w:r>
      <w:r>
        <w:t>e</w:t>
      </w:r>
      <w:r w:rsidRPr="00B213C7">
        <w:t xml:space="preserve"> vzdálenosti </w:t>
      </w:r>
      <w:r>
        <w:t xml:space="preserve">do </w:t>
      </w:r>
      <w:r w:rsidRPr="00B213C7">
        <w:t xml:space="preserve">10 km </w:t>
      </w:r>
      <w:r>
        <w:t>výrobce</w:t>
      </w:r>
      <w:r w:rsidRPr="00B213C7">
        <w:t xml:space="preserve"> zří</w:t>
      </w:r>
      <w:r>
        <w:t>dil</w:t>
      </w:r>
      <w:r w:rsidRPr="00B213C7">
        <w:t xml:space="preserve"> jiné veřejné místo zpětného odběru</w:t>
      </w:r>
      <w:r>
        <w:t>.</w:t>
      </w:r>
      <w:r w:rsidRPr="00B213C7">
        <w:t xml:space="preserve"> </w:t>
      </w:r>
      <w:r>
        <w:t xml:space="preserve">Bez této výjimky by stanovený požadavek </w:t>
      </w:r>
      <w:r w:rsidRPr="00B213C7">
        <w:t>představoval pro výrobce nadměrnou ekonomickou zátěž při stejné</w:t>
      </w:r>
      <w:r>
        <w:t xml:space="preserve"> výtěžnosti zpětného</w:t>
      </w:r>
      <w:r w:rsidRPr="00B213C7">
        <w:t xml:space="preserve"> odběru. </w:t>
      </w:r>
    </w:p>
    <w:p w:rsidR="00CC0F90" w:rsidRPr="00B213C7" w:rsidRDefault="00CC0F90" w:rsidP="00CC0F90">
      <w:pPr>
        <w:spacing w:before="240"/>
      </w:pPr>
      <w:r w:rsidRPr="00B213C7">
        <w:t xml:space="preserve">V případě, že v obci nebude zřízeno místo zpětného odběru, </w:t>
      </w:r>
      <w:r>
        <w:t>umožní navrhovaný zákon</w:t>
      </w:r>
      <w:r w:rsidRPr="00B213C7">
        <w:t xml:space="preserve"> obc</w:t>
      </w:r>
      <w:r>
        <w:t>i</w:t>
      </w:r>
      <w:r w:rsidRPr="00B213C7">
        <w:t xml:space="preserve"> </w:t>
      </w:r>
      <w:r>
        <w:t>sbírat odpadní</w:t>
      </w:r>
      <w:r w:rsidRPr="00B213C7">
        <w:t xml:space="preserve"> pneumatiky v rámci </w:t>
      </w:r>
      <w:r>
        <w:t xml:space="preserve">svého systému </w:t>
      </w:r>
      <w:r w:rsidRPr="00B213C7">
        <w:t>nakládání s komunálním odpadem a dále s nimi nakládat jako s</w:t>
      </w:r>
      <w:r>
        <w:t> </w:t>
      </w:r>
      <w:r w:rsidRPr="00B213C7">
        <w:t>odpadem</w:t>
      </w:r>
      <w:r>
        <w:t xml:space="preserve"> (v tomto případě se nejedná o zpětný odběr)</w:t>
      </w:r>
      <w:r w:rsidRPr="00B213C7">
        <w:t>.</w:t>
      </w:r>
      <w:r>
        <w:t xml:space="preserve"> Obec však musí nejprve marně výrobce žádat, aby na jejím území místo zpětného odběru zřídil, pokud výrobce takovou povinnost podle odstavce 2 má. Jde o určité nouzové řešení pro obce, aby mohly předcházet nelegálnímu odkládání odpadních pneumatik v případech, kdy výrobce zpětný odběr odpadních pneumatik na jejich území nezajistí.</w:t>
      </w:r>
    </w:p>
    <w:p w:rsidR="00CC0F90" w:rsidRPr="00B213C7" w:rsidRDefault="00CC0F90" w:rsidP="00CC0F90">
      <w:pPr>
        <w:spacing w:before="240"/>
      </w:pPr>
      <w:r w:rsidRPr="00B213C7">
        <w:lastRenderedPageBreak/>
        <w:t xml:space="preserve">Odpadní pneumatiky smí konečný uživatel předat pouze na místo zpětného odběru, </w:t>
      </w:r>
      <w:r w:rsidRPr="00D104EB">
        <w:t>provozovateli zařízení ke sběru nebo zpracování</w:t>
      </w:r>
      <w:r w:rsidRPr="00B213C7">
        <w:t xml:space="preserve"> vozidel s ukončenou životností </w:t>
      </w:r>
      <w:r>
        <w:t>nebo na místo určené</w:t>
      </w:r>
      <w:r w:rsidRPr="00B213C7">
        <w:t xml:space="preserve"> obc</w:t>
      </w:r>
      <w:r>
        <w:t>í</w:t>
      </w:r>
      <w:r w:rsidRPr="00B213C7">
        <w:t xml:space="preserve">, </w:t>
      </w:r>
      <w:r>
        <w:t>pokud v souladu s tímto zákonem takové místo určila</w:t>
      </w:r>
      <w:r w:rsidRPr="00B213C7">
        <w:t>.</w:t>
      </w:r>
    </w:p>
    <w:p w:rsidR="00CC0F90" w:rsidRPr="00B213C7" w:rsidRDefault="00CC0F90" w:rsidP="00BD7946">
      <w:pPr>
        <w:keepNext/>
        <w:spacing w:before="240"/>
        <w:rPr>
          <w:b/>
        </w:rPr>
      </w:pPr>
      <w:r w:rsidRPr="00B213C7">
        <w:rPr>
          <w:b/>
        </w:rPr>
        <w:t>K § 11</w:t>
      </w:r>
      <w:r>
        <w:rPr>
          <w:b/>
        </w:rPr>
        <w:t>3</w:t>
      </w:r>
    </w:p>
    <w:p w:rsidR="00CC0F90" w:rsidRDefault="00CC0F90" w:rsidP="00CC0F90">
      <w:pPr>
        <w:spacing w:before="240"/>
      </w:pPr>
      <w:r w:rsidRPr="00B213C7">
        <w:t>Ustanovení § 11</w:t>
      </w:r>
      <w:r>
        <w:t>3</w:t>
      </w:r>
      <w:r w:rsidRPr="00B213C7">
        <w:t xml:space="preserve"> stanovuje povinnosti výrobců</w:t>
      </w:r>
      <w:r>
        <w:t xml:space="preserve"> a zpracovatelů</w:t>
      </w:r>
      <w:r w:rsidRPr="00B213C7">
        <w:t xml:space="preserve"> ve vztahu k</w:t>
      </w:r>
      <w:r>
        <w:t>e zpracování a</w:t>
      </w:r>
      <w:r w:rsidRPr="00B213C7">
        <w:t xml:space="preserve"> využití odpadních pneumatik. </w:t>
      </w:r>
      <w:r>
        <w:t>Základní povinností výrobce je zajistit na vlastní náklady využití všech odpadních pneumatik, které zpětně odebral. Vzhledem k dostupnosti technologií materiálového využití odpadních pneumatik navrhovaný zákon v souladu s hierarchií způsobů nakládání s odpady nedovoluje odstraňování odpadních pneumatik spalováním, ani ukládáním na skládky všech skupin.</w:t>
      </w:r>
      <w:r w:rsidRPr="00B213C7">
        <w:t> </w:t>
      </w:r>
      <w:r w:rsidRPr="00BB74CF">
        <w:t>Konečné</w:t>
      </w:r>
      <w:r w:rsidRPr="00B213C7">
        <w:t xml:space="preserve"> využití </w:t>
      </w:r>
      <w:r w:rsidRPr="00BB74CF">
        <w:t>odpadních</w:t>
      </w:r>
      <w:r w:rsidRPr="00B213C7">
        <w:t xml:space="preserve"> </w:t>
      </w:r>
      <w:r>
        <w:t>pneumatik</w:t>
      </w:r>
      <w:r w:rsidRPr="00B213C7">
        <w:t xml:space="preserve"> </w:t>
      </w:r>
      <w:r w:rsidRPr="00BB74CF">
        <w:t xml:space="preserve">je výrobce povinen zajistit nejpozději </w:t>
      </w:r>
      <w:r w:rsidRPr="00B213C7">
        <w:t xml:space="preserve">do konce </w:t>
      </w:r>
      <w:r w:rsidRPr="00BB74CF">
        <w:t>kalendářního</w:t>
      </w:r>
      <w:r w:rsidRPr="00B213C7">
        <w:t xml:space="preserve"> roku následujícího po roce, </w:t>
      </w:r>
      <w:r w:rsidRPr="00BB74CF">
        <w:t>v němž</w:t>
      </w:r>
      <w:r w:rsidRPr="00B213C7">
        <w:t xml:space="preserve"> byly zpětně odebrány.</w:t>
      </w:r>
      <w:r>
        <w:t xml:space="preserve"> </w:t>
      </w:r>
      <w:r w:rsidRPr="00BB74CF">
        <w:t xml:space="preserve">Tím má být zamezeno nadměrnému kumulování odpadních </w:t>
      </w:r>
      <w:r>
        <w:t>pneumatik</w:t>
      </w:r>
      <w:r w:rsidRPr="00BB74CF">
        <w:t>, s nímž mohou být spojena rizika pro životní prostředí.</w:t>
      </w:r>
    </w:p>
    <w:p w:rsidR="00CC0F90" w:rsidRPr="00B213C7" w:rsidRDefault="00CC0F90" w:rsidP="00CC0F90">
      <w:pPr>
        <w:spacing w:before="240"/>
      </w:pPr>
      <w:r w:rsidRPr="002E0BF2">
        <w:t xml:space="preserve">Zpracovávat odpadní </w:t>
      </w:r>
      <w:r>
        <w:t>pneumatiky</w:t>
      </w:r>
      <w:r w:rsidRPr="002E0BF2">
        <w:t xml:space="preserve"> je možné pouze v zařízení určeném pro nakládání s tímto druhem odpadu na základě </w:t>
      </w:r>
      <w:r>
        <w:t>povolení</w:t>
      </w:r>
      <w:r w:rsidRPr="00B213C7">
        <w:t xml:space="preserve"> </w:t>
      </w:r>
      <w:r w:rsidRPr="002E0BF2">
        <w:t xml:space="preserve">krajského úřadu </w:t>
      </w:r>
      <w:r>
        <w:t>po</w:t>
      </w:r>
      <w:r w:rsidRPr="00B213C7">
        <w:t>dle zákona o odpadech</w:t>
      </w:r>
      <w:r>
        <w:t>.</w:t>
      </w:r>
    </w:p>
    <w:p w:rsidR="00CC0F90" w:rsidRPr="00B213C7" w:rsidRDefault="00CC0F90" w:rsidP="00CC0F90">
      <w:pPr>
        <w:spacing w:before="240"/>
        <w:rPr>
          <w:b/>
        </w:rPr>
      </w:pPr>
      <w:r w:rsidRPr="00B213C7">
        <w:rPr>
          <w:b/>
        </w:rPr>
        <w:t>K § 11</w:t>
      </w:r>
      <w:r>
        <w:rPr>
          <w:b/>
        </w:rPr>
        <w:t>4</w:t>
      </w:r>
    </w:p>
    <w:p w:rsidR="00CC0F90" w:rsidRPr="00B213C7" w:rsidRDefault="00CC0F90" w:rsidP="00CC0F90">
      <w:pPr>
        <w:spacing w:before="240"/>
      </w:pPr>
      <w:r>
        <w:t>Navrhovaný z</w:t>
      </w:r>
      <w:r w:rsidRPr="00B213C7">
        <w:t>ákon</w:t>
      </w:r>
      <w:r>
        <w:t>, obdobně jako</w:t>
      </w:r>
      <w:r w:rsidRPr="00B213C7">
        <w:t xml:space="preserve"> současný zákon o odpadech</w:t>
      </w:r>
      <w:r>
        <w:t>,</w:t>
      </w:r>
      <w:r w:rsidRPr="00B213C7">
        <w:t xml:space="preserve"> stanov</w:t>
      </w:r>
      <w:r>
        <w:t>í</w:t>
      </w:r>
      <w:r w:rsidRPr="00B213C7">
        <w:t xml:space="preserve">, že výrobce, distributor a poslední prodejce </w:t>
      </w:r>
      <w:r>
        <w:t xml:space="preserve">jsou </w:t>
      </w:r>
      <w:r w:rsidRPr="00B213C7">
        <w:t>povinn</w:t>
      </w:r>
      <w:r>
        <w:t>i</w:t>
      </w:r>
      <w:r w:rsidRPr="00B213C7">
        <w:t xml:space="preserve"> uvád</w:t>
      </w:r>
      <w:r>
        <w:t>ět při prodeji pneumatik</w:t>
      </w:r>
      <w:r w:rsidRPr="00B213C7">
        <w:t xml:space="preserve"> odděleně náklady na zpětný odběr, zpracování a využití odpadních pneumatik</w:t>
      </w:r>
      <w:r>
        <w:t xml:space="preserve"> (tzv. viditelný recyklační příspěvek</w:t>
      </w:r>
      <w:r w:rsidRPr="00B213C7">
        <w:t xml:space="preserve"> na účetním dokladu</w:t>
      </w:r>
      <w:r>
        <w:t>)</w:t>
      </w:r>
      <w:r w:rsidRPr="00B213C7">
        <w:t xml:space="preserve">. </w:t>
      </w:r>
      <w:r>
        <w:t>Oproti dosavadní právní úpravě se však doplňuje omezení pro výši odděleně uváděných</w:t>
      </w:r>
      <w:r w:rsidRPr="00B213C7">
        <w:t xml:space="preserve"> náklad</w:t>
      </w:r>
      <w:r>
        <w:t>ů, které</w:t>
      </w:r>
      <w:r w:rsidRPr="00B213C7">
        <w:t xml:space="preserve"> ne</w:t>
      </w:r>
      <w:r>
        <w:t>smějí</w:t>
      </w:r>
      <w:r w:rsidRPr="00B213C7">
        <w:t xml:space="preserve"> převyšovat náklady známé výrobci při uvedení pneumatik</w:t>
      </w:r>
      <w:r>
        <w:t>y</w:t>
      </w:r>
      <w:r w:rsidRPr="00B213C7">
        <w:t xml:space="preserve"> na trh. V případě, že výrobce plní své povinnosti </w:t>
      </w:r>
      <w:r>
        <w:t>v</w:t>
      </w:r>
      <w:r w:rsidRPr="00B213C7">
        <w:t xml:space="preserve"> kolektivní</w:t>
      </w:r>
      <w:r>
        <w:t>m</w:t>
      </w:r>
      <w:r w:rsidRPr="00B213C7">
        <w:t xml:space="preserve"> systému</w:t>
      </w:r>
      <w:r>
        <w:t>,</w:t>
      </w:r>
      <w:r w:rsidRPr="00B213C7">
        <w:t xml:space="preserve"> určují se</w:t>
      </w:r>
      <w:r>
        <w:t xml:space="preserve"> tyto </w:t>
      </w:r>
      <w:r w:rsidRPr="00B213C7">
        <w:t>náklady dle příspěvku odváděné</w:t>
      </w:r>
      <w:r>
        <w:t>ho</w:t>
      </w:r>
      <w:r w:rsidRPr="00B213C7">
        <w:t xml:space="preserve"> </w:t>
      </w:r>
      <w:r>
        <w:t xml:space="preserve">provozovateli </w:t>
      </w:r>
      <w:r w:rsidRPr="00B213C7">
        <w:t>kolektivní</w:t>
      </w:r>
      <w:r>
        <w:t>ho</w:t>
      </w:r>
      <w:r w:rsidRPr="00B213C7">
        <w:t xml:space="preserve"> systému. </w:t>
      </w:r>
      <w:r>
        <w:t>Dále je výslovně stanoveno, že tyto náklady</w:t>
      </w:r>
      <w:r w:rsidRPr="00B213C7">
        <w:t xml:space="preserve"> musí být uváděn</w:t>
      </w:r>
      <w:r>
        <w:t>y</w:t>
      </w:r>
      <w:r w:rsidRPr="00B213C7">
        <w:t xml:space="preserve"> v konkrétní výši </w:t>
      </w:r>
      <w:r>
        <w:t>připadající na</w:t>
      </w:r>
      <w:r w:rsidRPr="00B213C7">
        <w:t xml:space="preserve"> </w:t>
      </w:r>
      <w:r>
        <w:t xml:space="preserve">1 </w:t>
      </w:r>
      <w:r w:rsidRPr="00B213C7">
        <w:t xml:space="preserve">kus </w:t>
      </w:r>
      <w:r>
        <w:t xml:space="preserve">prodávané </w:t>
      </w:r>
      <w:r w:rsidRPr="00B213C7">
        <w:t>pneumatiky.</w:t>
      </w:r>
    </w:p>
    <w:p w:rsidR="00CC0F90" w:rsidRPr="00B213C7" w:rsidRDefault="00CC0F90" w:rsidP="00CC0F90">
      <w:pPr>
        <w:spacing w:before="240"/>
      </w:pPr>
      <w:r>
        <w:t>Smyslem uvedeného opatření je</w:t>
      </w:r>
      <w:r w:rsidRPr="00B213C7">
        <w:t xml:space="preserve"> informování konečného uživatele</w:t>
      </w:r>
      <w:r>
        <w:t xml:space="preserve"> o tom</w:t>
      </w:r>
      <w:r w:rsidRPr="00B213C7">
        <w:t xml:space="preserve">, že má nárok na bezplatný </w:t>
      </w:r>
      <w:r>
        <w:t xml:space="preserve">zpětný </w:t>
      </w:r>
      <w:r w:rsidRPr="00B213C7">
        <w:t>odběr na konci životnosti výrobku. Konečný uživatel bude mít také povědomí</w:t>
      </w:r>
      <w:r>
        <w:t xml:space="preserve"> o tom</w:t>
      </w:r>
      <w:r w:rsidRPr="00B213C7">
        <w:t>, že tuto službu uhradil</w:t>
      </w:r>
      <w:r>
        <w:t>,</w:t>
      </w:r>
      <w:r w:rsidRPr="00B213C7">
        <w:t xml:space="preserve"> a bude </w:t>
      </w:r>
      <w:r>
        <w:t>ji</w:t>
      </w:r>
      <w:r w:rsidRPr="00B213C7">
        <w:t xml:space="preserve"> od výrobců a </w:t>
      </w:r>
      <w:r>
        <w:t>posledních</w:t>
      </w:r>
      <w:r w:rsidRPr="00B213C7">
        <w:t xml:space="preserve"> prodejců vyžadovat. Toto opatření by mělo mimo jin</w:t>
      </w:r>
      <w:r>
        <w:t>é</w:t>
      </w:r>
      <w:r w:rsidRPr="00B213C7">
        <w:t xml:space="preserve"> přispět k</w:t>
      </w:r>
      <w:r>
        <w:t>e snížení množství</w:t>
      </w:r>
      <w:r w:rsidRPr="00B213C7">
        <w:t xml:space="preserve"> odpadních pneumatik </w:t>
      </w:r>
      <w:r>
        <w:t xml:space="preserve">odkládaných </w:t>
      </w:r>
      <w:r w:rsidRPr="00B213C7">
        <w:t>mimo místa zpětného odběru.</w:t>
      </w:r>
    </w:p>
    <w:p w:rsidR="00CC0F90" w:rsidRPr="00B213C7" w:rsidRDefault="00CC0F90" w:rsidP="00BD7946">
      <w:pPr>
        <w:keepNext/>
        <w:spacing w:before="240"/>
        <w:rPr>
          <w:b/>
        </w:rPr>
      </w:pPr>
      <w:r w:rsidRPr="00B213C7">
        <w:rPr>
          <w:b/>
        </w:rPr>
        <w:t>K § 11</w:t>
      </w:r>
      <w:r>
        <w:rPr>
          <w:b/>
        </w:rPr>
        <w:t>5</w:t>
      </w:r>
    </w:p>
    <w:p w:rsidR="00CC0F90" w:rsidRDefault="00CC0F90" w:rsidP="00CC0F90">
      <w:pPr>
        <w:spacing w:before="240"/>
      </w:pPr>
      <w:r>
        <w:t>Navrhovaný zákon nově řeší p</w:t>
      </w:r>
      <w:r w:rsidRPr="00B213C7">
        <w:t>roblematiku přeshraniční přepravy použitých pneumatik</w:t>
      </w:r>
      <w:r>
        <w:t>, a to obdobně jako v případě elektrozařízení s tím rozdílem, že u pneumatik odpadá nutnost úpravy ověřování funkčnosti a bezpečnosti použití</w:t>
      </w:r>
      <w:r w:rsidRPr="00B213C7">
        <w:t xml:space="preserve">. </w:t>
      </w:r>
      <w:r w:rsidRPr="004A5BE4">
        <w:t xml:space="preserve">Smyslem této právní úpravy je zamezit přeshraniční přepravě použitých </w:t>
      </w:r>
      <w:r w:rsidRPr="00B213C7">
        <w:t>pneumatik</w:t>
      </w:r>
      <w:r w:rsidRPr="004A5BE4">
        <w:t>, kter</w:t>
      </w:r>
      <w:r>
        <w:t>é</w:t>
      </w:r>
      <w:r w:rsidRPr="004A5BE4">
        <w:t xml:space="preserve"> nejsou přepravován</w:t>
      </w:r>
      <w:r>
        <w:t>y</w:t>
      </w:r>
      <w:r w:rsidRPr="004A5BE4">
        <w:t xml:space="preserve"> jako odpad, ale ve skutečnosti jím jsou.</w:t>
      </w:r>
      <w:r>
        <w:t xml:space="preserve"> Odpadní pneumatiky jsou takto nejčastěji nelegálně vyváženy z Evropy do rozvojových zemí, kde je s nimi nakládáno způsoby nevyhovujícími evropským standardům ochrany životního prostředí.</w:t>
      </w:r>
    </w:p>
    <w:p w:rsidR="00CC0F90" w:rsidRDefault="00CC0F90" w:rsidP="00CC0F90">
      <w:pPr>
        <w:spacing w:before="240"/>
      </w:pPr>
      <w:r w:rsidRPr="00B213C7">
        <w:lastRenderedPageBreak/>
        <w:t xml:space="preserve">Držitel je při přeshraniční přepravě použitých pneumatik povinen prokázat </w:t>
      </w:r>
      <w:r w:rsidRPr="004A5BE4">
        <w:t>na požádání</w:t>
      </w:r>
      <w:r w:rsidRPr="00B213C7">
        <w:t xml:space="preserve"> kontrolním orgánům, že přepravované pneumatiky nejsou odpadem. </w:t>
      </w:r>
      <w:r>
        <w:t xml:space="preserve">K tomu slouží především předepsané dokumenty, které musí být při přepravě k dispozici </w:t>
      </w:r>
      <w:r w:rsidRPr="004A5BE4">
        <w:t>celní</w:t>
      </w:r>
      <w:r>
        <w:t>m</w:t>
      </w:r>
      <w:r w:rsidRPr="004A5BE4">
        <w:t xml:space="preserve"> úřad</w:t>
      </w:r>
      <w:r>
        <w:t>ům</w:t>
      </w:r>
      <w:r w:rsidRPr="004A5BE4">
        <w:t xml:space="preserve"> </w:t>
      </w:r>
      <w:r>
        <w:t>a</w:t>
      </w:r>
      <w:r w:rsidRPr="004A5BE4">
        <w:t xml:space="preserve"> ČIŽP</w:t>
      </w:r>
      <w:r>
        <w:t>.</w:t>
      </w:r>
      <w:r w:rsidRPr="0018798D">
        <w:t xml:space="preserve"> </w:t>
      </w:r>
      <w:r w:rsidRPr="004A5BE4">
        <w:t xml:space="preserve">Jedná se o kopii daňového dokladu podle zákona o dani z přidané hodnoty a kopii příslušné smlouvy (typicky kupní), v níž musí být uvedeno, </w:t>
      </w:r>
      <w:r w:rsidRPr="005C358C">
        <w:t xml:space="preserve">že </w:t>
      </w:r>
      <w:r>
        <w:t>pneumatiky jsou určeny</w:t>
      </w:r>
      <w:r w:rsidRPr="005C358C">
        <w:t xml:space="preserve"> k přímému opětovnému použití</w:t>
      </w:r>
      <w:r w:rsidRPr="004A5BE4">
        <w:t xml:space="preserve">, a prohlášení držitele, </w:t>
      </w:r>
      <w:r w:rsidRPr="005C358C">
        <w:t>že přepravovan</w:t>
      </w:r>
      <w:r>
        <w:t>é</w:t>
      </w:r>
      <w:r w:rsidRPr="005C358C">
        <w:t xml:space="preserve"> </w:t>
      </w:r>
      <w:r>
        <w:t xml:space="preserve">pneumatiky </w:t>
      </w:r>
      <w:r w:rsidRPr="004A5BE4">
        <w:t>nejsou odpadem.</w:t>
      </w:r>
      <w:r w:rsidRPr="00F12921">
        <w:t xml:space="preserve"> </w:t>
      </w:r>
      <w:r w:rsidRPr="004A5BE4">
        <w:t xml:space="preserve">Dalším požadavkem, který navrhovaná právní úprava klade na přeshraniční přepravu použitých </w:t>
      </w:r>
      <w:r>
        <w:t>pneumatik</w:t>
      </w:r>
      <w:r w:rsidRPr="004A5BE4">
        <w:t xml:space="preserve">, je </w:t>
      </w:r>
      <w:r>
        <w:t>zajištění a uspořádání nákladu tak, aby nedošlo ke znehodnocení pneumatik pro přímé opětovné použití. Ze způsobu uložení pneumatik lze dovozovat, zda mohou být určeny k opětovnému použití, či zda je jejich opětovné použití v důsledku jejich znehodnocení vyloučeno (např. pneumatiky vpasované do sebe).</w:t>
      </w:r>
    </w:p>
    <w:p w:rsidR="00CC0F90" w:rsidRDefault="00CC0F90" w:rsidP="00CC0F90">
      <w:pPr>
        <w:spacing w:before="240"/>
      </w:pPr>
      <w:r>
        <w:t>Navrhovaný zákon dále stanoví kritérium míry opotřebení pneumatik, podle kterého se posoudí, zda v případě přeshraniční přepravy mohou pneumatiky sloužit k</w:t>
      </w:r>
      <w:r w:rsidRPr="00B213C7">
        <w:t> přímému opětovnému použití</w:t>
      </w:r>
      <w:r>
        <w:t xml:space="preserve">. Opotřebení pneumatik může dosahovat pouze takové míry, aby pneumatiky </w:t>
      </w:r>
      <w:r w:rsidRPr="00B213C7">
        <w:t>splň</w:t>
      </w:r>
      <w:r>
        <w:t>ovaly</w:t>
      </w:r>
      <w:r w:rsidRPr="00B213C7">
        <w:t xml:space="preserve"> požadavky </w:t>
      </w:r>
      <w:r>
        <w:t>stanovené na</w:t>
      </w:r>
      <w:r w:rsidRPr="004E714E">
        <w:t xml:space="preserve"> výbav</w:t>
      </w:r>
      <w:r>
        <w:t>u</w:t>
      </w:r>
      <w:r w:rsidRPr="004E714E">
        <w:t xml:space="preserve"> vozidla při </w:t>
      </w:r>
      <w:r w:rsidRPr="00B213C7">
        <w:t>provoz</w:t>
      </w:r>
      <w:r>
        <w:t>u</w:t>
      </w:r>
      <w:r w:rsidRPr="00B213C7">
        <w:t xml:space="preserve"> na pozemních komunikacích v</w:t>
      </w:r>
      <w:r>
        <w:t> České republice v</w:t>
      </w:r>
      <w:r w:rsidRPr="00442AB9">
        <w:t>yhlášk</w:t>
      </w:r>
      <w:r>
        <w:t>ou</w:t>
      </w:r>
      <w:r w:rsidRPr="00442AB9">
        <w:t xml:space="preserve"> č. 341/2014 Sb., o schvalování technické způsobilosti a o technických podmínkách provozu vozidel na pozemních komunikacích</w:t>
      </w:r>
      <w:r w:rsidRPr="00B213C7">
        <w:t xml:space="preserve">. </w:t>
      </w:r>
      <w:r>
        <w:t>Toto kritérium ovšem platí pouze pro účely tohoto zákona a nejsou jím dotčeny podmínky provozu na pozemních komunikacích stanovené zvláštními právními předpisy.</w:t>
      </w:r>
    </w:p>
    <w:p w:rsidR="00CC0F90" w:rsidRPr="00B213C7" w:rsidRDefault="00CC0F90" w:rsidP="00CC0F90">
      <w:pPr>
        <w:spacing w:before="240"/>
      </w:pPr>
      <w:r w:rsidRPr="004A5BE4">
        <w:t>Jestliže</w:t>
      </w:r>
      <w:r>
        <w:t xml:space="preserve"> nejsou stanovené požadavky splněny, </w:t>
      </w:r>
      <w:r w:rsidRPr="004A5BE4">
        <w:t xml:space="preserve">uplatní se nevyvratitelná právní domněnka, že </w:t>
      </w:r>
      <w:r>
        <w:t>přepravované pneumatiky</w:t>
      </w:r>
      <w:r w:rsidRPr="004A5BE4">
        <w:t xml:space="preserve"> jsou odpadními </w:t>
      </w:r>
      <w:r>
        <w:t>pneumatikami</w:t>
      </w:r>
      <w:r w:rsidRPr="004A5BE4">
        <w:t xml:space="preserve"> a jejich přeprava je nedovolenou přepravou odpadů podle přímo použitelného právního předpisu EU o přepravě odpadů (nařízení (ES) č. 1013/2006 o přepravě odpadů).</w:t>
      </w:r>
    </w:p>
    <w:p w:rsidR="00CC0F90" w:rsidRPr="00B213C7" w:rsidRDefault="00CC0F90" w:rsidP="00CC0F90">
      <w:pPr>
        <w:spacing w:before="240"/>
        <w:rPr>
          <w:b/>
        </w:rPr>
      </w:pPr>
      <w:r w:rsidRPr="00B213C7">
        <w:rPr>
          <w:b/>
        </w:rPr>
        <w:t>K § 11</w:t>
      </w:r>
      <w:r>
        <w:rPr>
          <w:b/>
        </w:rPr>
        <w:t>6</w:t>
      </w:r>
      <w:r w:rsidRPr="00B213C7">
        <w:rPr>
          <w:b/>
        </w:rPr>
        <w:t xml:space="preserve"> a 11</w:t>
      </w:r>
      <w:r>
        <w:rPr>
          <w:b/>
        </w:rPr>
        <w:t>7</w:t>
      </w:r>
    </w:p>
    <w:p w:rsidR="00CC0F90" w:rsidRDefault="00CC0F90" w:rsidP="00CC0F90">
      <w:pPr>
        <w:spacing w:before="240"/>
      </w:pPr>
      <w:r>
        <w:t>V</w:t>
      </w:r>
      <w:r w:rsidRPr="00B213C7">
        <w:t>ymez</w:t>
      </w:r>
      <w:r>
        <w:t>ení</w:t>
      </w:r>
      <w:r w:rsidRPr="00B213C7">
        <w:t xml:space="preserve"> </w:t>
      </w:r>
      <w:r w:rsidRPr="008107A4">
        <w:t>rozsahu věcné</w:t>
      </w:r>
      <w:r w:rsidRPr="00B213C7">
        <w:t xml:space="preserve"> působnosti a </w:t>
      </w:r>
      <w:r w:rsidRPr="008107A4">
        <w:t>definice</w:t>
      </w:r>
      <w:r w:rsidRPr="00B213C7">
        <w:t xml:space="preserve"> další</w:t>
      </w:r>
      <w:r>
        <w:t>ch</w:t>
      </w:r>
      <w:r w:rsidRPr="00B213C7">
        <w:t xml:space="preserve"> pojm</w:t>
      </w:r>
      <w:r>
        <w:t>ů</w:t>
      </w:r>
      <w:r w:rsidRPr="00B213C7">
        <w:t>, které se bezprostředně vztahují k</w:t>
      </w:r>
      <w:r>
        <w:t> dílu 4</w:t>
      </w:r>
      <w:r w:rsidRPr="008107A4">
        <w:t xml:space="preserve"> </w:t>
      </w:r>
      <w:r>
        <w:t xml:space="preserve">hlavy III, </w:t>
      </w:r>
      <w:r w:rsidRPr="008107A4">
        <w:t xml:space="preserve">vycházejí </w:t>
      </w:r>
      <w:r>
        <w:t xml:space="preserve">jednak </w:t>
      </w:r>
      <w:r w:rsidRPr="00B213C7">
        <w:t xml:space="preserve">ze </w:t>
      </w:r>
      <w:r>
        <w:t>s</w:t>
      </w:r>
      <w:r w:rsidRPr="00B213C7">
        <w:t>měrnice 2000/53/ES o vozidlech s ukončenou životností</w:t>
      </w:r>
      <w:r>
        <w:t xml:space="preserve"> a dále z potřeby komplexní úpravy nakládání s vozidly s ukončenou životností</w:t>
      </w:r>
      <w:r w:rsidRPr="00B213C7">
        <w:t xml:space="preserve">. </w:t>
      </w:r>
      <w:r>
        <w:t>N</w:t>
      </w:r>
      <w:r w:rsidRPr="00B213C7">
        <w:t>ad rámec směrnice</w:t>
      </w:r>
      <w:r>
        <w:t xml:space="preserve"> upravuje navrhovaný zákon především nakládání s tzv. ostatními vozidly</w:t>
      </w:r>
      <w:r w:rsidRPr="00E033D5">
        <w:t xml:space="preserve"> </w:t>
      </w:r>
      <w:r>
        <w:t>s </w:t>
      </w:r>
      <w:r w:rsidRPr="00F53F4D">
        <w:t>ukončenou životností</w:t>
      </w:r>
      <w:r>
        <w:t xml:space="preserve">. Rozsahu působnosti směrnice odpovídá vymezení pojmu vybrané vozidlo, zatímco </w:t>
      </w:r>
      <w:r w:rsidRPr="00B213C7">
        <w:t>ostatní</w:t>
      </w:r>
      <w:r>
        <w:t>m</w:t>
      </w:r>
      <w:r w:rsidRPr="00B213C7">
        <w:t xml:space="preserve"> vozidl</w:t>
      </w:r>
      <w:r>
        <w:t xml:space="preserve">em se rozumí jakékoliv jiné </w:t>
      </w:r>
      <w:r w:rsidRPr="00E2509F">
        <w:t>silniční motorov</w:t>
      </w:r>
      <w:r>
        <w:t>é</w:t>
      </w:r>
      <w:r w:rsidRPr="00E2509F">
        <w:t xml:space="preserve"> vozidl</w:t>
      </w:r>
      <w:r>
        <w:t>o</w:t>
      </w:r>
      <w:r w:rsidRPr="00E2509F">
        <w:t xml:space="preserve"> podle právních předpisů upravujících podmínky provozu vozidel na pozemních komunikacích</w:t>
      </w:r>
      <w:r>
        <w:t xml:space="preserve">, které není vybraným vozidlem. Do kategorie vybraných vozidel spadají zejména běžné osobní automobily a nákladní automobily </w:t>
      </w:r>
      <w:r w:rsidRPr="008E5E42">
        <w:t>s maximální hmotností nepřevyšující 3,5 tuny.</w:t>
      </w:r>
    </w:p>
    <w:p w:rsidR="00CC0F90" w:rsidRPr="00B213C7" w:rsidRDefault="00CC0F90" w:rsidP="00CC0F90">
      <w:pPr>
        <w:spacing w:before="240"/>
      </w:pPr>
      <w:r>
        <w:t>O</w:t>
      </w:r>
      <w:r w:rsidRPr="00B213C7">
        <w:t>puštěné vozidlo</w:t>
      </w:r>
      <w:r>
        <w:t xml:space="preserve"> </w:t>
      </w:r>
      <w:r w:rsidRPr="00E75600">
        <w:t>je vymezeno obdobně jako vrak podle zákona</w:t>
      </w:r>
      <w:r>
        <w:t xml:space="preserve"> č. 13/1997 Sb.,</w:t>
      </w:r>
      <w:r w:rsidRPr="00E75600">
        <w:t xml:space="preserve"> o pozemních komunikacích</w:t>
      </w:r>
      <w:r>
        <w:t>,</w:t>
      </w:r>
      <w:r w:rsidRPr="00E75600">
        <w:t xml:space="preserve"> ve znění z</w:t>
      </w:r>
      <w:r>
        <w:t>ákona</w:t>
      </w:r>
      <w:r w:rsidRPr="00E75600">
        <w:t xml:space="preserve"> č. 268/2015 Sb.</w:t>
      </w:r>
      <w:r>
        <w:t>,</w:t>
      </w:r>
      <w:r w:rsidRPr="00E75600">
        <w:t xml:space="preserve"> s tím rozdílem, že </w:t>
      </w:r>
      <w:r>
        <w:t>navrhovaným</w:t>
      </w:r>
      <w:r w:rsidRPr="00E75600">
        <w:t xml:space="preserve"> zákonem bude řešeno odstraňování takových vozidel nacházejí</w:t>
      </w:r>
      <w:r>
        <w:t>cích se mimo pozemní komunikace, pokud mohou</w:t>
      </w:r>
      <w:r w:rsidRPr="00BE6803">
        <w:t xml:space="preserve"> poškodit nebo ohrozit životní prostředí nebo zdraví lidí nebo naruš</w:t>
      </w:r>
      <w:r>
        <w:t>it</w:t>
      </w:r>
      <w:r w:rsidRPr="00BE6803">
        <w:t xml:space="preserve"> estetický vzhled obce, přírody nebo krajiny</w:t>
      </w:r>
      <w:r>
        <w:t xml:space="preserve">. Vyňata jsou vozidla nacházející se na pozemních komunikacích, neboť při jejich odstranění se postupuje podle </w:t>
      </w:r>
      <w:r w:rsidRPr="00E75600">
        <w:t>zákona</w:t>
      </w:r>
      <w:r>
        <w:t xml:space="preserve"> </w:t>
      </w:r>
      <w:r w:rsidRPr="00E75600">
        <w:t>o pozemních komunikacích</w:t>
      </w:r>
      <w:r>
        <w:t>.</w:t>
      </w:r>
    </w:p>
    <w:p w:rsidR="00CC0F90" w:rsidRPr="00B213C7" w:rsidRDefault="00CC0F90" w:rsidP="004E714B">
      <w:pPr>
        <w:keepNext/>
        <w:spacing w:before="240"/>
        <w:rPr>
          <w:b/>
        </w:rPr>
      </w:pPr>
      <w:r w:rsidRPr="00B213C7">
        <w:rPr>
          <w:b/>
        </w:rPr>
        <w:lastRenderedPageBreak/>
        <w:t>K § 11</w:t>
      </w:r>
      <w:r>
        <w:rPr>
          <w:b/>
        </w:rPr>
        <w:t>8</w:t>
      </w:r>
    </w:p>
    <w:p w:rsidR="00CC0F90" w:rsidRPr="00E81B1D" w:rsidRDefault="00CC0F90" w:rsidP="00CC0F90">
      <w:pPr>
        <w:spacing w:before="240"/>
      </w:pPr>
      <w:r w:rsidRPr="00E81B1D">
        <w:t xml:space="preserve">V případě vozidel se rozšířená odpovědnost výrobce uplatní pouze v omezeném rozsahu. Výrobce má podle navrhovaného zákona pouze povinnosti, které </w:t>
      </w:r>
      <w:r w:rsidRPr="009A6345">
        <w:t>pro něj vyplývají ze</w:t>
      </w:r>
      <w:r w:rsidRPr="00BC3116">
        <w:t xml:space="preserve"> směrnice 2000/53/ES</w:t>
      </w:r>
      <w:r w:rsidRPr="005A0080">
        <w:t xml:space="preserve">. </w:t>
      </w:r>
      <w:r w:rsidRPr="002C04B9">
        <w:t xml:space="preserve">Mezi tyto povinnosti patří zejména hrazení nákladů nebo jejich podstatné části nebo </w:t>
      </w:r>
      <w:r w:rsidRPr="0024360A">
        <w:t xml:space="preserve">zajištění bezplatného odběru, </w:t>
      </w:r>
      <w:r w:rsidRPr="00D4484D">
        <w:t xml:space="preserve">pokud by převzetí vybraného vozidla s ukončenou životností bylo </w:t>
      </w:r>
      <w:r w:rsidRPr="00B54249">
        <w:t>pro konečného uživatele zpoplatněno</w:t>
      </w:r>
      <w:r w:rsidRPr="00A77013">
        <w:t xml:space="preserve"> v důsledku toho</w:t>
      </w:r>
      <w:r w:rsidRPr="002D1CED">
        <w:t>, že má nulovou nebo zápornou tržní hodnotu</w:t>
      </w:r>
      <w:r w:rsidRPr="00E81B1D">
        <w:t>.</w:t>
      </w:r>
    </w:p>
    <w:p w:rsidR="00CC0F90" w:rsidRPr="00E81B1D" w:rsidRDefault="00CC0F90" w:rsidP="00CC0F90">
      <w:pPr>
        <w:spacing w:before="240"/>
      </w:pPr>
      <w:r w:rsidRPr="00E81B1D">
        <w:t>V</w:t>
      </w:r>
      <w:r w:rsidRPr="009A6345">
        <w:t xml:space="preserve">ýrobce je dále povinen informovat zpracovatele o </w:t>
      </w:r>
      <w:r w:rsidRPr="00BC3116">
        <w:t>správném postupu demontáže</w:t>
      </w:r>
      <w:r>
        <w:t xml:space="preserve"> a </w:t>
      </w:r>
      <w:r w:rsidRPr="00BC3116">
        <w:t>zpracování vybraných vozidel s ukončenou životností, které uvádí na trh.</w:t>
      </w:r>
      <w:r w:rsidRPr="002C04B9">
        <w:t xml:space="preserve"> Některé informace o</w:t>
      </w:r>
      <w:r w:rsidRPr="0024360A">
        <w:t xml:space="preserve"> vybraných vozidlech v souvislosti s ukončením jejich životnost</w:t>
      </w:r>
      <w:r w:rsidRPr="00D4484D">
        <w:t>i musí výrobce zpřístupnit také konečný</w:t>
      </w:r>
      <w:r w:rsidRPr="00B54249">
        <w:t>m uživatelům, a to ve formě propa</w:t>
      </w:r>
      <w:r>
        <w:t>gačních materiálů.</w:t>
      </w:r>
    </w:p>
    <w:p w:rsidR="00CC0F90" w:rsidRPr="00B213C7" w:rsidRDefault="00CC0F90" w:rsidP="00CC0F90">
      <w:pPr>
        <w:spacing w:before="240"/>
        <w:rPr>
          <w:b/>
        </w:rPr>
      </w:pPr>
      <w:r w:rsidRPr="00B213C7">
        <w:rPr>
          <w:b/>
        </w:rPr>
        <w:t>K § 11</w:t>
      </w:r>
      <w:r>
        <w:rPr>
          <w:b/>
        </w:rPr>
        <w:t>9</w:t>
      </w:r>
    </w:p>
    <w:p w:rsidR="00CC0F90" w:rsidRDefault="00CC0F90" w:rsidP="00CC0F90">
      <w:pPr>
        <w:spacing w:before="240"/>
      </w:pPr>
      <w:r>
        <w:t>Navrhovaný</w:t>
      </w:r>
      <w:r w:rsidRPr="00B213C7">
        <w:t xml:space="preserve"> zákon stanovuje povinnosti při </w:t>
      </w:r>
      <w:r>
        <w:t>zbavování se</w:t>
      </w:r>
      <w:r w:rsidRPr="00B213C7">
        <w:t> vozid</w:t>
      </w:r>
      <w:r>
        <w:t>e</w:t>
      </w:r>
      <w:r w:rsidRPr="00B213C7">
        <w:t>l s ukončenou životností</w:t>
      </w:r>
      <w:r>
        <w:t xml:space="preserve"> a některé další povinnosti při držení a přechovávání </w:t>
      </w:r>
      <w:r w:rsidRPr="00B213C7">
        <w:t>vozid</w:t>
      </w:r>
      <w:r>
        <w:t>e</w:t>
      </w:r>
      <w:r w:rsidRPr="00B213C7">
        <w:t>l s ukončenou životností</w:t>
      </w:r>
      <w:r>
        <w:t xml:space="preserve"> a při nakládání s ostatními </w:t>
      </w:r>
      <w:r w:rsidRPr="00B213C7">
        <w:t>vozidl</w:t>
      </w:r>
      <w:r>
        <w:t>y</w:t>
      </w:r>
      <w:r w:rsidRPr="00B213C7">
        <w:t xml:space="preserve"> s ukončenou životností. </w:t>
      </w:r>
      <w:r>
        <w:t>Základní povinností k</w:t>
      </w:r>
      <w:r w:rsidRPr="0024360A">
        <w:t>ažd</w:t>
      </w:r>
      <w:r>
        <w:t>ého</w:t>
      </w:r>
      <w:r w:rsidRPr="0024360A">
        <w:t>, kdo se zbavuje vozidla s ukončenou životností nebo jeho části, je předat</w:t>
      </w:r>
      <w:r>
        <w:t xml:space="preserve"> tyto</w:t>
      </w:r>
      <w:r w:rsidRPr="0024360A">
        <w:t xml:space="preserve"> pouze osobě oprávněné ke sběru vozidel s ukončenou životností.</w:t>
      </w:r>
      <w:r>
        <w:t xml:space="preserve"> Tím není dotčena možnost odevzdat samostatně ty části </w:t>
      </w:r>
      <w:r w:rsidRPr="0024360A">
        <w:t>vozidl</w:t>
      </w:r>
      <w:r>
        <w:t>a</w:t>
      </w:r>
      <w:r w:rsidRPr="0024360A">
        <w:t xml:space="preserve"> s ukončenou životností</w:t>
      </w:r>
      <w:r>
        <w:t xml:space="preserve">, které jsou elektrozařízením, baterií nebo akumulátorem nebo pneumatikou, ke zpětnému odběru v rámci příslušných systémů výrobců těchto vybraných výrobků. Naplňuje-li vozidlo ještě před předáním </w:t>
      </w:r>
      <w:r w:rsidRPr="0024360A">
        <w:t xml:space="preserve">oprávněné osobě </w:t>
      </w:r>
      <w:r>
        <w:t>definiční kritéria odpadu podle zákona o odpadech, je vlastník takového vozidla</w:t>
      </w:r>
      <w:r w:rsidRPr="00D4484D">
        <w:t xml:space="preserve"> s ukončenou životností</w:t>
      </w:r>
      <w:r>
        <w:t xml:space="preserve"> povinen </w:t>
      </w:r>
      <w:r w:rsidRPr="00D4484D">
        <w:t>umístit</w:t>
      </w:r>
      <w:r>
        <w:t xml:space="preserve"> je</w:t>
      </w:r>
      <w:r w:rsidRPr="00D4484D">
        <w:t xml:space="preserve"> na místo, kde nepoškodí nebo neohrozí životní prostředí nebo zdraví lidí a nenaruší estetický vzhled obce, přírody nebo krajiny</w:t>
      </w:r>
      <w:r>
        <w:t>. Totéž platí i pro podstatné části vozidla</w:t>
      </w:r>
      <w:r w:rsidRPr="00D4484D">
        <w:t xml:space="preserve"> s ukončenou životností</w:t>
      </w:r>
      <w:r>
        <w:t>. Na porušení této povinnosti navazuje právní úprava odstranění opuštěného vozidla v § 120.</w:t>
      </w:r>
    </w:p>
    <w:p w:rsidR="00CC0F90" w:rsidRDefault="00CC0F90" w:rsidP="00CC0F90">
      <w:pPr>
        <w:spacing w:before="240"/>
      </w:pPr>
      <w:r>
        <w:t>Navrhovaný zákon dále stanoví</w:t>
      </w:r>
      <w:r w:rsidRPr="00B213C7">
        <w:t>, že nikdo nesmí bez povolení provoz</w:t>
      </w:r>
      <w:r>
        <w:t>u</w:t>
      </w:r>
      <w:r w:rsidRPr="00B213C7">
        <w:t xml:space="preserve"> zařízení ke sběru </w:t>
      </w:r>
      <w:r>
        <w:t>nebo</w:t>
      </w:r>
      <w:r w:rsidRPr="00B213C7">
        <w:t xml:space="preserve"> zpracování vozidel s ukončenou životností držet nebo </w:t>
      </w:r>
      <w:r>
        <w:t>pře</w:t>
      </w:r>
      <w:r w:rsidRPr="00B213C7">
        <w:t>chovávat více než tři vybraná vozidla s ukončenou životností, která nejsou evidována v registru silničních vozidel</w:t>
      </w:r>
      <w:r>
        <w:t>. Důvodem tohoto omezení je snaha zabránit obcházení či porušování tohoto zákona v případech, kdy dochází fakticky ke sběru či zpracování vozidel s ukončenou životností bez patřičného povolení</w:t>
      </w:r>
      <w:r w:rsidRPr="00B213C7">
        <w:t xml:space="preserve">. </w:t>
      </w:r>
      <w:r>
        <w:t>Výjimkou nejsou případy přechovávání zjevně nepojízdných vozidel na soukromých pozemcích a jejich nekvalifikované demontáže, s čímž jsou spojena značná rizika pro zdraví lidí a životní prostředí (např. v důsledku kontaminace podzemních vod unikajícími provozními kapalinami).</w:t>
      </w:r>
    </w:p>
    <w:p w:rsidR="00CC0F90" w:rsidRDefault="00CC0F90" w:rsidP="00CC0F90">
      <w:pPr>
        <w:spacing w:before="240"/>
      </w:pPr>
      <w:r>
        <w:t>Výše uvedené však n</w:t>
      </w:r>
      <w:r w:rsidRPr="00B213C7">
        <w:t>eplatí pro historická vozidla</w:t>
      </w:r>
      <w:r>
        <w:t xml:space="preserve">, </w:t>
      </w:r>
      <w:r w:rsidRPr="005F07AD">
        <w:t>vozidla testovaná na historickou původnost</w:t>
      </w:r>
      <w:r w:rsidRPr="00B213C7">
        <w:t xml:space="preserve"> </w:t>
      </w:r>
      <w:r>
        <w:t>a</w:t>
      </w:r>
      <w:r w:rsidRPr="00B213C7">
        <w:t xml:space="preserve"> vozidla starší 40 let</w:t>
      </w:r>
      <w:r>
        <w:t>, jejichž uchovávání je odůvodněno sběratelskými účely nebo mají díly z nich pocházející sloužit pro účely renovace vozidla, které bude registrováno jako historické</w:t>
      </w:r>
      <w:r w:rsidRPr="00B213C7">
        <w:t xml:space="preserve">. </w:t>
      </w:r>
      <w:r>
        <w:t xml:space="preserve">Smyslem této výjimky je umožnit sběratelům historických vozidel výkon jejich zájmové činnosti, aniž by docházelo k porušování právních předpisů. </w:t>
      </w:r>
    </w:p>
    <w:p w:rsidR="00CC0F90" w:rsidRDefault="00CC0F90" w:rsidP="00CC0F90">
      <w:pPr>
        <w:spacing w:before="240"/>
      </w:pPr>
      <w:r>
        <w:lastRenderedPageBreak/>
        <w:t xml:space="preserve">Navrhovaný zákon umožňuje vlastníkům ostatních </w:t>
      </w:r>
      <w:r w:rsidRPr="00AB4A50">
        <w:t>vozid</w:t>
      </w:r>
      <w:r>
        <w:t>e</w:t>
      </w:r>
      <w:r w:rsidRPr="00AB4A50">
        <w:t>l s ukončenou životností</w:t>
      </w:r>
      <w:r>
        <w:t xml:space="preserve">, aby tato vozidla sami zpracovali </w:t>
      </w:r>
      <w:r w:rsidRPr="00AB4A50">
        <w:t>v souladu se zákonem o odpadech a zvláštními právními předpisy na ochranu životního prostředí a veřejného zdraví</w:t>
      </w:r>
      <w:r>
        <w:t xml:space="preserve">. Vlastník ostatního </w:t>
      </w:r>
      <w:r w:rsidRPr="00AB4A50">
        <w:t>vozidl</w:t>
      </w:r>
      <w:r>
        <w:t>a</w:t>
      </w:r>
      <w:r w:rsidRPr="00AB4A50">
        <w:t xml:space="preserve"> s ukončenou životností</w:t>
      </w:r>
      <w:r>
        <w:t xml:space="preserve"> však v takovém případě musí mít povolení provozu zařízení pro nakládání s odpady vydané příslušným krajským úřadem podle zákona o odpadech, neboť touto činností dochází ke zpracování odpadů. Této možnosti mohou využít například velcí provozovatelé autodopravy, zemědělské podniky atp. Nevyužije-li vlastník této možnosti, je povinen zbavit se ostatního </w:t>
      </w:r>
      <w:r w:rsidRPr="00AB4A50">
        <w:t>vozidl</w:t>
      </w:r>
      <w:r>
        <w:t>a</w:t>
      </w:r>
      <w:r w:rsidRPr="00AB4A50">
        <w:t xml:space="preserve"> s ukončenou životností</w:t>
      </w:r>
      <w:r>
        <w:t xml:space="preserve"> jeho předáním </w:t>
      </w:r>
      <w:r w:rsidRPr="0024360A">
        <w:t>osobě oprávněné ke sběru vozidel s ukončenou životností</w:t>
      </w:r>
      <w:r>
        <w:t>.</w:t>
      </w:r>
    </w:p>
    <w:p w:rsidR="00CC0F90" w:rsidRPr="00B213C7" w:rsidRDefault="00CC0F90" w:rsidP="00CC0F90">
      <w:pPr>
        <w:spacing w:before="240"/>
        <w:rPr>
          <w:b/>
        </w:rPr>
      </w:pPr>
      <w:r>
        <w:rPr>
          <w:b/>
        </w:rPr>
        <w:t>K § 120</w:t>
      </w:r>
    </w:p>
    <w:p w:rsidR="00CC0F90" w:rsidRPr="00B213C7" w:rsidRDefault="00CC0F90" w:rsidP="00CC0F90">
      <w:pPr>
        <w:spacing w:before="240"/>
      </w:pPr>
      <w:r>
        <w:t xml:space="preserve">Navrhovaným zákonem je upraven postup směřující k odstranění opuštěného vozidla – vozidla </w:t>
      </w:r>
      <w:r w:rsidRPr="00521C33">
        <w:t>zjevně technicky nezpůsobilé</w:t>
      </w:r>
      <w:r>
        <w:t>ho</w:t>
      </w:r>
      <w:r w:rsidRPr="00521C33">
        <w:t xml:space="preserve"> k provozu na pozemních komunikacích</w:t>
      </w:r>
      <w:r>
        <w:t xml:space="preserve">, které se nachází </w:t>
      </w:r>
      <w:r w:rsidRPr="00C13C4D">
        <w:t>mimo pozemní komunikaci na místě, kde může poškodit nebo ohrozit životní prostředí nebo zdraví lidí nebo kde narušuje estetický vz</w:t>
      </w:r>
      <w:r>
        <w:t xml:space="preserve">hled obce, přírody nebo krajiny. Tento postup spočívá v zásadě v umožnění vlastníkovi, aby opuštěné vozidlo sám odstranil, a v případě jeho nečinnosti odstranění opuštěného vozidla příslušným obecním úřadem na náklady vlastníka jeho předáním ke zpracování jako vozidla s ukončenou životností. Vzhledem k tomu, že v některých případech není možná identifikace opuštěného vozidla nebo jeho vlastníka, postačí v takových případech zveřejnit výzvu k odstranění opuštěného vozidla </w:t>
      </w:r>
      <w:r w:rsidRPr="004F7C69">
        <w:t>na úřední desce</w:t>
      </w:r>
      <w:r>
        <w:t xml:space="preserve"> obecního úřadu. Zákon umožní rovněž bezodkladné přemístění opuštěného vozidla na vybrané parkoviště, pokud takové vozidlo </w:t>
      </w:r>
      <w:r w:rsidRPr="004F7C69">
        <w:t>bezprostředně ohrožuje životní prostředí nebo zdraví lidí</w:t>
      </w:r>
      <w:r>
        <w:t xml:space="preserve"> (např. v důsledku unikajících provozních kapalin).</w:t>
      </w:r>
    </w:p>
    <w:p w:rsidR="00CC0F90" w:rsidRPr="00B213C7" w:rsidRDefault="00CC0F90" w:rsidP="00CC0F90">
      <w:pPr>
        <w:spacing w:before="240"/>
        <w:rPr>
          <w:b/>
        </w:rPr>
      </w:pPr>
      <w:r w:rsidRPr="00B213C7">
        <w:rPr>
          <w:b/>
        </w:rPr>
        <w:t>K § 1</w:t>
      </w:r>
      <w:r>
        <w:rPr>
          <w:b/>
        </w:rPr>
        <w:t>2</w:t>
      </w:r>
      <w:r w:rsidRPr="00B213C7">
        <w:rPr>
          <w:b/>
        </w:rPr>
        <w:t>1</w:t>
      </w:r>
      <w:r>
        <w:rPr>
          <w:b/>
        </w:rPr>
        <w:t xml:space="preserve"> a 122</w:t>
      </w:r>
    </w:p>
    <w:p w:rsidR="00CC0F90" w:rsidRDefault="00CC0F90" w:rsidP="00CC0F90">
      <w:pPr>
        <w:spacing w:before="240"/>
      </w:pPr>
      <w:r>
        <w:t>Ustanovením § 121 je stanoveno, kdo je oprávněn p</w:t>
      </w:r>
      <w:r w:rsidRPr="00B213C7">
        <w:t>řevzít vozidlo s ukončenou životností</w:t>
      </w:r>
      <w:r>
        <w:t xml:space="preserve"> a kdo je oprávněn </w:t>
      </w:r>
      <w:r w:rsidRPr="00B213C7">
        <w:t>vozidlo s ukončenou životností</w:t>
      </w:r>
      <w:r>
        <w:t xml:space="preserve"> zpracovat.</w:t>
      </w:r>
      <w:r w:rsidRPr="00B213C7">
        <w:t xml:space="preserve"> </w:t>
      </w:r>
      <w:r>
        <w:t>Uvedené činnosti lze vykonávat pouze v zařízeních k tomu určených, která jsou provozována na základě</w:t>
      </w:r>
      <w:r w:rsidRPr="00B213C7">
        <w:t xml:space="preserve"> povolení vydané</w:t>
      </w:r>
      <w:r>
        <w:t>ho</w:t>
      </w:r>
      <w:r w:rsidRPr="00B213C7">
        <w:t xml:space="preserve"> krajským úřadem </w:t>
      </w:r>
      <w:r>
        <w:t>po</w:t>
      </w:r>
      <w:r w:rsidRPr="00B213C7">
        <w:t>dle zákona o odpadech</w:t>
      </w:r>
      <w:r>
        <w:t xml:space="preserve">. </w:t>
      </w:r>
    </w:p>
    <w:p w:rsidR="00CC0F90" w:rsidRDefault="00CC0F90" w:rsidP="00CC0F90">
      <w:pPr>
        <w:spacing w:before="240"/>
      </w:pPr>
      <w:r>
        <w:t xml:space="preserve">Zákon rozlišuje mezi </w:t>
      </w:r>
      <w:r w:rsidRPr="0002694E">
        <w:t>provozovatel</w:t>
      </w:r>
      <w:r>
        <w:t>i</w:t>
      </w:r>
      <w:r w:rsidRPr="0002694E">
        <w:t xml:space="preserve"> zařízení</w:t>
      </w:r>
      <w:r>
        <w:t>, kteří mohou provádět pouze sběr</w:t>
      </w:r>
      <w:r w:rsidRPr="0002694E">
        <w:t xml:space="preserve"> vozidel s ukončenou životností</w:t>
      </w:r>
      <w:r>
        <w:t xml:space="preserve">, a zpracovateli, kteří jsou kromě zpracování vždy současně oprávněni </w:t>
      </w:r>
      <w:r w:rsidRPr="00B213C7">
        <w:t>ke sběru vozidel s ukončenou životností</w:t>
      </w:r>
      <w:r>
        <w:t xml:space="preserve"> (resp. z</w:t>
      </w:r>
      <w:r w:rsidRPr="0002694E">
        <w:t>ařízení ke zpracování vozidel s ukončenou životností je vždy zároveň zařízením ke sběru vozidel s ukončenou životností</w:t>
      </w:r>
      <w:r>
        <w:t>)</w:t>
      </w:r>
      <w:r w:rsidRPr="00B213C7">
        <w:t>.</w:t>
      </w:r>
      <w:r>
        <w:t xml:space="preserve"> Toto rozlišování souvisí s vymezením povinností při sběru a při zpracování </w:t>
      </w:r>
      <w:r w:rsidRPr="0002694E">
        <w:t xml:space="preserve">vozidel s ukončenou životností </w:t>
      </w:r>
      <w:r>
        <w:t>(§ 123 a 124).</w:t>
      </w:r>
    </w:p>
    <w:p w:rsidR="00CC0F90" w:rsidRDefault="00CC0F90" w:rsidP="00CC0F90">
      <w:pPr>
        <w:spacing w:before="240"/>
      </w:pPr>
      <w:r>
        <w:t xml:space="preserve">Přestože navrhovaný zákon stanoví provozovatelům zařízení </w:t>
      </w:r>
      <w:r w:rsidRPr="0002694E">
        <w:t>ke sběru nebo zpracování vozidel s ukončenou životností</w:t>
      </w:r>
      <w:r>
        <w:t xml:space="preserve"> řadu specifických povinností, neupravuje samostatně vydávání povolení provozu těchto zařízení, neboť pro tyto účely lze využít obecnou právní úpravu v zákoně o odpadech pouze s některými odchylkami v § 122. Povolovací režim by měl být v případě </w:t>
      </w:r>
      <w:r w:rsidRPr="0002694E">
        <w:t>vozidel s ukončenou životností</w:t>
      </w:r>
      <w:r>
        <w:t xml:space="preserve"> a jiných odpadů pokud možno co nejvíce jednotný.</w:t>
      </w:r>
    </w:p>
    <w:p w:rsidR="00CC0F90" w:rsidRDefault="00CC0F90" w:rsidP="00CC0F90">
      <w:pPr>
        <w:spacing w:before="240"/>
      </w:pPr>
      <w:r>
        <w:lastRenderedPageBreak/>
        <w:t>Odchylně od zákona o odpadech je upraveno zejména vydávání povolení na fixní dobu pěti let (s možností prodloužení) s tím, že tato doba může být kratší v závislosti na délce užívacího práva k provozovně,</w:t>
      </w:r>
      <w:r w:rsidRPr="002B7701">
        <w:t xml:space="preserve"> </w:t>
      </w:r>
      <w:r>
        <w:t>které žadatel doložil. Totéž platí</w:t>
      </w:r>
      <w:r w:rsidRPr="00B213C7">
        <w:t xml:space="preserve"> i v případě žádosti o prodloužení platnosti povolení.</w:t>
      </w:r>
    </w:p>
    <w:p w:rsidR="00CC0F90" w:rsidRDefault="00CC0F90" w:rsidP="00CC0F90">
      <w:pPr>
        <w:spacing w:before="240"/>
      </w:pPr>
      <w:r>
        <w:t xml:space="preserve">Jestliže žadatel žádá o vydání povolení provozu zařízení pouze ke sběru </w:t>
      </w:r>
      <w:r w:rsidRPr="00307631">
        <w:t>vozidel s ukončenou životností</w:t>
      </w:r>
      <w:r>
        <w:t xml:space="preserve"> a není již současně zpracovatelem (provozovatelem jiného zařízení ke </w:t>
      </w:r>
      <w:r w:rsidRPr="00307631">
        <w:t>zpracování</w:t>
      </w:r>
      <w:r>
        <w:t xml:space="preserve"> </w:t>
      </w:r>
      <w:r w:rsidRPr="00307631">
        <w:t>vozidel s ukončenou životností</w:t>
      </w:r>
      <w:r>
        <w:t xml:space="preserve">), </w:t>
      </w:r>
      <w:r w:rsidRPr="00B562CB">
        <w:t xml:space="preserve">musí k žádosti o vydání povolení přiložit </w:t>
      </w:r>
      <w:r>
        <w:t>smlouvu o </w:t>
      </w:r>
      <w:r w:rsidRPr="00B562CB">
        <w:t>přijímání vozidel s ukonče</w:t>
      </w:r>
      <w:r>
        <w:t xml:space="preserve">nou životností se zpracovatelem. Smyslem tohoto požadavku je zabezpečit, že všechna sebraná vozidla s ukončenou životností budou následně zpracována v souladu s tímto zákonem. </w:t>
      </w:r>
    </w:p>
    <w:p w:rsidR="00CC0F90" w:rsidRPr="00B213C7" w:rsidRDefault="00CC0F90" w:rsidP="00CC0F90">
      <w:pPr>
        <w:spacing w:before="240"/>
      </w:pPr>
      <w:r>
        <w:t xml:space="preserve">Specificky pro zařízení </w:t>
      </w:r>
      <w:r w:rsidRPr="00307631">
        <w:t>ke sběru vozidel s ukončenou životností</w:t>
      </w:r>
      <w:r w:rsidRPr="003F0C69">
        <w:t xml:space="preserve"> </w:t>
      </w:r>
      <w:r>
        <w:t>a zařízení ke</w:t>
      </w:r>
      <w:r w:rsidRPr="00307631">
        <w:t xml:space="preserve"> zpracování</w:t>
      </w:r>
      <w:r>
        <w:t xml:space="preserve"> </w:t>
      </w:r>
      <w:r w:rsidRPr="00307631">
        <w:t>vozidel s ukončenou životností</w:t>
      </w:r>
      <w:r>
        <w:t xml:space="preserve"> bude stanoven obsah provozního řádu, a to vyhláškou vydanou na základě tohoto zákona.</w:t>
      </w:r>
    </w:p>
    <w:p w:rsidR="00CC0F90" w:rsidRPr="00B213C7" w:rsidRDefault="00CC0F90" w:rsidP="00CC0F90">
      <w:pPr>
        <w:spacing w:before="240"/>
      </w:pPr>
      <w:r w:rsidRPr="00B213C7">
        <w:t xml:space="preserve">V případě, že zařízení </w:t>
      </w:r>
      <w:r>
        <w:t xml:space="preserve">slouží zároveň </w:t>
      </w:r>
      <w:r w:rsidRPr="0002694E">
        <w:t xml:space="preserve">ke sběru nebo zpracování </w:t>
      </w:r>
      <w:r w:rsidRPr="00B213C7">
        <w:t>jin</w:t>
      </w:r>
      <w:r>
        <w:t>ých</w:t>
      </w:r>
      <w:r w:rsidRPr="00B213C7">
        <w:t xml:space="preserve"> odpad</w:t>
      </w:r>
      <w:r>
        <w:t>ů</w:t>
      </w:r>
      <w:r w:rsidRPr="00B213C7">
        <w:t xml:space="preserve"> než vozid</w:t>
      </w:r>
      <w:r>
        <w:t>e</w:t>
      </w:r>
      <w:r w:rsidRPr="00B213C7">
        <w:t>l s ukončenou životností</w:t>
      </w:r>
      <w:r>
        <w:t>,</w:t>
      </w:r>
      <w:r w:rsidRPr="00B213C7">
        <w:t xml:space="preserve"> musí </w:t>
      </w:r>
      <w:r>
        <w:t xml:space="preserve">být </w:t>
      </w:r>
      <w:r w:rsidRPr="00B213C7">
        <w:t>s těmito odpady naklád</w:t>
      </w:r>
      <w:r>
        <w:t>áno</w:t>
      </w:r>
      <w:r w:rsidRPr="00B213C7">
        <w:t xml:space="preserve"> na oddělených plochách a musí být vedena oddělená evidence odpadů.</w:t>
      </w:r>
    </w:p>
    <w:p w:rsidR="00CC0F90" w:rsidRPr="00B213C7" w:rsidRDefault="00CC0F90" w:rsidP="00CC0F90">
      <w:pPr>
        <w:spacing w:before="240"/>
        <w:rPr>
          <w:b/>
        </w:rPr>
      </w:pPr>
      <w:r w:rsidRPr="00B213C7">
        <w:rPr>
          <w:b/>
        </w:rPr>
        <w:t>K § 12</w:t>
      </w:r>
      <w:r>
        <w:rPr>
          <w:b/>
        </w:rPr>
        <w:t>3</w:t>
      </w:r>
      <w:r w:rsidRPr="00B213C7">
        <w:rPr>
          <w:b/>
        </w:rPr>
        <w:t xml:space="preserve"> a 12</w:t>
      </w:r>
      <w:r>
        <w:rPr>
          <w:b/>
        </w:rPr>
        <w:t>4</w:t>
      </w:r>
    </w:p>
    <w:p w:rsidR="00CC0F90" w:rsidRDefault="00CC0F90" w:rsidP="00CC0F90">
      <w:pPr>
        <w:spacing w:before="240"/>
      </w:pPr>
      <w:r>
        <w:t>V § 123 jsou stanoveny povinnosti provozovatele z</w:t>
      </w:r>
      <w:r w:rsidRPr="00B213C7">
        <w:t xml:space="preserve">ařízení ke sběru vozidel s ukončenou životností </w:t>
      </w:r>
      <w:r>
        <w:t xml:space="preserve">nad rámec obecných povinností podle zákona o odpadech. Provozovatel zařízení ke sběru vozidel s ukončenou životností </w:t>
      </w:r>
      <w:r w:rsidRPr="00B213C7">
        <w:t>musí převzít veškerá vozidl</w:t>
      </w:r>
      <w:r>
        <w:t>a s ukončenou životností a </w:t>
      </w:r>
      <w:r w:rsidRPr="00B213C7">
        <w:t>jejich části</w:t>
      </w:r>
      <w:r>
        <w:t>. Pokud</w:t>
      </w:r>
      <w:r w:rsidRPr="00B213C7">
        <w:t xml:space="preserve"> vozidl</w:t>
      </w:r>
      <w:r>
        <w:t>a</w:t>
      </w:r>
      <w:r w:rsidRPr="00B213C7">
        <w:t xml:space="preserve"> s ukončenou životností obs</w:t>
      </w:r>
      <w:r>
        <w:t>ahují všechny podstatné části a </w:t>
      </w:r>
      <w:r w:rsidRPr="00B213C7">
        <w:t xml:space="preserve">neobsahují jiný odpad, musí být převzetí </w:t>
      </w:r>
      <w:r>
        <w:t xml:space="preserve">pro konečného uživatele </w:t>
      </w:r>
      <w:r w:rsidRPr="00B213C7">
        <w:t>zdarma.</w:t>
      </w:r>
    </w:p>
    <w:p w:rsidR="00CC0F90" w:rsidRPr="00B213C7" w:rsidRDefault="00CC0F90" w:rsidP="00CC0F90">
      <w:pPr>
        <w:spacing w:before="240"/>
      </w:pPr>
      <w:r>
        <w:t xml:space="preserve">Provozovatel zařízení ke sběru vozidel s ukončenou životností </w:t>
      </w:r>
      <w:r w:rsidRPr="00B213C7">
        <w:t xml:space="preserve">musí </w:t>
      </w:r>
      <w:r>
        <w:t xml:space="preserve">dále po ověření </w:t>
      </w:r>
      <w:r w:rsidRPr="00084869">
        <w:t>shod</w:t>
      </w:r>
      <w:r>
        <w:t>y</w:t>
      </w:r>
      <w:r w:rsidRPr="00084869">
        <w:t xml:space="preserve"> v identifikačním čísle VIN</w:t>
      </w:r>
      <w:r>
        <w:t xml:space="preserve"> </w:t>
      </w:r>
      <w:r w:rsidRPr="00084869">
        <w:t>vystavit bezplatně potvrzení o převzetí vozidla s ukončenou životností nebo neúplného vozid</w:t>
      </w:r>
      <w:r>
        <w:t xml:space="preserve">la. Toto </w:t>
      </w:r>
      <w:r w:rsidRPr="00B213C7">
        <w:t xml:space="preserve">potvrzení </w:t>
      </w:r>
      <w:r>
        <w:t xml:space="preserve">nelze vystavit </w:t>
      </w:r>
      <w:r w:rsidRPr="00B213C7">
        <w:t xml:space="preserve">v případě, že </w:t>
      </w:r>
      <w:r>
        <w:t xml:space="preserve">jsou předávány pouze takové části vozidla, které </w:t>
      </w:r>
      <w:r w:rsidRPr="00B213C7">
        <w:t>nelze označit alespoň za neúplné vozidlo</w:t>
      </w:r>
      <w:r>
        <w:t xml:space="preserve"> tak, jak je vymezeno v § 117 písm. k)</w:t>
      </w:r>
      <w:r w:rsidRPr="00B213C7">
        <w:t>.</w:t>
      </w:r>
      <w:r>
        <w:t xml:space="preserve"> </w:t>
      </w:r>
    </w:p>
    <w:p w:rsidR="00CC0F90" w:rsidRPr="00B213C7" w:rsidRDefault="00CC0F90" w:rsidP="00CC0F90">
      <w:pPr>
        <w:spacing w:before="240"/>
      </w:pPr>
      <w:r>
        <w:t>Provozovatel z</w:t>
      </w:r>
      <w:r w:rsidRPr="00B213C7">
        <w:t xml:space="preserve">ařízení ke sběru vozidel s ukončenou životností musí plnit </w:t>
      </w:r>
      <w:r>
        <w:t xml:space="preserve">i </w:t>
      </w:r>
      <w:r w:rsidRPr="00B213C7">
        <w:t>další povinnosti</w:t>
      </w:r>
      <w:r>
        <w:t>,</w:t>
      </w:r>
      <w:r w:rsidRPr="00B213C7">
        <w:t xml:space="preserve"> jako</w:t>
      </w:r>
      <w:r>
        <w:t xml:space="preserve"> například</w:t>
      </w:r>
      <w:r w:rsidRPr="00B213C7">
        <w:t xml:space="preserve"> znehodno</w:t>
      </w:r>
      <w:r>
        <w:t>tit</w:t>
      </w:r>
      <w:r w:rsidRPr="00B213C7">
        <w:t xml:space="preserve"> </w:t>
      </w:r>
      <w:r w:rsidRPr="00B42918">
        <w:t>identifikační číslo</w:t>
      </w:r>
      <w:r w:rsidRPr="00B213C7">
        <w:t xml:space="preserve"> VIN, </w:t>
      </w:r>
      <w:r>
        <w:t xml:space="preserve">soustřeďovat a </w:t>
      </w:r>
      <w:r w:rsidRPr="00B213C7">
        <w:t>skladov</w:t>
      </w:r>
      <w:r>
        <w:t>at</w:t>
      </w:r>
      <w:r w:rsidRPr="00B213C7">
        <w:t xml:space="preserve"> vozidl</w:t>
      </w:r>
      <w:r>
        <w:t>a</w:t>
      </w:r>
      <w:r w:rsidRPr="00B213C7">
        <w:t xml:space="preserve"> s ukončenou životností v souladu s</w:t>
      </w:r>
      <w:r>
        <w:t xml:space="preserve"> požadavky stanovenými </w:t>
      </w:r>
      <w:r w:rsidRPr="00B213C7">
        <w:t>prováděcím právním předpisem, pořizov</w:t>
      </w:r>
      <w:r>
        <w:t>at</w:t>
      </w:r>
      <w:r w:rsidRPr="00B213C7">
        <w:t xml:space="preserve"> fotodokumentac</w:t>
      </w:r>
      <w:r>
        <w:t>i</w:t>
      </w:r>
      <w:r w:rsidRPr="00B213C7">
        <w:t xml:space="preserve"> přijímaných vozidel s ukončenou životností</w:t>
      </w:r>
      <w:r>
        <w:t xml:space="preserve"> atd</w:t>
      </w:r>
      <w:r w:rsidRPr="00B213C7">
        <w:t>.</w:t>
      </w:r>
      <w:r>
        <w:t xml:space="preserve"> Provozovatel z</w:t>
      </w:r>
      <w:r w:rsidRPr="00B213C7">
        <w:t xml:space="preserve">ařízení ke </w:t>
      </w:r>
      <w:r>
        <w:t>sběru v</w:t>
      </w:r>
      <w:r w:rsidRPr="00B213C7">
        <w:t>ozid</w:t>
      </w:r>
      <w:r>
        <w:t>e</w:t>
      </w:r>
      <w:r w:rsidRPr="00B213C7">
        <w:t xml:space="preserve">l s ukončenou životností </w:t>
      </w:r>
      <w:r>
        <w:t>musí po provedení příslušných operací a splnění stanovených povinností</w:t>
      </w:r>
      <w:r w:rsidRPr="00B213C7">
        <w:t xml:space="preserve"> předat </w:t>
      </w:r>
      <w:r>
        <w:t xml:space="preserve">vozidlo s ukončenou životností </w:t>
      </w:r>
      <w:r w:rsidRPr="00B213C7">
        <w:t>pouze zpracovateli, pokud jím sám není</w:t>
      </w:r>
      <w:r>
        <w:t>. Provozovatel z</w:t>
      </w:r>
      <w:r w:rsidRPr="00B213C7">
        <w:t xml:space="preserve">ařízení ke </w:t>
      </w:r>
      <w:r>
        <w:t>sběru vozidel s ukončenou životností</w:t>
      </w:r>
      <w:r w:rsidRPr="00B213C7">
        <w:t xml:space="preserve"> nesmí provádět žádné demontážní práce</w:t>
      </w:r>
      <w:r>
        <w:t xml:space="preserve"> vyjma </w:t>
      </w:r>
      <w:r w:rsidRPr="00B213C7">
        <w:t>odpojení baterie</w:t>
      </w:r>
      <w:r>
        <w:t xml:space="preserve"> a znehodnocení VIN kódu</w:t>
      </w:r>
      <w:r w:rsidRPr="00B213C7">
        <w:t>.</w:t>
      </w:r>
    </w:p>
    <w:p w:rsidR="00CC0F90" w:rsidRDefault="00CC0F90" w:rsidP="00CC0F90">
      <w:pPr>
        <w:spacing w:before="240"/>
      </w:pPr>
      <w:r>
        <w:t xml:space="preserve">Ustanovení § 124 stanoví povinnosti zpracovatele vozidel s ukončenou životností nad rámec obecných povinností podle zákona o odpadech při demontáži a zpracování vozidel s ukončenou životností. Tyto povinnosti vycházejí ze směrnice 2000/53/ES, přičemž </w:t>
      </w:r>
      <w:r>
        <w:lastRenderedPageBreak/>
        <w:t>konkrétní technické požadavky na demontáž a zpracování vozidel s ukončenou životností budou stanoveny prováděcím právním předpisem.</w:t>
      </w:r>
      <w:r w:rsidRPr="00B213C7">
        <w:t xml:space="preserve"> Z</w:t>
      </w:r>
      <w:r>
        <w:t>pracovatel je rovněž</w:t>
      </w:r>
      <w:r w:rsidRPr="00B213C7">
        <w:t xml:space="preserve"> </w:t>
      </w:r>
      <w:r>
        <w:t xml:space="preserve">v souladu s uvedenou směrnicí </w:t>
      </w:r>
      <w:r w:rsidRPr="00B213C7">
        <w:t xml:space="preserve">povinen zajistit v každém kalendářním roce </w:t>
      </w:r>
      <w:r>
        <w:t xml:space="preserve">splnění </w:t>
      </w:r>
      <w:r w:rsidRPr="00B213C7">
        <w:t>cíl</w:t>
      </w:r>
      <w:r>
        <w:t>ů</w:t>
      </w:r>
      <w:r w:rsidRPr="00B213C7">
        <w:t xml:space="preserve"> </w:t>
      </w:r>
      <w:r>
        <w:t xml:space="preserve">pro </w:t>
      </w:r>
      <w:r w:rsidRPr="00B213C7">
        <w:t>opětovné použití</w:t>
      </w:r>
      <w:r>
        <w:t>,</w:t>
      </w:r>
      <w:r w:rsidRPr="00B213C7">
        <w:t xml:space="preserve"> využití </w:t>
      </w:r>
      <w:r>
        <w:t xml:space="preserve">a recyklaci </w:t>
      </w:r>
      <w:r w:rsidRPr="00B213C7">
        <w:t xml:space="preserve">z průměrné hmotnosti všech </w:t>
      </w:r>
      <w:r>
        <w:t xml:space="preserve">převzatých </w:t>
      </w:r>
      <w:r w:rsidRPr="00B213C7">
        <w:t xml:space="preserve">vybraných </w:t>
      </w:r>
      <w:r>
        <w:t>vozidel s ukončenou životností</w:t>
      </w:r>
      <w:r w:rsidRPr="00B213C7">
        <w:t>.</w:t>
      </w:r>
    </w:p>
    <w:p w:rsidR="00CC0F90" w:rsidRPr="00B213C7" w:rsidRDefault="00CC0F90" w:rsidP="00CC0F90">
      <w:pPr>
        <w:spacing w:before="240"/>
      </w:pPr>
      <w:r>
        <w:t xml:space="preserve">Povinnost </w:t>
      </w:r>
      <w:r w:rsidRPr="00D5675E">
        <w:t xml:space="preserve">vést průběžnou evidenci </w:t>
      </w:r>
      <w:r w:rsidRPr="00D5675E">
        <w:rPr>
          <w:bCs/>
        </w:rPr>
        <w:t xml:space="preserve">o odpadech a způsobech nakládání s nimi a zasílat příslušnému správnímu úřadu hlášení o druzích a množství odpadů a o způsobech </w:t>
      </w:r>
      <w:r>
        <w:rPr>
          <w:bCs/>
        </w:rPr>
        <w:t xml:space="preserve">nakládání s nimi je zvlášť zakotvena v navrhovaném zákoně, přestože je stanovena i zákonem o odpadech, a to z toho důvodu, že rozsah a způsob vedení průběžné evidence a ohlašování odpadů bude upraven pro zařízení ke sběru nebo zpracování </w:t>
      </w:r>
      <w:r w:rsidRPr="00B213C7">
        <w:t>vozidel s ukončenou životností</w:t>
      </w:r>
      <w:r>
        <w:rPr>
          <w:bCs/>
        </w:rPr>
        <w:t xml:space="preserve"> samostatně vyhláškou vydanou k provedení navrhovaného zákona (obdobně je tato problematika dnes součástí vyhlášky č. 352/2008 Sb., o podrobnostech nakládání s </w:t>
      </w:r>
      <w:r w:rsidRPr="0001170D">
        <w:rPr>
          <w:bCs/>
        </w:rPr>
        <w:t>autovraky</w:t>
      </w:r>
      <w:r w:rsidRPr="000C3B64">
        <w:rPr>
          <w:bCs/>
        </w:rPr>
        <w:t>)</w:t>
      </w:r>
      <w:r>
        <w:rPr>
          <w:bCs/>
        </w:rPr>
        <w:t>.</w:t>
      </w:r>
    </w:p>
    <w:p w:rsidR="00CC0F90" w:rsidRPr="00B213C7" w:rsidRDefault="00CC0F90" w:rsidP="00CC0F90">
      <w:pPr>
        <w:spacing w:before="240"/>
        <w:rPr>
          <w:b/>
        </w:rPr>
      </w:pPr>
      <w:r w:rsidRPr="00B213C7">
        <w:rPr>
          <w:b/>
        </w:rPr>
        <w:t>K § 12</w:t>
      </w:r>
      <w:r>
        <w:rPr>
          <w:b/>
        </w:rPr>
        <w:t>5</w:t>
      </w:r>
    </w:p>
    <w:p w:rsidR="00CC0F90" w:rsidRDefault="00CC0F90" w:rsidP="00CC0F90">
      <w:pPr>
        <w:spacing w:before="240"/>
      </w:pPr>
      <w:r w:rsidRPr="00B213C7">
        <w:t xml:space="preserve">Ke kontrole plnění požadavků tohoto zákona ve vztahu k vozidlům s ukončenou životností je nutné vytvořit informační systém, do kterého budou všechny zainteresované </w:t>
      </w:r>
      <w:r>
        <w:t>subjekty</w:t>
      </w:r>
      <w:r w:rsidRPr="00B213C7">
        <w:t xml:space="preserve"> přistupovat a vkládat stanovené </w:t>
      </w:r>
      <w:r>
        <w:t>údaje:</w:t>
      </w:r>
      <w:r w:rsidRPr="00B213C7">
        <w:t xml:space="preserve"> </w:t>
      </w:r>
      <w:r>
        <w:t>v</w:t>
      </w:r>
      <w:r w:rsidRPr="00B213C7">
        <w:t xml:space="preserve">ýrobci </w:t>
      </w:r>
      <w:r>
        <w:t xml:space="preserve">údaje </w:t>
      </w:r>
      <w:r>
        <w:rPr>
          <w:color w:val="000000"/>
          <w:lang w:eastAsia="cs-CZ"/>
        </w:rPr>
        <w:t>nezbytné pro</w:t>
      </w:r>
      <w:r w:rsidRPr="00B213C7">
        <w:t xml:space="preserve"> demontáž, </w:t>
      </w:r>
      <w:r>
        <w:t xml:space="preserve">krajské úřady údaje o vydaných povoleních </w:t>
      </w:r>
      <w:r w:rsidRPr="00307631">
        <w:t>provoz</w:t>
      </w:r>
      <w:r>
        <w:t>u</w:t>
      </w:r>
      <w:r w:rsidRPr="00F04620">
        <w:rPr>
          <w:color w:val="000000"/>
          <w:lang w:eastAsia="cs-CZ"/>
        </w:rPr>
        <w:t xml:space="preserve"> zařízení ke sběru nebo zpracování</w:t>
      </w:r>
      <w:r>
        <w:rPr>
          <w:color w:val="000000"/>
          <w:lang w:eastAsia="cs-CZ"/>
        </w:rPr>
        <w:t xml:space="preserve"> </w:t>
      </w:r>
      <w:r w:rsidRPr="0021163E">
        <w:rPr>
          <w:bCs/>
          <w:color w:val="000000"/>
          <w:lang w:eastAsia="cs-CZ"/>
        </w:rPr>
        <w:t>vozidel s ukončenou životností</w:t>
      </w:r>
      <w:r>
        <w:rPr>
          <w:bCs/>
          <w:color w:val="000000"/>
          <w:lang w:eastAsia="cs-CZ"/>
        </w:rPr>
        <w:t>,</w:t>
      </w:r>
      <w:r w:rsidRPr="00E032ED">
        <w:rPr>
          <w:color w:val="000000"/>
          <w:lang w:eastAsia="cs-CZ"/>
        </w:rPr>
        <w:t xml:space="preserve"> </w:t>
      </w:r>
      <w:r>
        <w:rPr>
          <w:color w:val="000000"/>
          <w:lang w:eastAsia="cs-CZ"/>
        </w:rPr>
        <w:t>provozovatelé</w:t>
      </w:r>
      <w:r w:rsidRPr="00B213C7">
        <w:t xml:space="preserve"> zařízení </w:t>
      </w:r>
      <w:r w:rsidRPr="00E032ED">
        <w:rPr>
          <w:color w:val="000000"/>
          <w:lang w:eastAsia="cs-CZ"/>
        </w:rPr>
        <w:t>ke sběru vozidel s ukončenou životností</w:t>
      </w:r>
      <w:r>
        <w:rPr>
          <w:color w:val="000000"/>
          <w:lang w:eastAsia="cs-CZ"/>
        </w:rPr>
        <w:t xml:space="preserve"> </w:t>
      </w:r>
      <w:r w:rsidRPr="00B213C7">
        <w:t>informace o</w:t>
      </w:r>
      <w:r>
        <w:t> </w:t>
      </w:r>
      <w:r w:rsidRPr="00B213C7">
        <w:t xml:space="preserve">převzatých vozidlech s ukončenou životností a </w:t>
      </w:r>
      <w:r w:rsidRPr="00544583">
        <w:t xml:space="preserve">o osobách, od kterých byla vozidla s ukončenou životností převzata, a </w:t>
      </w:r>
      <w:r w:rsidRPr="00B213C7">
        <w:t xml:space="preserve">zpracovatelé </w:t>
      </w:r>
      <w:r>
        <w:t xml:space="preserve">údaje </w:t>
      </w:r>
      <w:r w:rsidRPr="00B213C7">
        <w:t>o postupu zpracování</w:t>
      </w:r>
      <w:r>
        <w:t>,</w:t>
      </w:r>
      <w:r w:rsidRPr="00B213C7">
        <w:t xml:space="preserve"> produkci opětovn</w:t>
      </w:r>
      <w:r>
        <w:t>ě použitelných</w:t>
      </w:r>
      <w:r w:rsidRPr="00B213C7">
        <w:t xml:space="preserve"> dílů a odpadů vzniklých při zpracování vozidel s ukončenou životností, tak </w:t>
      </w:r>
      <w:r>
        <w:t>aby bylo</w:t>
      </w:r>
      <w:r w:rsidRPr="00B213C7">
        <w:t xml:space="preserve"> zřejmé, </w:t>
      </w:r>
      <w:r>
        <w:t>zda</w:t>
      </w:r>
      <w:r w:rsidRPr="00B213C7">
        <w:t xml:space="preserve"> byly splněny cíle stanovené směrnicí</w:t>
      </w:r>
      <w:r>
        <w:t xml:space="preserve"> 2000/53/ES</w:t>
      </w:r>
      <w:r w:rsidRPr="00B213C7">
        <w:t xml:space="preserve">. </w:t>
      </w:r>
      <w:r>
        <w:rPr>
          <w:color w:val="000000"/>
          <w:lang w:eastAsia="cs-CZ"/>
        </w:rPr>
        <w:t xml:space="preserve">Informační systém pro vedení informací o vozidlech s ukončenou životností vznikne rozšířením dosavadního </w:t>
      </w:r>
      <w:r w:rsidRPr="00EF7C24">
        <w:t>informační</w:t>
      </w:r>
      <w:r>
        <w:t>ho</w:t>
      </w:r>
      <w:r w:rsidRPr="00EF7C24">
        <w:t xml:space="preserve"> systém</w:t>
      </w:r>
      <w:r>
        <w:t>u</w:t>
      </w:r>
      <w:r w:rsidRPr="00EF7C24">
        <w:t xml:space="preserve"> sledování toků vybraných autovraků</w:t>
      </w:r>
      <w:r>
        <w:t>.</w:t>
      </w:r>
    </w:p>
    <w:p w:rsidR="00CC0F90" w:rsidRPr="00B213C7" w:rsidRDefault="00CC0F90" w:rsidP="00CC0F90">
      <w:pPr>
        <w:spacing w:before="240"/>
      </w:pPr>
      <w:r>
        <w:t xml:space="preserve">Informační systém bude částečně veřejně přístupný způsobem umožňujícím dálkový přístup, pokud jde o základní informace o </w:t>
      </w:r>
      <w:r w:rsidRPr="00F04620">
        <w:rPr>
          <w:color w:val="000000"/>
          <w:lang w:eastAsia="cs-CZ"/>
        </w:rPr>
        <w:t>zařízení</w:t>
      </w:r>
      <w:r>
        <w:rPr>
          <w:color w:val="000000"/>
          <w:lang w:eastAsia="cs-CZ"/>
        </w:rPr>
        <w:t>ch</w:t>
      </w:r>
      <w:r w:rsidRPr="00F04620">
        <w:rPr>
          <w:color w:val="000000"/>
          <w:lang w:eastAsia="cs-CZ"/>
        </w:rPr>
        <w:t xml:space="preserve"> ke sběru nebo zpracování</w:t>
      </w:r>
      <w:r>
        <w:rPr>
          <w:color w:val="000000"/>
          <w:lang w:eastAsia="cs-CZ"/>
        </w:rPr>
        <w:t xml:space="preserve"> </w:t>
      </w:r>
      <w:r w:rsidRPr="0021163E">
        <w:rPr>
          <w:bCs/>
          <w:color w:val="000000"/>
          <w:lang w:eastAsia="cs-CZ"/>
        </w:rPr>
        <w:t>vozidel s ukončenou životností</w:t>
      </w:r>
      <w:r>
        <w:t xml:space="preserve"> a jejich provozovatelích, ostatní údaje budou přístupné pouze </w:t>
      </w:r>
      <w:r w:rsidRPr="00DE0944">
        <w:t>správním úřadům vykonávajícím státní správu na úseku předcházení vzniku odpadů z vybraných výrobků a nakládání s výrobky s ukončenou životností</w:t>
      </w:r>
      <w:r>
        <w:t xml:space="preserve"> a obecním úřadům obcí s rozšířenou působností pro účely zápisu skutečností do registru silničních vozidel.</w:t>
      </w:r>
    </w:p>
    <w:p w:rsidR="00CC0F90" w:rsidRPr="00B213C7" w:rsidRDefault="00CC0F90" w:rsidP="004E714B">
      <w:pPr>
        <w:keepNext/>
        <w:spacing w:before="240"/>
        <w:rPr>
          <w:b/>
        </w:rPr>
      </w:pPr>
      <w:r w:rsidRPr="00B213C7">
        <w:rPr>
          <w:b/>
        </w:rPr>
        <w:t>K § 12</w:t>
      </w:r>
      <w:r>
        <w:rPr>
          <w:b/>
        </w:rPr>
        <w:t>6</w:t>
      </w:r>
    </w:p>
    <w:p w:rsidR="00CC0F90" w:rsidRDefault="00CC0F90" w:rsidP="00CC0F90">
      <w:pPr>
        <w:spacing w:before="240"/>
      </w:pPr>
      <w:r w:rsidRPr="00B213C7">
        <w:t>V</w:t>
      </w:r>
      <w:r>
        <w:t xml:space="preserve">zhledem k tomu, že návrh zákona neumožňuje, aby vozidlo s ukončenou životností mohlo být předáno jiné osobě než zpracovateli, je nutné stanovit z tohoto pravidla výjimku, aby bylo možné legálně poskytovat vozidla s ukončenou životností subjektům, pro které jsou tato vozidla </w:t>
      </w:r>
      <w:r w:rsidRPr="008C7EDA">
        <w:rPr>
          <w:i/>
        </w:rPr>
        <w:t>de facto</w:t>
      </w:r>
      <w:r>
        <w:t xml:space="preserve"> jedinou možnou pomůckou pro nácvik či výuku jimi vykonávaných činností. </w:t>
      </w:r>
    </w:p>
    <w:p w:rsidR="00CC0F90" w:rsidRPr="00B213C7" w:rsidRDefault="00CC0F90" w:rsidP="00CC0F90">
      <w:pPr>
        <w:spacing w:before="240"/>
      </w:pPr>
      <w:r>
        <w:t>V</w:t>
      </w:r>
      <w:r w:rsidRPr="00B213C7">
        <w:t xml:space="preserve">ozidlo s ukončenou životností převzaté do zařízení </w:t>
      </w:r>
      <w:r>
        <w:t>ke zpracování vozidel s ukončenou životností a </w:t>
      </w:r>
      <w:r w:rsidRPr="00B213C7">
        <w:t>zbavené nebezpečných látek je mož</w:t>
      </w:r>
      <w:r>
        <w:t xml:space="preserve">né na základě písemné smlouvy </w:t>
      </w:r>
      <w:r w:rsidRPr="00B213C7">
        <w:t xml:space="preserve">poskytnout </w:t>
      </w:r>
      <w:r w:rsidRPr="00B213C7">
        <w:lastRenderedPageBreak/>
        <w:t>k výcviku či výuce složkám integrovaného záchranného sytému či školám v  oborech souvisejících s</w:t>
      </w:r>
      <w:r>
        <w:t xml:space="preserve"> konstrukcí a </w:t>
      </w:r>
      <w:r w:rsidRPr="00B213C7">
        <w:t>opravárenstvím</w:t>
      </w:r>
      <w:r>
        <w:t xml:space="preserve"> automobilů</w:t>
      </w:r>
      <w:r w:rsidRPr="00B213C7">
        <w:t>. Vozi</w:t>
      </w:r>
      <w:r>
        <w:t>d</w:t>
      </w:r>
      <w:r w:rsidRPr="00B213C7">
        <w:t>la</w:t>
      </w:r>
      <w:r w:rsidRPr="00570B1A">
        <w:t xml:space="preserve"> </w:t>
      </w:r>
      <w:r w:rsidRPr="00B213C7">
        <w:t xml:space="preserve">s ukončenou životností </w:t>
      </w:r>
      <w:r>
        <w:t>musejí být</w:t>
      </w:r>
      <w:r w:rsidRPr="00B213C7">
        <w:t xml:space="preserve"> po ukončení </w:t>
      </w:r>
      <w:r>
        <w:t>smluvených činností</w:t>
      </w:r>
      <w:r w:rsidRPr="00B213C7">
        <w:t xml:space="preserve"> vrá</w:t>
      </w:r>
      <w:r>
        <w:t>cena</w:t>
      </w:r>
      <w:r w:rsidRPr="00B213C7">
        <w:t xml:space="preserve"> zpět </w:t>
      </w:r>
      <w:r>
        <w:t>zpracovateli</w:t>
      </w:r>
      <w:r w:rsidRPr="00B213C7">
        <w:t>.</w:t>
      </w:r>
    </w:p>
    <w:p w:rsidR="00CC0F90" w:rsidRPr="00B213C7" w:rsidRDefault="00CC0F90" w:rsidP="004E714B">
      <w:pPr>
        <w:keepNext/>
        <w:spacing w:before="240"/>
        <w:rPr>
          <w:b/>
        </w:rPr>
      </w:pPr>
      <w:r w:rsidRPr="00B213C7">
        <w:rPr>
          <w:b/>
        </w:rPr>
        <w:t>K § 12</w:t>
      </w:r>
      <w:r>
        <w:rPr>
          <w:b/>
        </w:rPr>
        <w:t>7</w:t>
      </w:r>
    </w:p>
    <w:p w:rsidR="00CC0F90" w:rsidRDefault="00CC0F90" w:rsidP="00CC0F90">
      <w:pPr>
        <w:spacing w:before="240"/>
      </w:pPr>
      <w:r>
        <w:t>Toto</w:t>
      </w:r>
      <w:r w:rsidRPr="00B213C7">
        <w:t xml:space="preserve"> </w:t>
      </w:r>
      <w:r>
        <w:t>ustanovení</w:t>
      </w:r>
      <w:r w:rsidRPr="00B213C7">
        <w:t xml:space="preserve"> plní nařízení vlády</w:t>
      </w:r>
      <w:r>
        <w:t xml:space="preserve"> </w:t>
      </w:r>
      <w:r w:rsidRPr="00113749">
        <w:t>ze dne 9. listopadu 2011</w:t>
      </w:r>
      <w:r w:rsidRPr="00B213C7">
        <w:t xml:space="preserve"> č. 819</w:t>
      </w:r>
      <w:r>
        <w:t>, když</w:t>
      </w:r>
      <w:r w:rsidRPr="00B213C7">
        <w:t xml:space="preserve"> posouvá hranici pro placení poplatku na emisní normu EURO 3</w:t>
      </w:r>
      <w:r>
        <w:t xml:space="preserve"> při registraci vozidla</w:t>
      </w:r>
      <w:r w:rsidRPr="00B213C7">
        <w:t>.</w:t>
      </w:r>
      <w:r>
        <w:t xml:space="preserve"> Důvodem pro tuto změnu je veřejný zájem na ochraně životního prostředí, pokud jde konkrétně o ochranu ovzduší před znečištěním emisemi pocházejícími ze silniční dopravy. Poplatek představuje nástroj ekonomické stimulace, kdy ekologicky šetrnější chování je od poplatku osvobozeno nebo je zatíženo poplatkem s nižší nominální hodnotou. Cílem tohoto poplatku je </w:t>
      </w:r>
      <w:r w:rsidRPr="00B213C7">
        <w:t>mimo jiné sn</w:t>
      </w:r>
      <w:r>
        <w:t>í</w:t>
      </w:r>
      <w:r w:rsidRPr="00B213C7">
        <w:t>ž</w:t>
      </w:r>
      <w:r>
        <w:t>it</w:t>
      </w:r>
      <w:r w:rsidRPr="00B213C7">
        <w:t xml:space="preserve"> dovoz ojetých vozidel do ČR a přep</w:t>
      </w:r>
      <w:r>
        <w:t xml:space="preserve">rodej starých </w:t>
      </w:r>
      <w:r w:rsidRPr="00B213C7">
        <w:t>vozidel</w:t>
      </w:r>
      <w:r>
        <w:t>, s jejichž provozem je spojena vyšší zátěž pro životní prostředí</w:t>
      </w:r>
      <w:r w:rsidR="009B7509">
        <w:t xml:space="preserve">, </w:t>
      </w:r>
      <w:r w:rsidR="009B7509" w:rsidRPr="009B7509">
        <w:t>a zároveň napomoci omlazování vozového parku u nás</w:t>
      </w:r>
      <w:r w:rsidRPr="00B213C7">
        <w:t xml:space="preserve">. </w:t>
      </w:r>
    </w:p>
    <w:p w:rsidR="00CC0F90" w:rsidRDefault="00CC0F90" w:rsidP="00CC0F90">
      <w:pPr>
        <w:spacing w:before="240"/>
      </w:pPr>
      <w:r>
        <w:t>Poplatek se již nebude nadále</w:t>
      </w:r>
      <w:r w:rsidRPr="00B213C7">
        <w:t xml:space="preserve"> </w:t>
      </w:r>
      <w:r>
        <w:t>nazývat</w:t>
      </w:r>
      <w:r w:rsidRPr="00B213C7">
        <w:t xml:space="preserve"> </w:t>
      </w:r>
      <w:r>
        <w:t>poplatkem „</w:t>
      </w:r>
      <w:r w:rsidRPr="00B213C7">
        <w:t>na podporu sběru a zpracování autovraků</w:t>
      </w:r>
      <w:r>
        <w:t xml:space="preserve">“, neboť tento název často mátl </w:t>
      </w:r>
      <w:r w:rsidRPr="00B213C7">
        <w:t>konečn</w:t>
      </w:r>
      <w:r>
        <w:t>é uživatele, kteří se dožadovali</w:t>
      </w:r>
      <w:r w:rsidRPr="00B213C7">
        <w:t xml:space="preserve"> poplatku zpět od zpracovatelů</w:t>
      </w:r>
      <w:r>
        <w:t>, ačkoliv zpracovatelům nikdy žádný příjem z těchto poplatků nenáležel</w:t>
      </w:r>
      <w:r w:rsidRPr="00B213C7">
        <w:t xml:space="preserve">. </w:t>
      </w:r>
      <w:r>
        <w:t>Proto byla zvolena změna názvu, kdy n</w:t>
      </w:r>
      <w:r w:rsidRPr="00B213C7">
        <w:t xml:space="preserve">ový název </w:t>
      </w:r>
      <w:r>
        <w:t>poplatku</w:t>
      </w:r>
      <w:r w:rsidRPr="00B213C7">
        <w:t xml:space="preserve"> také lépe vystihuje</w:t>
      </w:r>
      <w:r>
        <w:t xml:space="preserve"> jeho</w:t>
      </w:r>
      <w:r w:rsidRPr="00B213C7">
        <w:t xml:space="preserve"> podstatu. </w:t>
      </w:r>
    </w:p>
    <w:p w:rsidR="00CC0F90" w:rsidRDefault="00CC0F90" w:rsidP="00CC0F90">
      <w:pPr>
        <w:spacing w:before="240"/>
      </w:pPr>
      <w:r>
        <w:t xml:space="preserve">Zvláštní důvod osvobození od placení poplatku oproti dosavadní právní úpravě je stanoven pro případ, kdy stát nabývá vozidla </w:t>
      </w:r>
      <w:r w:rsidRPr="00A94D48">
        <w:t>propadlá nebo zabraná v trestním, přestupkovém nebo jiném obdobném řízení</w:t>
      </w:r>
      <w:r>
        <w:t>. Jde především o případy, kdy je soudem uložen trest propadnutí věci podle § 70 trestního zákoníku, nebo kdy se vozidlo stane předmětem propadnutí nebo zabrání zboží podle § 295 nebo 296 celního zákona. Za těchto okolností připadá vozidlo do vlastnictví státu automaticky, bez možnosti přijetí vozidla odmítnout, a proto se zaplacení poplatku jeví jako neopodstatněné, resp. poplatek zde nemůže plnit svůj účel uvedený výše.</w:t>
      </w:r>
    </w:p>
    <w:p w:rsidR="00B75FCB" w:rsidRPr="00B75FCB" w:rsidRDefault="00B75FCB" w:rsidP="00B75FCB">
      <w:pPr>
        <w:spacing w:before="240"/>
      </w:pPr>
      <w:r w:rsidRPr="00B75FCB">
        <w:t>Poplatek bude i nadále příjmem Státního fondu životního prostředí ČR a měl by být využit výhradně na podporu sběru a zpracování vozidel s ukončenou životností tak, jak bylo dříve  potvrzeno  podepsaným Memorandem a dodatkem mezi MŽP, Sdružením automobilového průmyslu (AutoSAP) a Svazem dovozců automobilů (SDA) na opatření související se zlepšováním vozového parku v České republice. Stát by měl podpořit zpracovatelský průmysl druhotných surovin, který je zejména v oblasti zpracování autovraků nedostatečný (třídící kapacity na materiálové využití autovraků), jelikož ČR se zavázala plnit cíle opětovného použití a využití v rozsahu nejméně 95 % průměrné hmotnosti všech vybraných vozidel. Kromě toho se v ČR v posledních letech neustále zvyšuje průměrné stáří vozového parku.</w:t>
      </w:r>
    </w:p>
    <w:p w:rsidR="00B75FCB" w:rsidRPr="00B75FCB" w:rsidRDefault="00B75FCB" w:rsidP="00B75FCB">
      <w:pPr>
        <w:spacing w:before="240"/>
      </w:pPr>
      <w:r w:rsidRPr="00B75FCB">
        <w:t xml:space="preserve">Vzhledem k tomu, že doposud vybrané prostředky významně převyšují podpory poskytované SFŽP zpracovatelům autovraků a budou navýšeny při zpoplatnění registrací vozidel plnících EURO 3, bude na opatření související s podporou zpracovatelů autovraků a opatření na zlepšení vozového parku odhadem 300 mil. Kč ročně. </w:t>
      </w:r>
    </w:p>
    <w:p w:rsidR="00B75FCB" w:rsidRPr="00B75FCB" w:rsidRDefault="00B75FCB" w:rsidP="00B75FCB">
      <w:pPr>
        <w:spacing w:before="240"/>
      </w:pPr>
    </w:p>
    <w:p w:rsidR="00B75FCB" w:rsidRPr="00B75FCB" w:rsidRDefault="00B75FCB" w:rsidP="00B75FCB">
      <w:pPr>
        <w:spacing w:before="240"/>
      </w:pPr>
      <w:r w:rsidRPr="00B75FCB">
        <w:lastRenderedPageBreak/>
        <w:t>V letošním roce bude aktualizován materiál „Návrh opatření na zlepšení struktury vozového parku v České republice“. Ten by měl obsahovat krátkodobá až dlouhodobá opatření, která by měla napomoci omlazení vozového parku a tím i snížení dopadů silniční dopravy na životní prostředí a zlepšení bezpečnosti silničního provozu a redukci následků dopravních nehod</w:t>
      </w:r>
      <w:r w:rsidRPr="00B75FCB">
        <w:rPr>
          <w:vertAlign w:val="superscript"/>
        </w:rPr>
        <w:footnoteReference w:id="21"/>
      </w:r>
      <w:r w:rsidRPr="00B75FCB">
        <w:t>.</w:t>
      </w:r>
    </w:p>
    <w:p w:rsidR="00B75FCB" w:rsidRPr="00B75FCB" w:rsidRDefault="00B75FCB" w:rsidP="00B75FCB">
      <w:pPr>
        <w:spacing w:before="240"/>
      </w:pPr>
      <w:r w:rsidRPr="00B75FCB">
        <w:t>Jako jedno z opatření bude uváděn „příspěvek na trvalé vyřazení vozidla v ČR a příspěvek na nákup vozidla na alternativní pohon“. Jako zdroj pro financování tohoto opatření je navržen Státní fond životního prostředí.</w:t>
      </w:r>
    </w:p>
    <w:p w:rsidR="00B75FCB" w:rsidRPr="00B75FCB" w:rsidRDefault="00B75FCB" w:rsidP="00B75FCB">
      <w:pPr>
        <w:spacing w:before="240"/>
      </w:pPr>
      <w:r w:rsidRPr="00B75FCB">
        <w:t xml:space="preserve">Problematikou zastaralého vozového parku se zabývá několik národních dokumentů:  </w:t>
      </w:r>
    </w:p>
    <w:p w:rsidR="00B75FCB" w:rsidRPr="00B75FCB" w:rsidRDefault="00B75FCB" w:rsidP="002D66F0">
      <w:pPr>
        <w:numPr>
          <w:ilvl w:val="0"/>
          <w:numId w:val="128"/>
        </w:numPr>
        <w:spacing w:before="240"/>
        <w:ind w:left="426" w:hanging="426"/>
      </w:pPr>
      <w:r w:rsidRPr="00B75FCB">
        <w:t xml:space="preserve">V roce 2011 byl schválen usnesením vlády č. 819 dne 9. listopadu 2011 materiál „Návrh opatření na zlepšení struktury vozového parku v České republice“, který navrhoval opatření na omlazení vozového parku v ČR. Obsahoval dva legislativní úkoly </w:t>
      </w:r>
    </w:p>
    <w:p w:rsidR="00B75FCB" w:rsidRPr="00B75FCB" w:rsidRDefault="00B75FCB" w:rsidP="002D66F0">
      <w:pPr>
        <w:numPr>
          <w:ilvl w:val="0"/>
          <w:numId w:val="129"/>
        </w:numPr>
        <w:spacing w:before="240"/>
        <w:ind w:left="851" w:hanging="425"/>
      </w:pPr>
      <w:r w:rsidRPr="00B75FCB">
        <w:t>novela zákona č. 56/2001 Sb., o podmínkách provozu vozidel na pozemních komunikacích, která stanoví zpřísnění dozoru nad činností Stanic technické kontroly a Stanic měření emisí,</w:t>
      </w:r>
    </w:p>
    <w:p w:rsidR="00B75FCB" w:rsidRPr="00B75FCB" w:rsidRDefault="00B75FCB" w:rsidP="002D66F0">
      <w:pPr>
        <w:numPr>
          <w:ilvl w:val="0"/>
          <w:numId w:val="129"/>
        </w:numPr>
        <w:spacing w:before="240"/>
        <w:ind w:left="851" w:hanging="425"/>
      </w:pPr>
      <w:r w:rsidRPr="00B75FCB">
        <w:t xml:space="preserve">předložit vládě do 31. prosince 2012 ve spolupráci s ministrem průmyslu a obchodu návrh nového zákona o zpětném odběru vybraných výrobků, ve kterém budou zahrnuty do placení poplatku za 1. registraci použitého vozidla i vozidla plnící emisní normu EURO 3. </w:t>
      </w:r>
    </w:p>
    <w:p w:rsidR="00B75FCB" w:rsidRPr="00B75FCB" w:rsidRDefault="00B75FCB" w:rsidP="004B3968">
      <w:pPr>
        <w:spacing w:before="240"/>
        <w:ind w:left="426"/>
      </w:pPr>
      <w:r w:rsidRPr="00B75FCB">
        <w:t>Od přijetí usnesení se podařilo splnit první legislativní úkol. Druhý úkol se r</w:t>
      </w:r>
      <w:r w:rsidR="004B3968">
        <w:t>e</w:t>
      </w:r>
      <w:r w:rsidRPr="00B75FCB">
        <w:t xml:space="preserve">alizuje až nyní, a proto se tímto zákonem navrhuje zpoplatnění vozidel EURO 3. </w:t>
      </w:r>
    </w:p>
    <w:p w:rsidR="00B75FCB" w:rsidRPr="00B75FCB" w:rsidRDefault="00B75FCB" w:rsidP="002D66F0">
      <w:pPr>
        <w:numPr>
          <w:ilvl w:val="0"/>
          <w:numId w:val="128"/>
        </w:numPr>
        <w:spacing w:before="240"/>
        <w:ind w:left="426" w:hanging="426"/>
      </w:pPr>
      <w:r w:rsidRPr="00B75FCB">
        <w:t>Národní program snižování emisí České republiky, který má jako jeden z cílů „Snížit emise NOx, VOC a PM</w:t>
      </w:r>
      <w:r w:rsidRPr="004B3968">
        <w:rPr>
          <w:vertAlign w:val="subscript"/>
        </w:rPr>
        <w:t>2,5</w:t>
      </w:r>
      <w:r w:rsidRPr="00B75FCB">
        <w:t xml:space="preserve"> ze sektoru silniční dopravy obnovou vozového parku ČR, zvýšením podílu alternativních pohonů a eliminací tranzitní silniční nákladní dopravy jejím přesměrováním na železnici“.</w:t>
      </w:r>
    </w:p>
    <w:p w:rsidR="00B75FCB" w:rsidRPr="00B75FCB" w:rsidRDefault="00B75FCB" w:rsidP="002D66F0">
      <w:pPr>
        <w:numPr>
          <w:ilvl w:val="0"/>
          <w:numId w:val="128"/>
        </w:numPr>
        <w:spacing w:before="240"/>
        <w:ind w:left="426" w:hanging="426"/>
      </w:pPr>
      <w:r w:rsidRPr="00B75FCB">
        <w:t xml:space="preserve">Národní akční plán čisté mobility (NAP CM) (schválen usnesením vlády č. 941 z 20. listopadu 2015), ve kterém je uvedeno opatření  „Analýza podpory trvalého vyřazení vozidla v ČR (od 1. 1. 2015 zánik vozidla) a zájmu o příspěvek na nákup vozidla na alternativní pohon“.  Analýza byla provedena koncem roku 2015 a na základě jejích výsledků byla navržena určitá výše příspěvku na nákup elektromobilu případně vozidla na CNG jako podpora rozvoje vozidel na alternativní pohon.  Zároveň  byla projednávána možnost poskytování příspěvků posledním vlastníkům vybraných vozidel s ukončenou životností, kteří odevzdají úplné vybrané vozidlo s ukončenou životností. Předpokládá se využití prostředků vybraných dle § 37e </w:t>
      </w:r>
      <w:r w:rsidR="00D83C46">
        <w:t xml:space="preserve">dosavadního </w:t>
      </w:r>
      <w:r w:rsidRPr="00B75FCB">
        <w:t xml:space="preserve">zákona o odpadech (poplatky na podporu sběru, zpracování, využití a odstranění vybraných autovraků). </w:t>
      </w:r>
    </w:p>
    <w:p w:rsidR="00B75FCB" w:rsidRPr="00B75FCB" w:rsidRDefault="00B75FCB" w:rsidP="00B75FCB">
      <w:pPr>
        <w:spacing w:before="240"/>
      </w:pPr>
      <w:r w:rsidRPr="00B75FCB">
        <w:lastRenderedPageBreak/>
        <w:t>V České republice na rozdíl od některých států EU (např. Německo, Francie, Dánsko, Nizozemsko, Velká Británie), není zdanění vozidel při registraci podle zdvihového objemu motoru vozidla nebo emisí CO</w:t>
      </w:r>
      <w:r w:rsidRPr="00B75FCB">
        <w:rPr>
          <w:vertAlign w:val="subscript"/>
        </w:rPr>
        <w:t>2</w:t>
      </w:r>
      <w:r w:rsidRPr="00B75FCB">
        <w:t xml:space="preserve">. Pouze při první registraci automobilů plnících emisní normu EURO 2 a nižší je vybírán poplatek na podporu sběru a zpracování vozidel s ukončenou životností. V posledních letech to představuje  příjem Státního fondu životního prostředí na úrovni 300 mil. Kč ročně. </w:t>
      </w:r>
      <w:r w:rsidRPr="00D83C46">
        <w:t>Tyto vybrané prostředky jsou v současné době jediným možným zdrojem národních financí na podporu omlazení vozového parku, případně podporu nákupu vozidel na alternativní pohon.</w:t>
      </w:r>
      <w:r w:rsidRPr="00B75FCB">
        <w:rPr>
          <w:b/>
        </w:rPr>
        <w:t xml:space="preserve">  </w:t>
      </w:r>
    </w:p>
    <w:p w:rsidR="00B75FCB" w:rsidRPr="00B75FCB" w:rsidRDefault="00B75FCB" w:rsidP="00B75FCB">
      <w:pPr>
        <w:spacing w:before="240"/>
      </w:pPr>
      <w:r w:rsidRPr="00B75FCB">
        <w:t xml:space="preserve">Po schválení NAP CM byla zpracována studie zájmu občanů a firem o příspěvek při odevzdání starého vozidla a na nákup vozidla na alternativní pohon (CNG a elektřinu). Z dotazníkové akce vyplynulo, že majitelé starých vozidel mají zájem za určitý obnos nechat svůj automobil ekologicky zpracovat. Zároveň mají povědomí o přínosech využívání vozidel na alternativní pohon. </w:t>
      </w:r>
    </w:p>
    <w:p w:rsidR="00CC0F90" w:rsidRPr="00B213C7" w:rsidRDefault="00CC0F90" w:rsidP="00CC0F90">
      <w:pPr>
        <w:spacing w:before="240"/>
        <w:rPr>
          <w:b/>
        </w:rPr>
      </w:pPr>
      <w:r>
        <w:rPr>
          <w:b/>
        </w:rPr>
        <w:t>K § 128 až 130</w:t>
      </w:r>
    </w:p>
    <w:p w:rsidR="00CC0F90" w:rsidRDefault="00CC0F90" w:rsidP="00CC0F90">
      <w:pPr>
        <w:spacing w:before="240"/>
      </w:pPr>
      <w:r>
        <w:t xml:space="preserve">Vzhledem předpokládanému datu nabytí účinnosti zákona byla ustanovení o správních deliktech zpracována s ohledem na návrh nového zákona </w:t>
      </w:r>
      <w:r w:rsidRPr="00105AC2">
        <w:rPr>
          <w:rFonts w:cs="Arial"/>
        </w:rPr>
        <w:t>o odpovědnosti za přestupky a řízení o nich</w:t>
      </w:r>
      <w:r>
        <w:rPr>
          <w:rFonts w:cs="Arial"/>
        </w:rPr>
        <w:t xml:space="preserve"> (sněmovní tisk 555)</w:t>
      </w:r>
      <w:r>
        <w:t>, který sjednocuje pod pojmem přestupek jak přestupky fyzických osob podle současného zákona č. 200/1990 Sb., o přestupcích, tak jiné správní delikty právnických osob a podnikajících fyzických osob a především obsahuje ucelenou obecnou úpravu zahrnující rovněž podmínky odpovědnosti za přestupek i ve vztahu k dosavadním jiným správním deliktům právnických osob a podnikajících fyzických osob, která je dosud (nejednotně) upravována ve zvláštních zákonech.</w:t>
      </w:r>
      <w:r w:rsidRPr="00EB6BC8">
        <w:t xml:space="preserve"> </w:t>
      </w:r>
    </w:p>
    <w:p w:rsidR="00CC0F90" w:rsidRDefault="00CC0F90" w:rsidP="00CC0F90">
      <w:pPr>
        <w:spacing w:before="240"/>
      </w:pPr>
      <w:r w:rsidRPr="00E1002B">
        <w:t xml:space="preserve">Ustanovení </w:t>
      </w:r>
      <w:r>
        <w:t xml:space="preserve">§ 128 </w:t>
      </w:r>
      <w:r w:rsidRPr="00E1002B">
        <w:t>vymezuje skutkové podstaty přestupků</w:t>
      </w:r>
      <w:r>
        <w:t xml:space="preserve"> (nepodnikajících) fyzických osob na úseku nakládání s výrobky s ukončenou životností. Nejčastějším protiprávním jednáním, kterého se může dopustit fyzická osoba v rozporu s tímto zákonem, je odložení</w:t>
      </w:r>
      <w:r w:rsidRPr="00C822CA">
        <w:t xml:space="preserve"> nebo umíst</w:t>
      </w:r>
      <w:r>
        <w:t>ění</w:t>
      </w:r>
      <w:r w:rsidRPr="00C822CA">
        <w:t xml:space="preserve"> výrobk</w:t>
      </w:r>
      <w:r>
        <w:t>u</w:t>
      </w:r>
      <w:r w:rsidRPr="00C822CA">
        <w:t xml:space="preserve"> s ukončenou životností mimo místo k tomu určené nebo je</w:t>
      </w:r>
      <w:r>
        <w:t>ho</w:t>
      </w:r>
      <w:r w:rsidRPr="00C822CA">
        <w:t xml:space="preserve"> předá</w:t>
      </w:r>
      <w:r>
        <w:t>ní</w:t>
      </w:r>
      <w:r w:rsidRPr="00C822CA">
        <w:t xml:space="preserve"> osobě, která není k převzetí </w:t>
      </w:r>
      <w:r>
        <w:t xml:space="preserve">výrobku </w:t>
      </w:r>
      <w:r w:rsidRPr="00C822CA">
        <w:t>oprávněna</w:t>
      </w:r>
      <w:r>
        <w:t xml:space="preserve">. Dále je upravena zvláštní skutková podstata přestupku při neoprávněném nakládání s vozidly s ukončenou životností. Obecně však bude neoprávněné převzetí či nakládání s jakýmkoliv výrobkem s ukončenou životností (tzn. s odpadem) mimo zařízení k tomu určené postihováno podle zákona o odpadech. Subjektem přestupku podle odstavce 1 písm. b) je zaměstnanec koordinačního centra, který se přestupku dopustí tím, že poruší zákonem uloženou povinnost mlčenlivosti. </w:t>
      </w:r>
      <w:r w:rsidRPr="00CB680F">
        <w:t>Ustanovení současně stanoví odpovídající sankce, které jsou diferencované se zřetelem na závažnost těchto protiprávních jednání.</w:t>
      </w:r>
    </w:p>
    <w:p w:rsidR="00CC0F90" w:rsidRDefault="00CC0F90" w:rsidP="00CC0F90">
      <w:pPr>
        <w:spacing w:before="240"/>
      </w:pPr>
      <w:r w:rsidRPr="00E1002B">
        <w:t xml:space="preserve">Ustanovení </w:t>
      </w:r>
      <w:r>
        <w:t xml:space="preserve">§ 129 </w:t>
      </w:r>
      <w:r w:rsidRPr="00E1002B">
        <w:t>vymezuje skutkové podstaty přestupků</w:t>
      </w:r>
      <w:r>
        <w:t xml:space="preserve"> </w:t>
      </w:r>
      <w:r w:rsidRPr="00D263B5">
        <w:t>právnických a podnikajících fyzických osob</w:t>
      </w:r>
      <w:r>
        <w:t xml:space="preserve">. Značný počet skutkových podstat je dán velkým množstvím povinností stanovených tímto zákonem, které vzhledem ke svému významu musejí být vynutitelné, a současně požadavky na určité, přesné a jasné vyjádření skutkových podstat přestupků vyplývajícími z obecné zásady </w:t>
      </w:r>
      <w:r w:rsidRPr="003E6B00">
        <w:rPr>
          <w:i/>
        </w:rPr>
        <w:t>nullum crimen, nulla poena sine lege</w:t>
      </w:r>
      <w:r>
        <w:t xml:space="preserve">. </w:t>
      </w:r>
    </w:p>
    <w:p w:rsidR="00CC0F90" w:rsidRDefault="00CC0F90" w:rsidP="00CC0F90">
      <w:pPr>
        <w:spacing w:before="240"/>
      </w:pPr>
      <w:r>
        <w:lastRenderedPageBreak/>
        <w:t>Subjektem přestupků podle odstavce 1 jsou obecně p</w:t>
      </w:r>
      <w:r w:rsidRPr="004B28C7">
        <w:t>rávnick</w:t>
      </w:r>
      <w:r>
        <w:t>é osoby</w:t>
      </w:r>
      <w:r w:rsidRPr="004B28C7">
        <w:t xml:space="preserve"> nebo podnikající fyzick</w:t>
      </w:r>
      <w:r>
        <w:t xml:space="preserve">é osoby, nicméně v případě některých skutkových podstat je subjekt konkretizován (např. </w:t>
      </w:r>
      <w:r w:rsidRPr="006222B0">
        <w:rPr>
          <w:bCs/>
        </w:rPr>
        <w:t>p</w:t>
      </w:r>
      <w:r w:rsidRPr="006222B0">
        <w:t>rovozovatel místa zpětného odběru</w:t>
      </w:r>
      <w:r>
        <w:t xml:space="preserve"> nebo </w:t>
      </w:r>
      <w:r w:rsidRPr="00CA6321">
        <w:t>zpracovatel odpadních baterií nebo akumulátorů</w:t>
      </w:r>
      <w:r>
        <w:t>). Skutkové podstaty podle odstavce 1 písm. a) a v) se shodují se skutkovými podstatami přestupků fyzických osob obsažených v § 128 odst. 1 písm. a) a c). Oproti obdobným přestupkům fyzických osob jsou stanoveny vyšší sankce s ohledem na vyšší potenciální závažnost těchto protiprávních jednání v případě právnických a podnikajících fyzických osob. Porušení povinností stanovených tímto zákonem při nakládání se zpětně odebranými výrobky s ukončenou životností bude přestupkem podle § 129 odst. 1 písm. c). Půjde-li však o nakládání s výrobky s ukončenou životností (nejen se zpětně odebranými, tj. i s vozidly s ukončenou životností) mimo zařízení k tomu určená, bude takové jednání postihováno podle zákona o odpadech.</w:t>
      </w:r>
    </w:p>
    <w:p w:rsidR="00CC0F90" w:rsidRDefault="00CC0F90" w:rsidP="00CC0F90">
      <w:pPr>
        <w:spacing w:before="240"/>
      </w:pPr>
      <w:r>
        <w:t xml:space="preserve">Odstavec 2 upravuje skutkové podstaty přestupků, kterých se může jako zvláštní subjekt dopustit výrobce, pověřený zástupce nebo za podmínek stanovených v § 25 distributor porušením či nesplněním některé z povinností, které náležejí do velké skupiny povinností stanovených tímto zákonem výrobci (např. označování vybraných výrobků, informování konečných uživatelů, zajištění zpětného odběru a zpracování výrobků s ukončenou životností atd.). </w:t>
      </w:r>
    </w:p>
    <w:p w:rsidR="00CC0F90" w:rsidRDefault="00CC0F90" w:rsidP="00CC0F90">
      <w:pPr>
        <w:spacing w:before="240"/>
        <w:rPr>
          <w:bCs/>
        </w:rPr>
      </w:pPr>
      <w:r>
        <w:t xml:space="preserve">V odstavci 3 jsou stanoveny skutkové podstaty přestupků, jejichž subjektem je poslední prodejce. Protiprávní jednání posledního prodejce spočívající v nakládání se zpětně </w:t>
      </w:r>
      <w:r w:rsidRPr="00297522">
        <w:t xml:space="preserve">odebranými výrobky s ukončenou životností </w:t>
      </w:r>
      <w:r>
        <w:t>v rozporu se</w:t>
      </w:r>
      <w:r w:rsidRPr="00297522">
        <w:rPr>
          <w:bCs/>
        </w:rPr>
        <w:t xml:space="preserve"> zákonem</w:t>
      </w:r>
      <w:r>
        <w:rPr>
          <w:bCs/>
        </w:rPr>
        <w:t xml:space="preserve"> je postihováno podle odstavce 1 písm. c). </w:t>
      </w:r>
    </w:p>
    <w:p w:rsidR="00CC0F90" w:rsidRDefault="00CC0F90" w:rsidP="00CC0F90">
      <w:pPr>
        <w:spacing w:before="240"/>
      </w:pPr>
      <w:r>
        <w:t xml:space="preserve">Odstavec 4 upravuje skutkové podstaty přestupků, jejichž subjektem je provozovatel kolektivního systému. Kromě povinností stanovených zákonem přímo provozovateli kolektivního systému může být podle odstavce 4 písm. a) tento subjekt postihován rovněž za porušení či nesplnění povinnosti, kterou zákon stanoví sice výrobci, avšak její plnění je provozovatel kolektivního systému povinen zajišťovat v rámci kolektivního plnění na základě § 45 odst. 1 v důsledku uzavření smlouvy o kolektivním plnění s výrobcem. Jako tento přestupek provozovatele kolektivního systému může být postihováno například </w:t>
      </w:r>
      <w:r w:rsidRPr="00451E6E">
        <w:t>nezajištění zpětného odběru</w:t>
      </w:r>
      <w:r>
        <w:t xml:space="preserve"> výrobků s ukončenou životností a </w:t>
      </w:r>
      <w:r w:rsidRPr="00451E6E">
        <w:t>jejich zpracování, využití nebo odstranění</w:t>
      </w:r>
      <w:r>
        <w:t xml:space="preserve">, nezřízení veřejných míst zpětného odběru v zákonem požadované hustotě, nedosažení minimální úrovně zpětného odběru atd. Podobně je koncipována skutková podstata přestupku podle písmene p), pokud jde o společné zajištění plnění povinností provozovatelů </w:t>
      </w:r>
      <w:r w:rsidRPr="00E57CD1">
        <w:t>solárních elektráren pro solární panely uvedené na trh do dne 1. ledna 2013</w:t>
      </w:r>
      <w:r>
        <w:t>. Přestupku podle písmene r) se provozovatel kolektivního systému může dopustit pouze jako zvláštní subjekt – člen koordinačního centra nebo člen jeho orgánů.</w:t>
      </w:r>
      <w:r w:rsidRPr="001062A6">
        <w:t xml:space="preserve"> </w:t>
      </w:r>
      <w:r>
        <w:t xml:space="preserve">V odstavci 5 je upraveno několik skutkových podstat přestupků, jejichž subjektem je koordinační centrum, odstavec 6 postihuje porušení povinností stanovených tímto zákonem komoditní burze při obchodování se zpětně odebíranými výrobky s ukončenou životností. </w:t>
      </w:r>
    </w:p>
    <w:p w:rsidR="00CC0F90" w:rsidRDefault="00CC0F90" w:rsidP="00CC0F90">
      <w:pPr>
        <w:spacing w:before="240"/>
      </w:pPr>
      <w:r w:rsidRPr="00CB680F">
        <w:t xml:space="preserve">Ustanovení </w:t>
      </w:r>
      <w:r>
        <w:t xml:space="preserve">§ 129 </w:t>
      </w:r>
      <w:r w:rsidRPr="00CB680F">
        <w:t xml:space="preserve">stanoví </w:t>
      </w:r>
      <w:r>
        <w:t xml:space="preserve">za jednotlivé přestupky </w:t>
      </w:r>
      <w:r w:rsidRPr="00CB680F">
        <w:t>odpovídající sankce, které jsou diferencované se zřetelem na závažnost těchto protiprávních jednání.</w:t>
      </w:r>
      <w:r>
        <w:t xml:space="preserve"> Za nejzávažnější </w:t>
      </w:r>
      <w:r>
        <w:lastRenderedPageBreak/>
        <w:t xml:space="preserve">protiprávní jednání spojená s provozováním kolektivního systému může být uložena pokuta až do výše 50 000 000 Kč. Jde o </w:t>
      </w:r>
      <w:r w:rsidRPr="00373BD7">
        <w:t>zajišť</w:t>
      </w:r>
      <w:r>
        <w:t>ování nebo nabízení služeb kolektivního</w:t>
      </w:r>
      <w:r w:rsidRPr="00373BD7">
        <w:t xml:space="preserve"> plnění povinností výrobců</w:t>
      </w:r>
      <w:r>
        <w:t xml:space="preserve"> bez oprávnění </w:t>
      </w:r>
      <w:r w:rsidRPr="00373BD7">
        <w:t>k</w:t>
      </w:r>
      <w:r>
        <w:t> </w:t>
      </w:r>
      <w:r w:rsidRPr="00373BD7">
        <w:t>provozování kolektivního systému</w:t>
      </w:r>
      <w:r>
        <w:t xml:space="preserve">, nepřevedení </w:t>
      </w:r>
      <w:r w:rsidRPr="00BB6758">
        <w:t>peněžní</w:t>
      </w:r>
      <w:r>
        <w:t>ch</w:t>
      </w:r>
      <w:r w:rsidRPr="00BB6758">
        <w:t xml:space="preserve"> prostředk</w:t>
      </w:r>
      <w:r>
        <w:t>ů</w:t>
      </w:r>
      <w:r w:rsidRPr="00BB6758">
        <w:t xml:space="preserve"> získan</w:t>
      </w:r>
      <w:r>
        <w:t>ých</w:t>
      </w:r>
      <w:r w:rsidRPr="00BB6758">
        <w:t xml:space="preserve"> z příspěvků výrobců </w:t>
      </w:r>
      <w:r>
        <w:t>nebo</w:t>
      </w:r>
      <w:r w:rsidRPr="00BB6758">
        <w:t xml:space="preserve"> prostředků tvořící</w:t>
      </w:r>
      <w:r>
        <w:t>ch</w:t>
      </w:r>
      <w:r w:rsidRPr="00BB6758">
        <w:t xml:space="preserve"> finanční rezervu</w:t>
      </w:r>
      <w:r>
        <w:t xml:space="preserve"> po zániku oprávnění </w:t>
      </w:r>
      <w:r w:rsidRPr="00373BD7">
        <w:t>k</w:t>
      </w:r>
      <w:r>
        <w:t> </w:t>
      </w:r>
      <w:r w:rsidRPr="00373BD7">
        <w:t>provozování kolektivního systému</w:t>
      </w:r>
      <w:r>
        <w:t xml:space="preserve">, nezajištění kolektivního plnění povinností výrobců nebo </w:t>
      </w:r>
      <w:r w:rsidRPr="007B0F66">
        <w:t>provozovatelů solárních elektráren pro solární panely uvedené na trh do dne 1. ledna 2013</w:t>
      </w:r>
      <w:r>
        <w:t xml:space="preserve"> a vykonávání jiné činnosti, než zákon dovoluje provozovateli kolektivního systému vykonávat. Patří sem též přestupek provozovatele kolektivního systému spočívající ve </w:t>
      </w:r>
      <w:r w:rsidRPr="007B0F66">
        <w:t>sděl</w:t>
      </w:r>
      <w:r>
        <w:t>en</w:t>
      </w:r>
      <w:r w:rsidRPr="007B0F66">
        <w:t xml:space="preserve">í </w:t>
      </w:r>
      <w:r>
        <w:t xml:space="preserve">informací třetí osobě </w:t>
      </w:r>
      <w:r w:rsidRPr="007B0F66">
        <w:t>o množství vybraných výrobků uvedených výrobcem</w:t>
      </w:r>
      <w:r w:rsidRPr="00A91F12">
        <w:t xml:space="preserve"> </w:t>
      </w:r>
      <w:r w:rsidRPr="007B0F66">
        <w:t>na trh</w:t>
      </w:r>
      <w:r>
        <w:t xml:space="preserve"> nebo o </w:t>
      </w:r>
      <w:r w:rsidRPr="007B0F66">
        <w:t>příspěvku</w:t>
      </w:r>
      <w:r>
        <w:t xml:space="preserve"> hrazeném výrobci, což lze považovat za společensky velmi nebezpečné jednání, které může značně poškodit konkrétního výrobce ve prospěch jeho konkurentů.</w:t>
      </w:r>
    </w:p>
    <w:p w:rsidR="00CC0F90" w:rsidRDefault="00CC0F90" w:rsidP="00CC0F90">
      <w:pPr>
        <w:spacing w:before="240"/>
        <w:rPr>
          <w:rFonts w:cs="Arial"/>
        </w:rPr>
      </w:pPr>
      <w:r>
        <w:t xml:space="preserve">Společná ustanovení k přestupkům obsahují pouze úpravu těch otázek, které nejsou řešeny </w:t>
      </w:r>
      <w:r w:rsidRPr="00F56979">
        <w:t>v</w:t>
      </w:r>
      <w:r>
        <w:t> </w:t>
      </w:r>
      <w:r w:rsidRPr="00F56979">
        <w:t>návrhu</w:t>
      </w:r>
      <w:r>
        <w:t xml:space="preserve"> zákona </w:t>
      </w:r>
      <w:r w:rsidRPr="00105AC2">
        <w:rPr>
          <w:rFonts w:cs="Arial"/>
        </w:rPr>
        <w:t>o odpovědnosti za přestupky a řízení o nich</w:t>
      </w:r>
      <w:r>
        <w:rPr>
          <w:rFonts w:cs="Arial"/>
        </w:rPr>
        <w:t xml:space="preserve"> nebo je třeba je řešit v tomto zákoně odchylně. N</w:t>
      </w:r>
      <w:r>
        <w:t xml:space="preserve">ávrh zákona </w:t>
      </w:r>
      <w:r w:rsidRPr="00105AC2">
        <w:rPr>
          <w:rFonts w:cs="Arial"/>
        </w:rPr>
        <w:t>o odpovědnosti za přestupky a řízení o nich</w:t>
      </w:r>
      <w:r>
        <w:rPr>
          <w:rFonts w:cs="Arial"/>
        </w:rPr>
        <w:t xml:space="preserve"> zakotvuje obecný liberační důvod, který je již v současnosti obsažen v řadě zvláštních zákonů, kdy se p</w:t>
      </w:r>
      <w:r w:rsidRPr="00BF4306">
        <w:rPr>
          <w:rFonts w:cs="Arial"/>
        </w:rPr>
        <w:t>rávnická osoba</w:t>
      </w:r>
      <w:r>
        <w:rPr>
          <w:rFonts w:cs="Arial"/>
        </w:rPr>
        <w:t xml:space="preserve"> nebo podnikající fyzická osoba zprostí</w:t>
      </w:r>
      <w:r w:rsidRPr="00BF4306">
        <w:rPr>
          <w:rFonts w:cs="Arial"/>
        </w:rPr>
        <w:t xml:space="preserve"> </w:t>
      </w:r>
      <w:r>
        <w:rPr>
          <w:rFonts w:cs="Arial"/>
        </w:rPr>
        <w:t xml:space="preserve">odpovědnosti </w:t>
      </w:r>
      <w:r w:rsidRPr="00BF4306">
        <w:rPr>
          <w:rFonts w:cs="Arial"/>
        </w:rPr>
        <w:t>za přestupek, jestliže prokáže, že vynaložila veškeré úsilí, které bylo možno požadovat, aby přestupku zabránila.</w:t>
      </w:r>
      <w:r>
        <w:rPr>
          <w:rFonts w:cs="Arial"/>
        </w:rPr>
        <w:t xml:space="preserve"> Předkládaný zákon v návaznosti na to stanoví vyvratitelnou právní domněnku, že </w:t>
      </w:r>
      <w:r w:rsidRPr="00BF4306">
        <w:rPr>
          <w:rFonts w:cs="Arial"/>
        </w:rPr>
        <w:t>výrobce nebo pověřený zástupce vynaložil veškeré úsilí, které bylo možno požadovat, aby přestupku zabránil, jestliže k nesplnění povinnosti došlo jednáním nebo opomenutím provozovatele kolektivního systému, s nímž má výrobce nebo pověřený zástupce uzavřenou smlouvu o kolektivním plnění</w:t>
      </w:r>
      <w:r>
        <w:rPr>
          <w:rFonts w:cs="Arial"/>
        </w:rPr>
        <w:t xml:space="preserve">. Podmínkou současně je, že </w:t>
      </w:r>
      <w:r w:rsidRPr="00BF4306">
        <w:rPr>
          <w:rFonts w:cs="Arial"/>
        </w:rPr>
        <w:t>výrobce nebo pověřený zástupce prokáže, že v uplynulém roce provozovateli kolektivního systému vykazoval pravdivé a úplné údaje o množství vybraných výrobků, které uvedl na trh, a řádně platil příspěvky</w:t>
      </w:r>
      <w:r>
        <w:rPr>
          <w:rFonts w:cs="Arial"/>
        </w:rPr>
        <w:t xml:space="preserve"> na zajištění kolektivního plnění povinností. Umožnit v zákoně zproštění odpovědnosti za přestupek na straně výrobce, resp. pověřeného zástupce za uvedených podmínek je velmi důležité, neboť tyto osoby jsou stále nositeli příslušných povinností, avšak po svěření jejich plnění provozovateli kolektivního systému zpravidla nemají dostatečné možnosti dohlížet na to, zda za ně provozovatel kolektivního systému tyto povinnosti řádně plní. V důsledku uplatnění uvedeného liberačního důvodu bude tedy za přestupek odpovídat pouze provozovatel kolektivního systému, a to podle § 129 odst. 4 písm. a). Obdobně je řešeno zproštění odpovědnosti za přestupek u </w:t>
      </w:r>
      <w:r>
        <w:t xml:space="preserve">provozovatele </w:t>
      </w:r>
      <w:r w:rsidRPr="000A5797">
        <w:t>solární elektrárny</w:t>
      </w:r>
      <w:r>
        <w:t xml:space="preserve">, za něhož zajišťuje plnění povinností </w:t>
      </w:r>
      <w:r w:rsidRPr="007B0F66">
        <w:t>pro solární panely uvedené na trh do dne 1. ledna 2013</w:t>
      </w:r>
      <w:r>
        <w:t xml:space="preserve"> </w:t>
      </w:r>
      <w:r>
        <w:rPr>
          <w:rFonts w:cs="Arial"/>
        </w:rPr>
        <w:t>provozovatel kolektivního systému.</w:t>
      </w:r>
    </w:p>
    <w:p w:rsidR="00CC0F90" w:rsidRDefault="00CC0F90" w:rsidP="00CC0F90">
      <w:pPr>
        <w:spacing w:before="240"/>
      </w:pPr>
      <w:r>
        <w:t xml:space="preserve">Příslušnými správními úřady k projednání přestupků </w:t>
      </w:r>
      <w:r w:rsidRPr="00D263B5">
        <w:t>právnických a podnikajících fyzických osob</w:t>
      </w:r>
      <w:r>
        <w:t xml:space="preserve"> </w:t>
      </w:r>
      <w:r w:rsidRPr="00846F28">
        <w:t>v prvním stupni</w:t>
      </w:r>
      <w:r>
        <w:t xml:space="preserve"> jsou </w:t>
      </w:r>
      <w:r w:rsidRPr="00846F28">
        <w:t>Česká inspekce</w:t>
      </w:r>
      <w:r>
        <w:t xml:space="preserve"> životního prostředí a </w:t>
      </w:r>
      <w:r w:rsidRPr="00846F28">
        <w:t>Česká obchodní inspekce</w:t>
      </w:r>
      <w:r>
        <w:t xml:space="preserve"> s tím, že rozdělení příslušnosti mezi tyto dva správní úřady odpovídá vymezení jejich kontrolních kompetencí (viz dále). Jinými slovy, k projednání přestupku je v prvním stupni příslušný ten správní úřad, který je oprávněn kontrolovat plnění povinnosti, o jejíž porušení jde. V případě několika povinností, jejichž plnění je oprávněna kontrolovat jak </w:t>
      </w:r>
      <w:r w:rsidRPr="00846F28">
        <w:t>Česká inspekce</w:t>
      </w:r>
      <w:r>
        <w:t xml:space="preserve"> životního prostředí, tak </w:t>
      </w:r>
      <w:r w:rsidRPr="00846F28">
        <w:t>Česká obchodní inspekce</w:t>
      </w:r>
      <w:r>
        <w:t xml:space="preserve">, jsou příslušnými k projednání odpovídajících přestupků obě inspekce. </w:t>
      </w:r>
      <w:r w:rsidRPr="00846F28">
        <w:t xml:space="preserve">Přestupek </w:t>
      </w:r>
      <w:r>
        <w:t xml:space="preserve">v tomto případě </w:t>
      </w:r>
      <w:r w:rsidRPr="00846F28">
        <w:t xml:space="preserve">projedná ten z příslušných </w:t>
      </w:r>
      <w:r w:rsidRPr="00846F28">
        <w:lastRenderedPageBreak/>
        <w:t xml:space="preserve">správních úřadů, který jako první zahájil řízení, </w:t>
      </w:r>
      <w:r>
        <w:t xml:space="preserve">a </w:t>
      </w:r>
      <w:r w:rsidRPr="00846F28">
        <w:t>informuje o této skutečnosti druhý správní úřad.</w:t>
      </w:r>
      <w:r>
        <w:t xml:space="preserve"> Příslušnost k projednávání přestupků fyzických osob v prvním stupni se bude řídit obecným právním předpisem, kterým bude zákon </w:t>
      </w:r>
      <w:r w:rsidRPr="00105AC2">
        <w:rPr>
          <w:rFonts w:cs="Arial"/>
        </w:rPr>
        <w:t>o odpovědnosti za přestupky a řízení o nich</w:t>
      </w:r>
      <w:r>
        <w:rPr>
          <w:rFonts w:cs="Arial"/>
        </w:rPr>
        <w:t xml:space="preserve"> (podle návrhu tohoto zákona bude příslušným správním úřadem obecní úřad obce s rozšířenou působností).</w:t>
      </w:r>
    </w:p>
    <w:p w:rsidR="00CC0F90" w:rsidRDefault="00CC0F90" w:rsidP="00CC0F90">
      <w:pPr>
        <w:spacing w:before="240"/>
      </w:pPr>
      <w:r>
        <w:t xml:space="preserve">Zákon dále upravuje rozpočtové určení příjmů z uložených pokut. Ty jsou standardně </w:t>
      </w:r>
      <w:r w:rsidRPr="00455B02">
        <w:t>příjmem rozpočtu, ze kterého je hrazena činnost správního úřadu, který pokutu uloži</w:t>
      </w:r>
      <w:r>
        <w:t xml:space="preserve">l. To však neplatí v případě </w:t>
      </w:r>
      <w:r w:rsidRPr="00455B02">
        <w:t>pokut uložených</w:t>
      </w:r>
      <w:r>
        <w:t xml:space="preserve"> </w:t>
      </w:r>
      <w:r w:rsidRPr="00846F28">
        <w:t>Česk</w:t>
      </w:r>
      <w:r>
        <w:t>ou</w:t>
      </w:r>
      <w:r w:rsidRPr="00846F28">
        <w:t xml:space="preserve"> inspekc</w:t>
      </w:r>
      <w:r>
        <w:t xml:space="preserve">í životního prostředí, které jsou </w:t>
      </w:r>
      <w:r w:rsidRPr="00455B02">
        <w:t>příjmem Státního fondu životního prostředí České republiky</w:t>
      </w:r>
      <w:r>
        <w:t>, a b</w:t>
      </w:r>
      <w:r w:rsidRPr="00455B02">
        <w:t xml:space="preserve">yla-li pokuta uložena za porušení povinnosti při činnosti vykonávané v katastrálním území obce, </w:t>
      </w:r>
      <w:r>
        <w:t>náleží</w:t>
      </w:r>
      <w:r w:rsidRPr="00455B02">
        <w:t xml:space="preserve"> 50 % </w:t>
      </w:r>
      <w:r>
        <w:t>z </w:t>
      </w:r>
      <w:r w:rsidRPr="00455B02">
        <w:t>příjm</w:t>
      </w:r>
      <w:r>
        <w:t>u z takové pokuty</w:t>
      </w:r>
      <w:r w:rsidRPr="00455B02">
        <w:t xml:space="preserve"> rozpočtu této obce</w:t>
      </w:r>
      <w:r>
        <w:t xml:space="preserve">. </w:t>
      </w:r>
      <w:r w:rsidRPr="001F211B">
        <w:rPr>
          <w:bCs/>
          <w:iCs/>
        </w:rPr>
        <w:t xml:space="preserve">Činností vykonávanou v </w:t>
      </w:r>
      <w:r w:rsidRPr="001F211B">
        <w:rPr>
          <w:bCs/>
        </w:rPr>
        <w:t>katastrálním území obce ve smyslu navrhovaného ustanovení je třeba rozumět takovou činnost, která reálně probíhá na území jedné konkrétní obce, např. provozování místa zpětného odběru. Naproti tomu například porušení povinnosti provozovatele kolektivního systému vytvářet finanční rezervu nelze tímto způsobem „lokalizovat“, a proto příjmy z pokut uložených za porušení t</w:t>
      </w:r>
      <w:r>
        <w:rPr>
          <w:bCs/>
        </w:rPr>
        <w:t>akové</w:t>
      </w:r>
      <w:r w:rsidRPr="001F211B">
        <w:rPr>
          <w:bCs/>
        </w:rPr>
        <w:t xml:space="preserve"> povinnost</w:t>
      </w:r>
      <w:r>
        <w:rPr>
          <w:bCs/>
        </w:rPr>
        <w:t>i</w:t>
      </w:r>
      <w:r w:rsidRPr="001F211B">
        <w:rPr>
          <w:bCs/>
        </w:rPr>
        <w:t xml:space="preserve"> budou příjmem pouze </w:t>
      </w:r>
      <w:r w:rsidRPr="00455B02">
        <w:t>Státního fondu životního prostředí</w:t>
      </w:r>
      <w:r>
        <w:t>.</w:t>
      </w:r>
    </w:p>
    <w:p w:rsidR="00CC0F90" w:rsidRPr="009219F2" w:rsidRDefault="00CC0F90" w:rsidP="004E714B">
      <w:pPr>
        <w:keepNext/>
        <w:spacing w:before="240"/>
        <w:rPr>
          <w:b/>
        </w:rPr>
      </w:pPr>
      <w:r>
        <w:rPr>
          <w:b/>
        </w:rPr>
        <w:t>K § 131 až 140</w:t>
      </w:r>
    </w:p>
    <w:p w:rsidR="00CC0F90" w:rsidRPr="002C3633" w:rsidRDefault="00CC0F90" w:rsidP="00CC0F90">
      <w:pPr>
        <w:spacing w:before="240"/>
      </w:pPr>
      <w:r>
        <w:t xml:space="preserve">Správními úřady, které vykonávají státní správu na úseku předcházení vzniku odpadů z vybraných výrobků a nakládání s výrobky s ukončenou životností, jsou </w:t>
      </w:r>
      <w:r w:rsidRPr="00C724F1">
        <w:t>Ministerstvo</w:t>
      </w:r>
      <w:r>
        <w:t xml:space="preserve"> životního prostředí, </w:t>
      </w:r>
      <w:r w:rsidRPr="002C3633">
        <w:t>Ministerstvo průmyslu a obchodu,</w:t>
      </w:r>
      <w:r>
        <w:t xml:space="preserve"> </w:t>
      </w:r>
      <w:r w:rsidRPr="00846F28">
        <w:t>Česk</w:t>
      </w:r>
      <w:r>
        <w:t>á</w:t>
      </w:r>
      <w:r w:rsidRPr="00846F28">
        <w:t xml:space="preserve"> inspekc</w:t>
      </w:r>
      <w:r>
        <w:t xml:space="preserve">e životního prostředí, </w:t>
      </w:r>
      <w:r w:rsidRPr="002C3633">
        <w:t>Česká obchodní inspekce,</w:t>
      </w:r>
      <w:r>
        <w:t xml:space="preserve"> </w:t>
      </w:r>
      <w:r w:rsidRPr="002C3633">
        <w:t>celní úřady,</w:t>
      </w:r>
      <w:r>
        <w:t xml:space="preserve"> </w:t>
      </w:r>
      <w:r w:rsidRPr="002C3633">
        <w:t>krajské úřady a</w:t>
      </w:r>
      <w:r>
        <w:t xml:space="preserve"> </w:t>
      </w:r>
      <w:r w:rsidRPr="002C3633">
        <w:t>obecní úřady obcí s rozšířenou působností.</w:t>
      </w:r>
    </w:p>
    <w:p w:rsidR="00CC0F90" w:rsidRDefault="00CC0F90" w:rsidP="00CC0F90">
      <w:pPr>
        <w:spacing w:before="240"/>
      </w:pPr>
      <w:r w:rsidRPr="00C724F1">
        <w:t>Ministerstvo</w:t>
      </w:r>
      <w:r>
        <w:t xml:space="preserve"> životního prostředí je na úseku upraveném navrhovaným zákonem ústředním správním úřadem a přísluší mu vykonávat </w:t>
      </w:r>
      <w:r w:rsidRPr="00C724F1">
        <w:t>vrchní dozor</w:t>
      </w:r>
      <w:r>
        <w:t xml:space="preserve">, v rámci něhož je oprávněno kontrolovat, </w:t>
      </w:r>
      <w:r w:rsidRPr="00C724F1">
        <w:t xml:space="preserve">jak </w:t>
      </w:r>
      <w:r>
        <w:t xml:space="preserve">ostatní </w:t>
      </w:r>
      <w:r w:rsidRPr="00C724F1">
        <w:t xml:space="preserve">správní úřady vykonávající státní správu na </w:t>
      </w:r>
      <w:r>
        <w:t xml:space="preserve">tomto </w:t>
      </w:r>
      <w:r w:rsidRPr="00C724F1">
        <w:t>úseku dodržují ustanovení tohoto zákona a předpisů vydaných k jeho provedení.</w:t>
      </w:r>
    </w:p>
    <w:p w:rsidR="00CC0F90" w:rsidRDefault="00CC0F90" w:rsidP="00CC0F90">
      <w:pPr>
        <w:spacing w:before="240"/>
      </w:pPr>
      <w:r>
        <w:t xml:space="preserve">Na rozhodování </w:t>
      </w:r>
      <w:r w:rsidRPr="00C724F1">
        <w:t>Ministerstv</w:t>
      </w:r>
      <w:r>
        <w:t xml:space="preserve">a životního prostředí ve věcech </w:t>
      </w:r>
      <w:r w:rsidRPr="00B57D10">
        <w:t>oprávnění k provozování kolektivního systému</w:t>
      </w:r>
      <w:r>
        <w:t xml:space="preserve">, jakož i souhlasu k přeměně </w:t>
      </w:r>
      <w:r w:rsidRPr="000E4DE0">
        <w:t>provozovatele kolektivního systému</w:t>
      </w:r>
      <w:r>
        <w:t xml:space="preserve"> fúzí nebo rozdělením, při nichž nedochází k jeho zrušení, se podílí Ministerstvo průmyslu a obchodu tak, že v řízeních v těchto věcech podává vyjádření.</w:t>
      </w:r>
    </w:p>
    <w:p w:rsidR="00CC0F90" w:rsidRDefault="00CC0F90" w:rsidP="00CC0F90">
      <w:pPr>
        <w:spacing w:before="240"/>
      </w:pPr>
      <w:r>
        <w:t xml:space="preserve">Kontrolním orgánem, kterému je obecně svěřena působnost kontrolovat </w:t>
      </w:r>
      <w:r w:rsidRPr="000B65EB">
        <w:t>dodržován</w:t>
      </w:r>
      <w:r>
        <w:t>í</w:t>
      </w:r>
      <w:r w:rsidRPr="000B65EB">
        <w:t xml:space="preserve"> ustanovení právních předpisů a rozhodnutí správních úřadů ve všech oblastech působnosti tohoto zákona</w:t>
      </w:r>
      <w:r>
        <w:t xml:space="preserve">, je </w:t>
      </w:r>
      <w:r w:rsidRPr="00846F28">
        <w:t>Česk</w:t>
      </w:r>
      <w:r>
        <w:t>á</w:t>
      </w:r>
      <w:r w:rsidRPr="00846F28">
        <w:t xml:space="preserve"> inspekc</w:t>
      </w:r>
      <w:r>
        <w:t xml:space="preserve">e životního prostředí. Působnost ke kontrole ve vybraných oblastech upravených tímto zákonem je svěřena </w:t>
      </w:r>
      <w:r w:rsidRPr="002C3633">
        <w:t>Česk</w:t>
      </w:r>
      <w:r>
        <w:t xml:space="preserve">é obchodní inspekci. V souladu s vymezením kontrolních funkcí tohoto inspekčního orgánu zákonem č. 64/1986 Sb., </w:t>
      </w:r>
      <w:r w:rsidRPr="006479EF">
        <w:t>o České obchodní inspekci</w:t>
      </w:r>
      <w:r>
        <w:t xml:space="preserve">, ve znění pozdějších předpisů, jde zejména o kontrolu plnění požadavků na označování </w:t>
      </w:r>
      <w:r w:rsidRPr="00DC3358">
        <w:t>elektrozařízení a baterií a akumulátorů při jejich</w:t>
      </w:r>
      <w:r>
        <w:t xml:space="preserve"> uvádění na trh, zvláštních požadavků stanovených pro uvádění baterií a akumulátorů</w:t>
      </w:r>
      <w:r w:rsidRPr="00CF28BE">
        <w:t xml:space="preserve"> </w:t>
      </w:r>
      <w:r>
        <w:t xml:space="preserve">na trh a do oběhu, odděleného uvádění nákladů na zpětný odběr a nakládání s výrobky s ukončenou životností a kontrolu </w:t>
      </w:r>
      <w:r w:rsidRPr="00367587">
        <w:lastRenderedPageBreak/>
        <w:t>povinnost</w:t>
      </w:r>
      <w:r>
        <w:t>í</w:t>
      </w:r>
      <w:r w:rsidRPr="00367587">
        <w:t xml:space="preserve"> posledních prodejců </w:t>
      </w:r>
      <w:r>
        <w:t>stanovených pro</w:t>
      </w:r>
      <w:r w:rsidRPr="00367587">
        <w:t xml:space="preserve"> zpětný odběr výrobků s ukončenou životností</w:t>
      </w:r>
      <w:r>
        <w:t xml:space="preserve"> a informování konečných uživatelů</w:t>
      </w:r>
      <w:r w:rsidRPr="00367587">
        <w:t>.</w:t>
      </w:r>
      <w:r>
        <w:t xml:space="preserve"> Pokud jde o oddělené uvádění nákladů na zpětný odběr a nakládání s </w:t>
      </w:r>
      <w:r w:rsidRPr="00B768F1">
        <w:t>odpadními elektrozařízeními nebo odpadními pneumatikami</w:t>
      </w:r>
      <w:r>
        <w:t xml:space="preserve">, ČOI kontroluje pouze to, zda jsou tyto náklady v souladu se zákonem při prodeji výrobku odděleně uváděny či nikoliv. Posouzení souladu výše těchto nákladů s požadavky zákona by překračovalo působnost ČOI, a je proto svěřeno ČIŽP. Aby nedocházelo k překrývání působnosti a dublování kontrol s ČOI, stanoví zákon, že ČIŽP není příslušná ke kontrole v oblastech kontrolovaných ČOI s výjimkou případů, kdy jsou ke kontrole příslušné obě inspekce. To se týká kontrol plnění </w:t>
      </w:r>
      <w:r w:rsidRPr="00367587">
        <w:t>povinnost</w:t>
      </w:r>
      <w:r>
        <w:t>í</w:t>
      </w:r>
      <w:r w:rsidRPr="00367587">
        <w:t xml:space="preserve"> posledních prodejců </w:t>
      </w:r>
      <w:r>
        <w:t>stanovených pro</w:t>
      </w:r>
      <w:r w:rsidRPr="00367587">
        <w:t xml:space="preserve"> zpětný odběr výrobků s ukončenou životností</w:t>
      </w:r>
      <w:r>
        <w:t xml:space="preserve"> a informování konečných uživatelů</w:t>
      </w:r>
      <w:r w:rsidRPr="00367587">
        <w:t>.</w:t>
      </w:r>
      <w:r>
        <w:t xml:space="preserve"> Tyto povinnosti souvisejí jak s  prodejem vybraných výrobků konečnému uživateli, tak s jejich zbavováním se po ukončení jejich životnosti zákonem stanoveným způsobem (předáním ke zpětnému odběru) včetně dopadů nakládání s nimi na životní prostředí. V těchto případech se tedy jeví jako vhodné řešení sdílená kontrolní působnost obou inspekcí, což </w:t>
      </w:r>
      <w:r w:rsidRPr="00FA75E1">
        <w:rPr>
          <w:iCs/>
        </w:rPr>
        <w:t>může přispět k vyšší míře informování široké</w:t>
      </w:r>
      <w:r>
        <w:rPr>
          <w:iCs/>
        </w:rPr>
        <w:t xml:space="preserve"> </w:t>
      </w:r>
      <w:r w:rsidRPr="00FA75E1">
        <w:rPr>
          <w:iCs/>
        </w:rPr>
        <w:t xml:space="preserve">veřejnosti </w:t>
      </w:r>
      <w:r>
        <w:rPr>
          <w:iCs/>
        </w:rPr>
        <w:t>o zpětném odběru výrobků s ukončenou životností a zlepšení plnění cílů zpětného odběru</w:t>
      </w:r>
      <w:r w:rsidRPr="00FA75E1">
        <w:rPr>
          <w:iCs/>
        </w:rPr>
        <w:t>.</w:t>
      </w:r>
    </w:p>
    <w:p w:rsidR="00CC0F90" w:rsidRDefault="00CC0F90" w:rsidP="00CC0F90">
      <w:pPr>
        <w:spacing w:before="240"/>
      </w:pPr>
      <w:r>
        <w:t>Specifickou oblastí je činnost</w:t>
      </w:r>
      <w:r w:rsidRPr="00751133">
        <w:t xml:space="preserve"> provozovatele kolektivního systému</w:t>
      </w:r>
      <w:r>
        <w:t xml:space="preserve"> a s tím související povinnosti a podmínky stanovené zákonem společníkům </w:t>
      </w:r>
      <w:r w:rsidRPr="00E52C41">
        <w:t>provozovatele kolektivního systému</w:t>
      </w:r>
      <w:r>
        <w:t xml:space="preserve">, kde je na základě § 60 k výkonu dohledu příslušné </w:t>
      </w:r>
      <w:r w:rsidRPr="00C724F1">
        <w:t>Ministerstv</w:t>
      </w:r>
      <w:r>
        <w:t>o životního prostředí. Tato oblast není vyloučena z působnosti provádění kontrol ČIŽP z důvodu, aby ministerstvo v případech, kdy je zapotřebí specializované inspekce, mohlo z pozice ústředního správního úřadu na tomto úseku pověřit provedením kontroly plnění určitých povinností v rámci dohledu</w:t>
      </w:r>
      <w:r w:rsidRPr="009D4DED">
        <w:rPr>
          <w:rFonts w:eastAsia="Calibri"/>
          <w:szCs w:val="22"/>
          <w:lang w:bidi="ar-SA"/>
        </w:rPr>
        <w:t xml:space="preserve"> </w:t>
      </w:r>
      <w:r w:rsidRPr="009D4DED">
        <w:t>nad činností provozovatele kolektivního systému</w:t>
      </w:r>
      <w:r>
        <w:t xml:space="preserve"> ČIŽP (např. v případě kontroly správnosti a úplnosti vedení evidencí).</w:t>
      </w:r>
    </w:p>
    <w:p w:rsidR="00CC0F90" w:rsidRDefault="00CC0F90" w:rsidP="00CC0F90">
      <w:pPr>
        <w:spacing w:before="240"/>
      </w:pPr>
      <w:r w:rsidRPr="006C4464">
        <w:t>Celním úřadům je svěřena působnost kontrolovat plnění některých požadavků a podmínek stanovených tímto zákonem při dovozu vybraných výrobků do České republiky a při přeshraniční přepravě použitých elektrozařízení</w:t>
      </w:r>
      <w:r>
        <w:t xml:space="preserve"> nebo pneumatik. Pokud jde o kontrolu, zda </w:t>
      </w:r>
      <w:r w:rsidRPr="004858BA">
        <w:t xml:space="preserve">dovážené vybrané výrobky </w:t>
      </w:r>
      <w:r>
        <w:t>jsou označeny</w:t>
      </w:r>
      <w:r w:rsidRPr="004858BA">
        <w:t xml:space="preserve"> údaji </w:t>
      </w:r>
      <w:r>
        <w:t>v souladu s požadavky</w:t>
      </w:r>
      <w:r w:rsidRPr="004858BA">
        <w:t xml:space="preserve"> tohoto zákona</w:t>
      </w:r>
      <w:r>
        <w:t xml:space="preserve"> a zda dovážené </w:t>
      </w:r>
      <w:r w:rsidRPr="004858BA">
        <w:t>bateri</w:t>
      </w:r>
      <w:r>
        <w:t>e</w:t>
      </w:r>
      <w:r w:rsidRPr="004858BA">
        <w:t xml:space="preserve"> </w:t>
      </w:r>
      <w:r>
        <w:t>a</w:t>
      </w:r>
      <w:r w:rsidRPr="004858BA">
        <w:t xml:space="preserve"> akumulátor</w:t>
      </w:r>
      <w:r>
        <w:t>y splňují stanovené podmínky pro obsah těžkých kovů, mají celní úřady v rukou efektivní nástroj v podobě nepropuštění</w:t>
      </w:r>
      <w:r w:rsidRPr="001905EF">
        <w:t xml:space="preserve"> zboží do navrženého celního režimu</w:t>
      </w:r>
      <w:r>
        <w:t xml:space="preserve">, jestliže dovážené výrobky uvedené požadavky nesplňují. Tento postup mohou celní úřady využít i v případě zjištění, že pro dovážené </w:t>
      </w:r>
      <w:r w:rsidRPr="001905EF">
        <w:t xml:space="preserve">vybrané výrobky </w:t>
      </w:r>
      <w:r>
        <w:t>(</w:t>
      </w:r>
      <w:r w:rsidRPr="001905EF">
        <w:t>s výjimkou vozidel</w:t>
      </w:r>
      <w:r>
        <w:t xml:space="preserve">) není </w:t>
      </w:r>
      <w:r w:rsidRPr="001905EF">
        <w:t>v Seznamu zapsána osoba, která odpovídá za plnění povinností výrobce stanovených tímto zákonem</w:t>
      </w:r>
      <w:r>
        <w:t xml:space="preserve">. Zde ale alternativně může celní úřad zboží propustit </w:t>
      </w:r>
      <w:r w:rsidRPr="001905EF">
        <w:t>do navrženého celního režimu a současně pod</w:t>
      </w:r>
      <w:r>
        <w:t>at</w:t>
      </w:r>
      <w:r w:rsidRPr="001905EF">
        <w:t xml:space="preserve"> </w:t>
      </w:r>
      <w:r>
        <w:t>ČIŽP</w:t>
      </w:r>
      <w:r w:rsidRPr="001905EF">
        <w:t xml:space="preserve"> podnět ke kontrole</w:t>
      </w:r>
      <w:r>
        <w:t xml:space="preserve"> plnění povinností výrobce.</w:t>
      </w:r>
      <w:r w:rsidRPr="001905EF">
        <w:t xml:space="preserve"> </w:t>
      </w:r>
      <w:r>
        <w:t xml:space="preserve">Obligatorní nepropuštění zboží </w:t>
      </w:r>
      <w:r w:rsidRPr="001905EF">
        <w:t>do navrženého celního režimu</w:t>
      </w:r>
      <w:r>
        <w:t xml:space="preserve"> by mohlo být nepřiměřeně tvrdým opatřením vůči dovozcům, z jejichž strany se nejedná o opakované a cílené vyhýbání se povinnostem stanoveným tímto zákonem, a kromě toho by takový postup neúměrně zatížil činnost celních úřadů. Celní úřady při kontrolách podle tohoto zákona spolupracují s ČIŽP, která jim pro tyto účely poskytuje odbornou pomoc. Kontrolu při přeshraniční přepravě použitých elektrozařízení nebo pneumatik vykonávají i</w:t>
      </w:r>
      <w:r w:rsidRPr="006B0E48">
        <w:t xml:space="preserve">nspektoři </w:t>
      </w:r>
      <w:r>
        <w:t xml:space="preserve">ČIŽP </w:t>
      </w:r>
      <w:r w:rsidRPr="006B0E48">
        <w:t>v doprovodu celních úřadů</w:t>
      </w:r>
      <w:r>
        <w:t>, neboť sami nejsou oprávněni zastavovat vozidla za účelem provedení takové kontroly.</w:t>
      </w:r>
    </w:p>
    <w:p w:rsidR="00CC0F90" w:rsidRDefault="00CC0F90" w:rsidP="00CC0F90">
      <w:pPr>
        <w:spacing w:before="240"/>
      </w:pPr>
      <w:r>
        <w:lastRenderedPageBreak/>
        <w:t xml:space="preserve">V oblasti sběru a </w:t>
      </w:r>
      <w:r w:rsidRPr="000B2DFF">
        <w:t>zpracování vozidel s ukončenou životností</w:t>
      </w:r>
      <w:r>
        <w:t xml:space="preserve"> je kontrola plnění povinností stanovených tímto zákonem svěřena krajským úřadům, neboť uvedené činnosti jsou předmětem provozování zařízení ke sběru nebo </w:t>
      </w:r>
      <w:r w:rsidRPr="000B2DFF">
        <w:t>zpracování vozidel s ukončenou životností</w:t>
      </w:r>
      <w:r>
        <w:t>, která podléhají povolení vydávaným krajskými úřady podle zákona o odpadech.</w:t>
      </w:r>
    </w:p>
    <w:p w:rsidR="00CC0F90" w:rsidRDefault="00CC0F90" w:rsidP="00CC0F90">
      <w:pPr>
        <w:spacing w:before="240"/>
      </w:pPr>
      <w:r>
        <w:t xml:space="preserve">Obecním úřadům obcí s rozšířenou působností přísluší </w:t>
      </w:r>
      <w:r w:rsidRPr="008E51CA">
        <w:t>vybír</w:t>
      </w:r>
      <w:r>
        <w:t>at</w:t>
      </w:r>
      <w:r w:rsidRPr="008E51CA">
        <w:t xml:space="preserve"> poplatek za registraci vozidla dle plnění emisních norem a provád</w:t>
      </w:r>
      <w:r>
        <w:t>ět</w:t>
      </w:r>
      <w:r w:rsidRPr="008E51CA">
        <w:t xml:space="preserve"> záznam o zaplacení poplatku za registraci vozidla dle plnění emisních norem a jeho výši do registru silničních vozidel.</w:t>
      </w:r>
    </w:p>
    <w:p w:rsidR="00CC0F90" w:rsidRDefault="00CC0F90" w:rsidP="00CC0F90">
      <w:pPr>
        <w:spacing w:before="240"/>
      </w:pPr>
      <w:r>
        <w:t xml:space="preserve">Při výkonu </w:t>
      </w:r>
      <w:r w:rsidRPr="00B65BC7">
        <w:t>kontrolní činnosti</w:t>
      </w:r>
      <w:r>
        <w:t xml:space="preserve"> podle tohoto zákona se i</w:t>
      </w:r>
      <w:r w:rsidRPr="00B65BC7">
        <w:t xml:space="preserve">nspektoři a pověření zaměstnanci </w:t>
      </w:r>
      <w:r>
        <w:t xml:space="preserve">dalších správních úřadů </w:t>
      </w:r>
      <w:r w:rsidRPr="00B65BC7">
        <w:t xml:space="preserve">prokazují průkazem vydaným příslušným kontrolním orgánem, který </w:t>
      </w:r>
      <w:r>
        <w:t>slouží jako</w:t>
      </w:r>
      <w:r w:rsidRPr="00B65BC7">
        <w:t xml:space="preserve"> doklad o jejich pověření ke kontrole</w:t>
      </w:r>
      <w:r>
        <w:t xml:space="preserve"> ve smyslu § 4 odst. 3 písm. b) kontrolního řádu</w:t>
      </w:r>
      <w:r w:rsidRPr="00B65BC7">
        <w:t>.</w:t>
      </w:r>
      <w:r>
        <w:t xml:space="preserve"> To znamená, že k provedení kontroly nebude v těchto případech zapotřebí </w:t>
      </w:r>
      <w:r w:rsidRPr="00B65BC7">
        <w:t>písemné pověření k jednotlivé kontrole</w:t>
      </w:r>
      <w:r>
        <w:t>.</w:t>
      </w:r>
    </w:p>
    <w:p w:rsidR="00CC0F90" w:rsidRDefault="00CC0F90" w:rsidP="00CC0F90">
      <w:pPr>
        <w:spacing w:before="240"/>
      </w:pPr>
      <w:r>
        <w:t xml:space="preserve">Kontrolním orgánům dává zákon možnost ukládat osobám v případě zjištění porušení povinností opatření a lhůty </w:t>
      </w:r>
      <w:r w:rsidRPr="008E51CA">
        <w:t>pro zjednání nápravy</w:t>
      </w:r>
      <w:r>
        <w:t xml:space="preserve">. </w:t>
      </w:r>
    </w:p>
    <w:p w:rsidR="00CC0F90" w:rsidRDefault="00CC0F90" w:rsidP="00CC0F90">
      <w:pPr>
        <w:spacing w:before="240"/>
      </w:pPr>
      <w:r>
        <w:t xml:space="preserve">Zákon dále upravuje poskytování údajů ze základních registrů </w:t>
      </w:r>
      <w:r w:rsidRPr="004E299E">
        <w:t>správním úřadům vykonávajícím státní správu na úseku předcházení vzniku odpadů z vybraných výrobků a nakládání s výrobky s ukončenou životností</w:t>
      </w:r>
      <w:r>
        <w:t xml:space="preserve"> za účelem plnění jejich úkolů podle tohoto zákona.</w:t>
      </w:r>
    </w:p>
    <w:p w:rsidR="00CC0F90" w:rsidRPr="009219F2" w:rsidRDefault="00CC0F90" w:rsidP="004E714B">
      <w:pPr>
        <w:keepNext/>
        <w:spacing w:before="240"/>
        <w:rPr>
          <w:b/>
        </w:rPr>
      </w:pPr>
      <w:r>
        <w:rPr>
          <w:b/>
        </w:rPr>
        <w:t>K § 141 až 143</w:t>
      </w:r>
    </w:p>
    <w:p w:rsidR="00CC0F90" w:rsidRDefault="00CC0F90" w:rsidP="00CC0F90">
      <w:pPr>
        <w:spacing w:before="240"/>
      </w:pPr>
      <w:r>
        <w:t xml:space="preserve">Společná ustanovení upravují v prvé řadě zasílání ročních zpráv o výrobcích s ukončenou životností některých dalších hlášení podle tohoto zákona </w:t>
      </w:r>
      <w:r w:rsidRPr="004B0BA8">
        <w:t>prostřednictvím integrovaného</w:t>
      </w:r>
      <w:r w:rsidRPr="00FD5ACF">
        <w:t xml:space="preserve"> systému plnění ohlašovacích povinností v oblasti životního prostředí </w:t>
      </w:r>
      <w:r>
        <w:t xml:space="preserve">(ISPOP) </w:t>
      </w:r>
      <w:r w:rsidRPr="00FD5ACF">
        <w:t>nebo datové schránky ministerstva určené k plnění ohlašovacích povinností v oblasti životního prostředí</w:t>
      </w:r>
      <w:r>
        <w:t xml:space="preserve"> (</w:t>
      </w:r>
      <w:r w:rsidRPr="00FD5ACF">
        <w:t xml:space="preserve">zákon </w:t>
      </w:r>
      <w:r>
        <w:t xml:space="preserve">č. 25/2008 Sb., </w:t>
      </w:r>
      <w:r w:rsidRPr="00293B6C">
        <w:t>o integrovaném registru zne</w:t>
      </w:r>
      <w:r>
        <w:t>čišťování životního prostředí a </w:t>
      </w:r>
      <w:r w:rsidRPr="00293B6C">
        <w:t xml:space="preserve">integrovaném systému plnění ohlašovacích povinností v </w:t>
      </w:r>
      <w:r>
        <w:t>oblasti životního prostředí a o </w:t>
      </w:r>
      <w:r w:rsidRPr="00293B6C">
        <w:t>změně některých zákonů</w:t>
      </w:r>
      <w:r>
        <w:t xml:space="preserve">, ve znění pozdějších předpisů). </w:t>
      </w:r>
    </w:p>
    <w:p w:rsidR="00CC0F90" w:rsidRDefault="00CC0F90" w:rsidP="00CC0F90">
      <w:pPr>
        <w:spacing w:before="240"/>
      </w:pPr>
      <w:r>
        <w:t xml:space="preserve">Dále se stanoví, že odvolání nebo rozklad proti rozhodnutí, kterým byla na základě tohoto zákona uložena povinnost zjednat ve </w:t>
      </w:r>
      <w:r w:rsidRPr="00E52C41">
        <w:t>stanovené lhůtě nápravu</w:t>
      </w:r>
      <w:r>
        <w:t>, nemá odkladný účinek, který by jinak v podstatě popřel smysl těchto opatření, tedy zajistit neprodleně odstranění protiprávního stavu.</w:t>
      </w:r>
    </w:p>
    <w:p w:rsidR="00CC0F90" w:rsidRDefault="00CC0F90" w:rsidP="00CC0F90">
      <w:pPr>
        <w:spacing w:before="240"/>
      </w:pPr>
      <w:r>
        <w:t xml:space="preserve">Jelikož v některých případech je parametrem požadavků na hustotu sítě míst zpětného odběru počet obyvatel v obcích, stanoví zákon, že pro účely plnění těchto povinností </w:t>
      </w:r>
      <w:r w:rsidRPr="00120EC8">
        <w:rPr>
          <w:bCs/>
        </w:rPr>
        <w:t>se p</w:t>
      </w:r>
      <w:r w:rsidRPr="00120EC8">
        <w:t>očet obyvatel posuzuje na základě bilance počtu obyvatel České republiky zpracované Českým statistickým úřadem k 1. lednu kalendářního roku</w:t>
      </w:r>
      <w:r>
        <w:t>.</w:t>
      </w:r>
    </w:p>
    <w:p w:rsidR="00CC0F90" w:rsidRPr="009219F2" w:rsidRDefault="00CC0F90" w:rsidP="003F0CAB">
      <w:pPr>
        <w:keepNext/>
        <w:spacing w:before="240"/>
        <w:rPr>
          <w:b/>
        </w:rPr>
      </w:pPr>
      <w:r>
        <w:rPr>
          <w:b/>
        </w:rPr>
        <w:lastRenderedPageBreak/>
        <w:t>K § 144</w:t>
      </w:r>
    </w:p>
    <w:p w:rsidR="00CC0F90" w:rsidRDefault="00CC0F90" w:rsidP="00CC0F90">
      <w:pPr>
        <w:spacing w:before="240"/>
      </w:pPr>
      <w:r>
        <w:t xml:space="preserve">Přechodným ustanovením v odstavci 1 jsou řešeny situace, kdy výrobce uváděl na trh vybrané výrobky přede dnem nabytí účinnosti tohoto zákona, k nimž mu podle dosavadních právních předpisů vznikly určité povinnosti (zejména zajistit zpětný odběr, zpracování a využití nebo odstranění těchto výrobků po ukončení jejich životnosti), které k uvedenému dni dosud nesplnil. Tyto povinnosti výrobce tedy na základě navrhovaného přechodného ustanovení trvají, resp. </w:t>
      </w:r>
      <w:r w:rsidRPr="007E6FAA">
        <w:t>považují se za povinnosti podle tohoto zákona</w:t>
      </w:r>
      <w:r>
        <w:t xml:space="preserve">, a to </w:t>
      </w:r>
      <w:r w:rsidRPr="007E6FAA">
        <w:t>v rozsahu, v jakém jsou tímto zákonem stanoveny.</w:t>
      </w:r>
    </w:p>
    <w:p w:rsidR="00CC0F90" w:rsidRDefault="00CC0F90" w:rsidP="00CC0F90">
      <w:pPr>
        <w:spacing w:before="240"/>
      </w:pPr>
      <w:r>
        <w:t>Přechodné ustanovení v odstavci 1 řeší transformaci finančních záruk samostatně plnících výrobců, vytvořených na základě dosavadních ustanovení zákona o odpadech (</w:t>
      </w:r>
      <w:r w:rsidRPr="007E6FAA">
        <w:t>§ 31g odst. 1 písm. c)</w:t>
      </w:r>
      <w:r>
        <w:t xml:space="preserve">, </w:t>
      </w:r>
      <w:r w:rsidRPr="007E6FAA">
        <w:t>§ 37n odst. 2</w:t>
      </w:r>
      <w:r>
        <w:t xml:space="preserve"> a</w:t>
      </w:r>
      <w:r w:rsidRPr="007E6FAA">
        <w:t xml:space="preserve"> § 37p odst. 1</w:t>
      </w:r>
      <w:r>
        <w:t>), ve finanční záruku podle navrhovaného zákona (</w:t>
      </w:r>
      <w:r w:rsidRPr="007E6FAA">
        <w:t>§ 31</w:t>
      </w:r>
      <w:r>
        <w:t xml:space="preserve">). Stávající zákon sice umožňuje, aby záruka podle </w:t>
      </w:r>
      <w:r w:rsidRPr="007E6FAA">
        <w:t>§ 31g odst. 1 písm. c)</w:t>
      </w:r>
      <w:r>
        <w:t xml:space="preserve"> nebo </w:t>
      </w:r>
      <w:r w:rsidRPr="007E6FAA">
        <w:t>§ 37n odst. 2</w:t>
      </w:r>
      <w:r>
        <w:t xml:space="preserve"> měla formu pojištění, což nový zákon již neumožní, avšak v praxi žádná ze záruk výrobců formu pojištění nemá, mimo jiné i z toho důvodu, že takový pojistný produkt není pojišťovnami nabízen. Požadavky stanovené tímto zákonem musí finanční záruka </w:t>
      </w:r>
      <w:r w:rsidRPr="007E6FAA">
        <w:t>splňovat</w:t>
      </w:r>
      <w:r w:rsidRPr="00753386">
        <w:t xml:space="preserve"> </w:t>
      </w:r>
      <w:r w:rsidRPr="007E6FAA">
        <w:t>nejpozději do 60 dnů ode dne nabytí účinnosti tohoto zákona.</w:t>
      </w:r>
    </w:p>
    <w:p w:rsidR="00CC0F90" w:rsidRDefault="00CC0F90" w:rsidP="00CC0F90">
      <w:pPr>
        <w:spacing w:before="240"/>
      </w:pPr>
      <w:r>
        <w:t xml:space="preserve">Obdobně jako navrhovaný zákon, stanoví rovněž stávající zákon o odpadech výrobcům elektrozařízení, výrobcům baterií nebo akumulátorů a výrobcům pneumatik (resp. dle stávající právní úpravy povinným osobám v oblasti zpětného odběru pneumatik) povinnost zpracovat roční zprávu </w:t>
      </w:r>
      <w:r>
        <w:rPr>
          <w:bCs/>
        </w:rPr>
        <w:t xml:space="preserve">o zpětném odběru a tuto zprávu zaslat ministerstvu do 31. března následujícího kalendářního roku. Vzhledem k tomu, že dnem 1. ledna 2018 by měl vstoupit v účinnost </w:t>
      </w:r>
      <w:r>
        <w:t>navrhovaný zákon a k témuž dni by měl být stávající zákon</w:t>
      </w:r>
      <w:r w:rsidRPr="00F05846">
        <w:t xml:space="preserve"> </w:t>
      </w:r>
      <w:r>
        <w:t>o odpadech zrušen novým zákonem o odpadech, je třeba přechodným ustanovením stanovit, že uvedená povinnost se bude aplikovat i po zrušení stávajícího zákona o odpadech, pokud jde o roční zprávu za rok 2017. Povinné osoby tedy budou muset zaslat ministerstvu roční zprávu za uvedený rok do 31. března 2018, čímž bude zaručena kontinuita plnění této povinnosti při přechodu na nový zákon. Ustanovení nového zákona o zpracování a zasílání ročních zpráv se budou aplikovat až na zprávy zpracovávané za rok 2018.</w:t>
      </w:r>
    </w:p>
    <w:p w:rsidR="00CC0F90" w:rsidRPr="009219F2" w:rsidRDefault="00CC0F90" w:rsidP="004E714B">
      <w:pPr>
        <w:keepNext/>
        <w:spacing w:before="240"/>
        <w:rPr>
          <w:b/>
        </w:rPr>
      </w:pPr>
      <w:r>
        <w:rPr>
          <w:b/>
        </w:rPr>
        <w:t>K § 145</w:t>
      </w:r>
    </w:p>
    <w:p w:rsidR="00CC0F90" w:rsidRDefault="00CC0F90" w:rsidP="00CC0F90">
      <w:pPr>
        <w:spacing w:before="240"/>
      </w:pPr>
      <w:r>
        <w:t>Navržená přechodná ustanovení řeší přeměnu a přizpůsobení informačních systémů veřejné správy zřízených v oblasti výrobků s ukončenou životností na základě ustanovení dosavadního zákona o odpadech tak, aby mohly být využity, včetně údajů v nich obsažených, jako informační systémy veřejné správy, jejichž zřízení a fungování předpokládá navrhovaný zákon. Týká se to konkrétně r</w:t>
      </w:r>
      <w:r w:rsidRPr="00731F41">
        <w:t>egistr</w:t>
      </w:r>
      <w:r>
        <w:t>u</w:t>
      </w:r>
      <w:r w:rsidRPr="00731F41">
        <w:t xml:space="preserve"> míst zpětného odběru</w:t>
      </w:r>
      <w:r>
        <w:t xml:space="preserve">, Seznamu </w:t>
      </w:r>
      <w:r w:rsidRPr="00731F41">
        <w:t>výrobců elektrozařízení</w:t>
      </w:r>
      <w:r>
        <w:t xml:space="preserve">, </w:t>
      </w:r>
      <w:r w:rsidRPr="00731F41">
        <w:t>Seznam</w:t>
      </w:r>
      <w:r>
        <w:t>u</w:t>
      </w:r>
      <w:r w:rsidRPr="00731F41">
        <w:t xml:space="preserve"> výrobců baterií a akumulátorů</w:t>
      </w:r>
      <w:r>
        <w:t xml:space="preserve">, </w:t>
      </w:r>
      <w:r w:rsidRPr="00731F41">
        <w:t>Seznam</w:t>
      </w:r>
      <w:r>
        <w:t>u</w:t>
      </w:r>
      <w:r w:rsidRPr="00731F41">
        <w:t xml:space="preserve"> povinných osob v oblasti zpětného odběru pneumatik</w:t>
      </w:r>
      <w:r>
        <w:t xml:space="preserve"> a i</w:t>
      </w:r>
      <w:r w:rsidRPr="00731F41">
        <w:t>nformační</w:t>
      </w:r>
      <w:r>
        <w:t>ho</w:t>
      </w:r>
      <w:r w:rsidRPr="00731F41">
        <w:t xml:space="preserve"> systém</w:t>
      </w:r>
      <w:r>
        <w:t>u</w:t>
      </w:r>
      <w:r w:rsidRPr="00731F41">
        <w:t xml:space="preserve"> sledování toků vybraných autovraků</w:t>
      </w:r>
      <w:r>
        <w:t>.</w:t>
      </w:r>
    </w:p>
    <w:p w:rsidR="00CC0F90" w:rsidRDefault="00CC0F90" w:rsidP="00CC0F90">
      <w:pPr>
        <w:spacing w:before="240"/>
      </w:pPr>
      <w:r>
        <w:t>R</w:t>
      </w:r>
      <w:r w:rsidRPr="00731F41">
        <w:t>egistr míst zpětného odběru</w:t>
      </w:r>
      <w:r>
        <w:t xml:space="preserve"> byl zřízen na základě § 37s stávajícího zákona o odpadech pro vedení údajů o místech zpětného odběru elektrozařízení pocházejících z domácností. Navrhovaným zákonem bude tento registr rozšířen tak, že v něm budou vedeny údaje </w:t>
      </w:r>
      <w:r>
        <w:lastRenderedPageBreak/>
        <w:t>o místech zpětného odběru všech odpadních elektrozařízení, odpadních baterií a akumulátorů a odpadních pneumatik. Rovněž i</w:t>
      </w:r>
      <w:r w:rsidRPr="00731F41">
        <w:t>nformační systém sledování toků vybraných autovraků</w:t>
      </w:r>
      <w:r>
        <w:t xml:space="preserve"> bude novým zákonem rozšířen, pokud jde o rozsah údajů v něm vedených, a bude se nově nazývat </w:t>
      </w:r>
      <w:r w:rsidRPr="00731F41">
        <w:t>informační systém pro vedení informací o vozidlech s ukončenou životností</w:t>
      </w:r>
      <w:r>
        <w:t xml:space="preserve">. Přechodné ustanovení v případě obou těchto informačních systémů veřejné správy stanoví, že se </w:t>
      </w:r>
      <w:r w:rsidRPr="00731F41">
        <w:t xml:space="preserve">dnem nabytí </w:t>
      </w:r>
      <w:r>
        <w:t xml:space="preserve">účinnosti tohoto zákona považují za příslušné informační systémy veřejné správy </w:t>
      </w:r>
      <w:r w:rsidRPr="00731F41">
        <w:t>podle tohoto zákona.</w:t>
      </w:r>
    </w:p>
    <w:p w:rsidR="00CC0F90" w:rsidRDefault="00CC0F90" w:rsidP="00CC0F90">
      <w:pPr>
        <w:spacing w:before="240"/>
      </w:pPr>
      <w:r>
        <w:t xml:space="preserve">Pokud jde o uvedené seznamy výrobců, resp. povinných osob, navrhovaný zákon počítá se sjednocením pravidel jejich vedení s tím, že se bude jednat o jeden informační systém veřejné správy – Seznam výrobců, který bude zahrnovat tři oddělené databáze – </w:t>
      </w:r>
      <w:r w:rsidRPr="002B7BDB">
        <w:t>Seznam výrobců elektrozařízení</w:t>
      </w:r>
      <w:r>
        <w:t xml:space="preserve">, </w:t>
      </w:r>
      <w:r w:rsidRPr="00731F41">
        <w:t>Seznam výrobců baterií nebo akumulátorů</w:t>
      </w:r>
      <w:r>
        <w:t xml:space="preserve"> a </w:t>
      </w:r>
      <w:r w:rsidRPr="00731F41">
        <w:t>Seznam výrobců pneumatik</w:t>
      </w:r>
      <w:r>
        <w:t xml:space="preserve">. Přechodné ustanovení je tedy formulováno obdobně, tedy že dosavadní seznamy výrobců, resp. povinných osob, se </w:t>
      </w:r>
      <w:r w:rsidRPr="00731F41">
        <w:t xml:space="preserve">dnem nabytí </w:t>
      </w:r>
      <w:r>
        <w:t xml:space="preserve">účinnosti tohoto zákona považují za příslušné seznamy výrobců </w:t>
      </w:r>
      <w:r w:rsidRPr="00731F41">
        <w:t>podle tohoto zákona.</w:t>
      </w:r>
      <w:r>
        <w:t xml:space="preserve"> Jelikož podle dosavadní právní úpravy se do </w:t>
      </w:r>
      <w:r w:rsidRPr="00731F41">
        <w:t>Seznam</w:t>
      </w:r>
      <w:r>
        <w:t>u</w:t>
      </w:r>
      <w:r w:rsidRPr="00731F41">
        <w:t xml:space="preserve"> výrobců elektrozařízení</w:t>
      </w:r>
      <w:r>
        <w:t xml:space="preserve"> zapisují rovněž provozovatelé kolektivních systémů, což již podle navrhovaného zákona nebude platit, je přeměna tohoto seznamu na základě přechodného ustanovení limitována v tom směru, že jde o </w:t>
      </w:r>
      <w:r w:rsidRPr="00731F41">
        <w:t>Seznam výrobců elektrozařízení</w:t>
      </w:r>
      <w:r>
        <w:t xml:space="preserve"> pouze v rozsahu, v </w:t>
      </w:r>
      <w:r w:rsidRPr="00731F41">
        <w:t>němž nezahrnuje údaje o</w:t>
      </w:r>
      <w:r>
        <w:t xml:space="preserve"> provozovatelích kolektivních systémů.</w:t>
      </w:r>
    </w:p>
    <w:p w:rsidR="00CC0F90" w:rsidRDefault="00CC0F90" w:rsidP="00CC0F90">
      <w:pPr>
        <w:spacing w:before="240"/>
      </w:pPr>
      <w:r>
        <w:t xml:space="preserve">Vzhledem k tomu, že rozsah údajů není zcela shodný, je přechodným ustanovením dále stanoveno, že výrobci, povinné osoby a pověření zástupci zapsaní v dosavadních seznamech výrobců, resp. povinných osob ke </w:t>
      </w:r>
      <w:r w:rsidRPr="00731F41">
        <w:t>dni nabytí účinnosti tohoto zákona</w:t>
      </w:r>
      <w:r>
        <w:t xml:space="preserve"> jsou povinni </w:t>
      </w:r>
      <w:r w:rsidRPr="00731F41">
        <w:t xml:space="preserve">postupem stanoveným </w:t>
      </w:r>
      <w:r>
        <w:t>navrhovaným</w:t>
      </w:r>
      <w:r w:rsidRPr="00731F41">
        <w:t xml:space="preserve"> zákonem pro změny údajů zapsaných v Seznamu ve lhůtě 90 dnů přizpůsobit zapsaný stav stavu požadovanému tímto zákonem</w:t>
      </w:r>
      <w:r>
        <w:t>. Změny či doplnění údajů tedy zapsané osoby provedou podle § 21 samy dálkovým přístupem nebo oznámením ministerstvu.</w:t>
      </w:r>
    </w:p>
    <w:p w:rsidR="00CC0F90" w:rsidRDefault="00CC0F90" w:rsidP="00CC0F90">
      <w:pPr>
        <w:spacing w:before="240"/>
      </w:pPr>
      <w:r>
        <w:t xml:space="preserve">Přechodné ustanovení rovněž řeší postup v případě návrhů na zápis do dosavadních seznamů výrobců, resp. povinných osob, které byly podány přede dnem </w:t>
      </w:r>
      <w:r w:rsidRPr="00731F41">
        <w:t xml:space="preserve">nabytí účinnosti </w:t>
      </w:r>
      <w:r>
        <w:t>navrhovaného</w:t>
      </w:r>
      <w:r w:rsidRPr="00731F41">
        <w:t xml:space="preserve"> zákona</w:t>
      </w:r>
      <w:r>
        <w:t xml:space="preserve"> a o nichž nebylo do uvedeného dne </w:t>
      </w:r>
      <w:r w:rsidRPr="00731F41">
        <w:t>pravomocně rozhodnuto</w:t>
      </w:r>
      <w:r>
        <w:t xml:space="preserve">. Tyto návrhy se považují za žádosti o zápis do Seznamu podle </w:t>
      </w:r>
      <w:r w:rsidRPr="00731F41">
        <w:t xml:space="preserve">tohoto </w:t>
      </w:r>
      <w:r>
        <w:t xml:space="preserve">zákona s tím, že žadatel je povinen ve lhůtě 15 dnů svoji žádost doplnit dle požadavků tohoto zákona, podle něhož se řízení </w:t>
      </w:r>
      <w:r w:rsidRPr="00731F41">
        <w:t>dokončí</w:t>
      </w:r>
      <w:r>
        <w:t xml:space="preserve">. Výjimkou jsou </w:t>
      </w:r>
      <w:r w:rsidRPr="00731F41">
        <w:t xml:space="preserve">pravomocně </w:t>
      </w:r>
      <w:r>
        <w:t>ne</w:t>
      </w:r>
      <w:r w:rsidRPr="00731F41">
        <w:t>skončen</w:t>
      </w:r>
      <w:r>
        <w:t xml:space="preserve">á řízení o návrhu na zápis do </w:t>
      </w:r>
      <w:r w:rsidRPr="00731F41">
        <w:t>Seznamu výrobců elektrozařízení</w:t>
      </w:r>
      <w:r>
        <w:t xml:space="preserve"> podaném provozovatelem kolektivního systému, která se </w:t>
      </w:r>
      <w:r w:rsidRPr="00731F41">
        <w:t>dnem nabytí účinnosti tohoto zákona zastavují</w:t>
      </w:r>
      <w:r>
        <w:t>, neboť jak bylo uvedeno výše, provozovatelé kolektivních systémů již nebudou zapisováni do Seznamu výrobců.</w:t>
      </w:r>
    </w:p>
    <w:p w:rsidR="00CC0F90" w:rsidRPr="009219F2" w:rsidRDefault="00CC0F90" w:rsidP="00CC0F90">
      <w:pPr>
        <w:spacing w:before="240"/>
        <w:rPr>
          <w:b/>
        </w:rPr>
      </w:pPr>
      <w:r>
        <w:rPr>
          <w:b/>
        </w:rPr>
        <w:t>K § 146</w:t>
      </w:r>
    </w:p>
    <w:p w:rsidR="00CC0F90" w:rsidRDefault="00CC0F90" w:rsidP="00CC0F90">
      <w:pPr>
        <w:spacing w:before="240"/>
      </w:pPr>
      <w:r>
        <w:t xml:space="preserve">Vzhledem k tomu, že navrhovaný zákon klade ve srovnání s dosavadní právní úpravou v zákoně o odpadech na provozovatele kolektivních systémů podstatně vyšší nároky, pokud jde o podmínky pro udělení oprávnění k provozování kolektivního systému, měly by tyto podmínky splňovat všichni provozovatelé kolektivních systémů, aby nedošlo ke zvýhodnění těch stávajících. Zákon tedy vyžaduje, aby stávající provozovatelé kolektivních systémů, chtějí-li kolektivní systém i nadále provozovat, požádali o vydání nového oprávnění </w:t>
      </w:r>
      <w:r>
        <w:lastRenderedPageBreak/>
        <w:t xml:space="preserve">k provozování kolektivního systému podle tohoto zákona. Na druhou stranu, přizpůsobení se novým podmínkám bude pro stávající provozovatele kolektivních systémů znamenat časově i finančně náročný proces, proto je přechodným ustanovením těmto osobám poskytnuto přechodné období v délce 18 měsíců, během něhož jsou oprávněny provozovat kolektivní systém na základě jejich dosavadního oprávnění a které mohou využít k přizpůsobení se novým požadavkům a zpracování a předložení žádosti o vydání nového oprávnění. Přitom postačí, je-li žádost podána v uvedené lhůtě – dočasné oprávnění provozovat kolektivní systém pak skončí až nabytím </w:t>
      </w:r>
      <w:r w:rsidRPr="00013E99">
        <w:t xml:space="preserve">právní moci rozhodnutí o </w:t>
      </w:r>
      <w:r>
        <w:t xml:space="preserve">této </w:t>
      </w:r>
      <w:r w:rsidRPr="00013E99">
        <w:t>žádosti</w:t>
      </w:r>
      <w:r>
        <w:t>.</w:t>
      </w:r>
    </w:p>
    <w:p w:rsidR="00CC0F90" w:rsidRDefault="00CC0F90" w:rsidP="00CC0F90">
      <w:pPr>
        <w:spacing w:before="240"/>
      </w:pPr>
      <w:r>
        <w:t xml:space="preserve">Dočasná </w:t>
      </w:r>
      <w:r w:rsidRPr="00013E99">
        <w:t>oprávnění provozovat kolektivní systém podle odstavce 1</w:t>
      </w:r>
      <w:r>
        <w:t xml:space="preserve"> by měla být ministerstvem evidována, proto je přechodným ustanovením stanoveno, že tato oprávnění ministerstvo vede v seznamu podle § 40 odst. 1 obdobně jako nová oprávnění k provozování kolektivního systému.</w:t>
      </w:r>
    </w:p>
    <w:p w:rsidR="00CC0F90" w:rsidRDefault="00CC0F90" w:rsidP="00CC0F90">
      <w:pPr>
        <w:spacing w:before="240"/>
      </w:pPr>
      <w:r>
        <w:t>Přechodným ustanovením je dále stanoveno, která z ustanovení se v</w:t>
      </w:r>
      <w:r w:rsidRPr="00013E99">
        <w:t>e vztahu k provozovateli kolektivního systému</w:t>
      </w:r>
      <w:r>
        <w:t xml:space="preserve"> nepoužijí </w:t>
      </w:r>
      <w:r w:rsidRPr="00013E99">
        <w:t>po dobu, po kterou platí jeho dočasné oprávnění provozovat kolektivní systém</w:t>
      </w:r>
      <w:r>
        <w:t xml:space="preserve">. Jde logicky o ustanovení související s plněním podmínek pro vydání oprávnění k provozování kolektivního systému po dobu jeho platnosti a dále nad rámec toho ustanovení o minimálním podílu výrobků uvedených na trh společníky provozovatele kolektivního systému a ustanovení upravující povinnost vytvářet finanční rezervu. V těchto případech jde o povinnosti, resp. podmínky, které by měly být vyžadovány až v po vydání nového oprávnění k provozování kolektivního systému. Naopak všechny ostatní povinnosti, omezení a podmínky, které zákon stanoví provozovateli kolektivního systému a jeho společníkům, se budou vztahovat již ode dne nabytí účinnosti zákona i na stávající provozovatele kolektivních systémů (např. omezení předmětu činnosti, povinnosti při hospodaření s příspěvky výrobců, povinnosti při zajišťování zpracování výrobků s ukončenou životností, povinné provádění auditů atd.). </w:t>
      </w:r>
    </w:p>
    <w:p w:rsidR="00CC0F90" w:rsidRDefault="00CC0F90" w:rsidP="00CC0F90">
      <w:pPr>
        <w:spacing w:before="240"/>
      </w:pPr>
      <w:r>
        <w:t xml:space="preserve">Dočasné oprávnění provozovat kolektivní systém by nemělo být nezrušitelné, na druhou stranu ale nelze aplikovat ustanovení navrhovaného zákona umožňující zrušení oprávnění k provozování kolektivního systému z důvodu neplnění podmínek stanovených tímto zákonem pro jeho vydání. Přechodné ustanovení proto stanoví, jak v takovém případě postupovat s tím, že namísto podmínek pro vydání oprávnění stanovených tímto zákonem je posuzováno plnění </w:t>
      </w:r>
      <w:r w:rsidRPr="00013E99">
        <w:t>podmín</w:t>
      </w:r>
      <w:r>
        <w:t>e</w:t>
      </w:r>
      <w:r w:rsidRPr="00013E99">
        <w:t>k pro vydání oprávnění stanoven</w:t>
      </w:r>
      <w:r>
        <w:t>ých</w:t>
      </w:r>
      <w:r w:rsidRPr="00013E99">
        <w:t xml:space="preserve"> </w:t>
      </w:r>
      <w:r>
        <w:t xml:space="preserve">stávajícím </w:t>
      </w:r>
      <w:r w:rsidRPr="00013E99">
        <w:t xml:space="preserve">zákonem </w:t>
      </w:r>
      <w:r>
        <w:t>o odpadech.</w:t>
      </w:r>
    </w:p>
    <w:p w:rsidR="00CC0F90" w:rsidRDefault="00CC0F90" w:rsidP="00CC0F90">
      <w:pPr>
        <w:spacing w:before="240"/>
      </w:pPr>
      <w:r>
        <w:t xml:space="preserve">Smyslem přechodného ustanovení v odstavci 4 je jednoznačně stanovit, že pro ustavení koordinačního centra jsou rozhodující oprávnění k provozování kolektivního systému vydaná podle navrhovaného zákona, nikoliv dočasná oprávnění podle odstavce 1. Koordinační centrum tedy bude moci vzniknout až v okamžiku, kdy pro daný druh vybraných výrobků budou existovat alespoň dva kolektivní systémy, pro které bylo vydáno (nové) oprávnění k provozování kolektivního systému podle tohoto zákona. </w:t>
      </w:r>
      <w:r w:rsidRPr="00A146B8">
        <w:t>Členy koordinačního centra pak budou pouze provozovatelé kolektivních systémů s novými, nikoliv dočasnými oprávněními k jejich provozování.</w:t>
      </w:r>
    </w:p>
    <w:p w:rsidR="00CC0F90" w:rsidRPr="009219F2" w:rsidRDefault="00CC0F90" w:rsidP="003F0CAB">
      <w:pPr>
        <w:keepNext/>
        <w:spacing w:before="240"/>
        <w:rPr>
          <w:b/>
        </w:rPr>
      </w:pPr>
      <w:r w:rsidRPr="009219F2">
        <w:rPr>
          <w:b/>
        </w:rPr>
        <w:lastRenderedPageBreak/>
        <w:t>K § 14</w:t>
      </w:r>
      <w:r>
        <w:rPr>
          <w:b/>
        </w:rPr>
        <w:t>7</w:t>
      </w:r>
    </w:p>
    <w:p w:rsidR="00CC0F90" w:rsidRDefault="00CC0F90" w:rsidP="00CC0F90">
      <w:pPr>
        <w:spacing w:before="240"/>
      </w:pPr>
      <w:r>
        <w:t>Přechodné ustanovení řeší problematiku zařízení, která mají povolení již podle zákona o odpadech z roku 2001. Tato zařízení, chtějí-li dále pokračovat v předmětné činnosti, si musí o</w:t>
      </w:r>
      <w:r w:rsidRPr="00B213C7">
        <w:t xml:space="preserve"> povolení podle tohoto zákona </w:t>
      </w:r>
      <w:r>
        <w:t xml:space="preserve">požádat do doby, než pozbyde souhlas k provozování zařízení podle dosavadního </w:t>
      </w:r>
      <w:r w:rsidRPr="00013E99">
        <w:t>zákon</w:t>
      </w:r>
      <w:r>
        <w:t>a</w:t>
      </w:r>
      <w:r w:rsidRPr="00013E99">
        <w:t xml:space="preserve"> </w:t>
      </w:r>
      <w:r>
        <w:t>o odpadech platnosti,</w:t>
      </w:r>
      <w:r w:rsidRPr="00B213C7">
        <w:t xml:space="preserve"> nejdéle </w:t>
      </w:r>
      <w:r>
        <w:t xml:space="preserve">však </w:t>
      </w:r>
      <w:r w:rsidRPr="00B213C7">
        <w:t xml:space="preserve">do jednoho roku po </w:t>
      </w:r>
      <w:r>
        <w:t xml:space="preserve">nabytí </w:t>
      </w:r>
      <w:r w:rsidRPr="00B213C7">
        <w:t>účinnosti tohoto zákona.</w:t>
      </w:r>
    </w:p>
    <w:p w:rsidR="00CC0F90" w:rsidRPr="00B213C7" w:rsidRDefault="00CC0F90" w:rsidP="00CC0F90">
      <w:pPr>
        <w:spacing w:before="240"/>
      </w:pPr>
      <w:r>
        <w:t xml:space="preserve">Přechodné ustanovení dále také stanoví, že byl-li poplatek </w:t>
      </w:r>
      <w:r w:rsidRPr="005E46D1">
        <w:t>za registraci vozidla dle plnění emisních norem</w:t>
      </w:r>
      <w:r>
        <w:t xml:space="preserve"> zaplacen již podle stávajícího </w:t>
      </w:r>
      <w:r w:rsidRPr="00013E99">
        <w:t>zákon</w:t>
      </w:r>
      <w:r>
        <w:t>a</w:t>
      </w:r>
      <w:r w:rsidRPr="00013E99">
        <w:t xml:space="preserve"> </w:t>
      </w:r>
      <w:r>
        <w:t>o odpadech, pak nevzniká povinnost opětovně platit tento poplatek dle zákona o výrobcích s ukončenou životností.</w:t>
      </w:r>
    </w:p>
    <w:p w:rsidR="00CC0F90" w:rsidRPr="009219F2" w:rsidRDefault="00CC0F90" w:rsidP="00CC0F90">
      <w:pPr>
        <w:spacing w:before="240"/>
        <w:rPr>
          <w:b/>
        </w:rPr>
      </w:pPr>
      <w:r>
        <w:rPr>
          <w:b/>
        </w:rPr>
        <w:t>K § 148 a 149</w:t>
      </w:r>
    </w:p>
    <w:p w:rsidR="00CC0F90" w:rsidRDefault="00CC0F90" w:rsidP="00CC0F90">
      <w:pPr>
        <w:spacing w:before="240"/>
        <w:rPr>
          <w:bCs/>
        </w:rPr>
      </w:pPr>
      <w:r>
        <w:t>Závěrečná ustanovení se týkají oznámení návrhu zákona v souladu se směrnicí Evropského parlamentu a Rady</w:t>
      </w:r>
      <w:r>
        <w:rPr>
          <w:bCs/>
        </w:rPr>
        <w:t xml:space="preserve"> </w:t>
      </w:r>
      <w:r w:rsidRPr="00B87927">
        <w:rPr>
          <w:bCs/>
        </w:rPr>
        <w:t>(EU) 2015/1535 ze dne 9. září 2015 o post</w:t>
      </w:r>
      <w:r>
        <w:rPr>
          <w:bCs/>
        </w:rPr>
        <w:t>upu při poskytování informací v </w:t>
      </w:r>
      <w:r w:rsidRPr="00B87927">
        <w:rPr>
          <w:bCs/>
        </w:rPr>
        <w:t>oblasti technických předpisů a předpisů pro služby informační společnosti</w:t>
      </w:r>
      <w:r>
        <w:rPr>
          <w:bCs/>
        </w:rPr>
        <w:t xml:space="preserve"> a dále obsahují zmocnění k vydání vyhlášek Ministerstva životního prostředí k provedení tohoto zákona.</w:t>
      </w:r>
    </w:p>
    <w:p w:rsidR="00CC0F90" w:rsidRPr="009219F2" w:rsidRDefault="00CC0F90" w:rsidP="004E714B">
      <w:pPr>
        <w:keepNext/>
        <w:spacing w:before="240"/>
        <w:rPr>
          <w:b/>
        </w:rPr>
      </w:pPr>
      <w:r>
        <w:rPr>
          <w:b/>
        </w:rPr>
        <w:t>K § 150</w:t>
      </w:r>
    </w:p>
    <w:p w:rsidR="00CC0F90" w:rsidRPr="00C417C6" w:rsidRDefault="00CC0F90" w:rsidP="00CC0F90">
      <w:pPr>
        <w:spacing w:before="240"/>
      </w:pPr>
      <w:r w:rsidRPr="00C417C6">
        <w:t>V zákoně o pozemních komunikacích</w:t>
      </w:r>
      <w:r>
        <w:t xml:space="preserve"> se přizpůsobuje terminologie navrhovanému zákonu, pokud jde o zařízení ke </w:t>
      </w:r>
      <w:r w:rsidRPr="0074156C">
        <w:t>sběru nebo zpracování vozidel s ukončenou životností</w:t>
      </w:r>
      <w:r>
        <w:t>, a nahrazuje se odkaz na rušený zákon o odpadech odkazem na navrhovaný zákon.</w:t>
      </w:r>
    </w:p>
    <w:p w:rsidR="00CC0F90" w:rsidRPr="009219F2" w:rsidRDefault="00CC0F90" w:rsidP="004E714B">
      <w:pPr>
        <w:keepNext/>
        <w:spacing w:before="240"/>
        <w:rPr>
          <w:b/>
        </w:rPr>
      </w:pPr>
      <w:r>
        <w:rPr>
          <w:b/>
        </w:rPr>
        <w:t>K § 151</w:t>
      </w:r>
    </w:p>
    <w:p w:rsidR="00CC0F90" w:rsidRPr="00690E50" w:rsidRDefault="00CC0F90" w:rsidP="00CC0F90">
      <w:pPr>
        <w:spacing w:before="240"/>
      </w:pPr>
      <w:r w:rsidRPr="00690E50">
        <w:t>V zákoně o podmínkách provozu vozidel na pozemních komunikacích</w:t>
      </w:r>
      <w:r>
        <w:t xml:space="preserve"> se přizpůsobuje terminologie navrhovanému zákonu, pokud jde o zařízení ke </w:t>
      </w:r>
      <w:r w:rsidRPr="0074156C">
        <w:t>sběru nebo zpracování vozidel s ukončenou životností</w:t>
      </w:r>
      <w:r>
        <w:t xml:space="preserve"> a </w:t>
      </w:r>
      <w:r w:rsidRPr="00980CBE">
        <w:t>informační systém pro vedení informací o vozidlech s ukončenou životností</w:t>
      </w:r>
      <w:r>
        <w:t>, a nahrazuje se odkaz na rušený zákon o odpadech odkazem na navrhovaný zákon.</w:t>
      </w:r>
    </w:p>
    <w:p w:rsidR="00CC0F90" w:rsidRPr="009219F2" w:rsidRDefault="00CC0F90" w:rsidP="004E714B">
      <w:pPr>
        <w:keepNext/>
        <w:spacing w:before="240"/>
        <w:rPr>
          <w:b/>
        </w:rPr>
      </w:pPr>
      <w:r>
        <w:rPr>
          <w:b/>
        </w:rPr>
        <w:t>K § 152</w:t>
      </w:r>
    </w:p>
    <w:p w:rsidR="00CC0F90" w:rsidRDefault="00CC0F90" w:rsidP="00CC0F90">
      <w:pPr>
        <w:spacing w:before="240"/>
      </w:pPr>
      <w:r>
        <w:t>Nabytí účinnosti zákona je s ohledem na předpokládaný průběh legislativního procesu a dostatečnou legisvakanční dobu navrhováno dnem 1. ledna 2018.</w:t>
      </w:r>
    </w:p>
    <w:p w:rsidR="00CC0F90" w:rsidRPr="009219F2" w:rsidRDefault="00CC0F90" w:rsidP="004E714B">
      <w:pPr>
        <w:keepNext/>
        <w:spacing w:before="240"/>
        <w:rPr>
          <w:b/>
        </w:rPr>
      </w:pPr>
      <w:r>
        <w:rPr>
          <w:b/>
        </w:rPr>
        <w:t>K příloze č. 1</w:t>
      </w:r>
    </w:p>
    <w:p w:rsidR="00CC0F90" w:rsidRDefault="00CC0F90" w:rsidP="00CC0F90">
      <w:pPr>
        <w:spacing w:before="240"/>
      </w:pPr>
      <w:r w:rsidRPr="009F75D2">
        <w:t xml:space="preserve">Vzhledem k tomu, že směrnice 2012/19/EU mění skupiny elektrozařízení s účinností od 15. srpna 2018, </w:t>
      </w:r>
      <w:r>
        <w:t xml:space="preserve">obsahuje příloha č. 1 </w:t>
      </w:r>
      <w:r w:rsidRPr="009F75D2">
        <w:t xml:space="preserve">v návaznosti na § </w:t>
      </w:r>
      <w:r>
        <w:t>79</w:t>
      </w:r>
      <w:r w:rsidRPr="009F75D2">
        <w:t xml:space="preserve"> odst. </w:t>
      </w:r>
      <w:r>
        <w:t xml:space="preserve">1 a </w:t>
      </w:r>
      <w:r w:rsidRPr="009F75D2">
        <w:t xml:space="preserve">2 dvě části – část I, která se použije do 14. srpna 2018, a část II, která se použije od 15. srpna 2018. </w:t>
      </w:r>
      <w:r>
        <w:t>P</w:t>
      </w:r>
      <w:r w:rsidRPr="009F75D2">
        <w:t>říloh</w:t>
      </w:r>
      <w:r>
        <w:t>a</w:t>
      </w:r>
      <w:r w:rsidRPr="009F75D2">
        <w:t xml:space="preserve"> č. </w:t>
      </w:r>
      <w:r>
        <w:t>1</w:t>
      </w:r>
      <w:r w:rsidRPr="009F75D2">
        <w:t xml:space="preserve"> odpovídá dosud platné příloze č. 7 k</w:t>
      </w:r>
      <w:r>
        <w:t>e stávajícímu zákonu o odpadech.</w:t>
      </w:r>
    </w:p>
    <w:p w:rsidR="00CC0F90" w:rsidRPr="009219F2" w:rsidRDefault="00CC0F90" w:rsidP="003F0CAB">
      <w:pPr>
        <w:keepNext/>
        <w:spacing w:before="240"/>
        <w:rPr>
          <w:b/>
        </w:rPr>
      </w:pPr>
      <w:r>
        <w:rPr>
          <w:b/>
        </w:rPr>
        <w:lastRenderedPageBreak/>
        <w:t>K příloze č. 2</w:t>
      </w:r>
    </w:p>
    <w:p w:rsidR="00CC0F90" w:rsidRPr="00F740DB" w:rsidRDefault="00CC0F90" w:rsidP="00CC0F90">
      <w:pPr>
        <w:spacing w:before="240"/>
      </w:pPr>
      <w:r>
        <w:t xml:space="preserve">Minimální úroveň zpětného odběru pro odpadní elektrozařízení je nastavena tak, aby v letech 2018 až 2021 docházelo k postupnému navyšování až na 65 % v roce 2021, čímž bude splněn cíl sběru, který je pro Českou republiku závazný na základě směrnice 2012/19/EU. </w:t>
      </w:r>
      <w:r w:rsidRPr="00F740DB">
        <w:t>Kromě souhrnného cíle pro zpětný odběr odpadních elektrozařízení všech skupin stanoví zákon v příloze č. 2 pro skupiny elektrozařízení 1, 2 a 3 (dle klasifikace směrnice 2012/19/EU platné od 15. srpna 2018) specifické cíle sběru zejména z toho důvodu, že se jedná o elektrozařízení, která obsahují řadu nebezpečných či rizikových látek ve vztahu k životnímu prostředí (zejména rtuť, luminofory, teplonosná média), a musí jim být tedy věnována vyšší pozornost. Zpracování těchto odpadů je ve srovnání s odpadními elektrozařízeními jiných skupin technologicky náročnější, s čímž jsou spojeny vyšší náklady (negativní nebo jen mírně pozitivní hodnota zpětně odebraných odpadních elektrozařízení). U těchto odpadů je nicméně s ohledem na životní prostředí vysoce žádoucí, aby byly tříděny a nestávaly se součástí netříděného komunálního odpadu. Samostatné cíle sběru pro uvedené skupiny mají zajistit, aby výrobci elektrozařízení, případně kolektivní systémy plnící povinnosti těchto výrobců, byli motivováni tato odpadní elektrozařízení zpětně odebírat a neupřednostňovali namísto nich zpětný odběr odpadních elektrozařízení jiných skupin, zejména těch „hmotnějších“ (např. skupina 4 – velká zařízení, jejichž kterýkoliv vnější rozměr přesáhne 50 cm). Toto riziko vyplývá ze skutečnosti, že směrnice 2012/19/EU stanovuje cíl sběru odpadních elektrozařízení na jako sumu sebraných elektroodpadů ze všech šesti skupin elektrozařízení.</w:t>
      </w:r>
    </w:p>
    <w:p w:rsidR="00CC0F90" w:rsidRPr="00941A2A" w:rsidRDefault="00CC0F90" w:rsidP="00CC0F90">
      <w:pPr>
        <w:spacing w:before="240"/>
      </w:pPr>
      <w:r w:rsidRPr="00941A2A">
        <w:t xml:space="preserve">Cíle sběru pro přenosné baterie a akumulátory jsou stanoveny v souladu s cíli stanovenými směrnicí 2006/66/ES. Směrnice stanovila dílčí cíl sběru pro rok 2012, který ČR již splnila, přičemž </w:t>
      </w:r>
      <w:r>
        <w:t>konečná</w:t>
      </w:r>
      <w:r w:rsidRPr="00941A2A">
        <w:t xml:space="preserve"> úroveň sběru je stanovena na 45 % pro rok 2016. Vyšší cíle ve směrnici stanoveny nejsou. Návrh tedy nejde nad rámec požadavku plynoucího z evropské legislativy.</w:t>
      </w:r>
    </w:p>
    <w:p w:rsidR="00CC0F90" w:rsidRPr="00941A2A" w:rsidRDefault="00CC0F90" w:rsidP="00CC0F90">
      <w:pPr>
        <w:spacing w:before="240"/>
      </w:pPr>
      <w:r>
        <w:t>C</w:t>
      </w:r>
      <w:r w:rsidRPr="00941A2A">
        <w:t xml:space="preserve">íle sběru pro odpadní pneumatiky nejsou v rámci evropské legislativy stanoveny, neboť problematika </w:t>
      </w:r>
      <w:r>
        <w:t>zpětného odběru</w:t>
      </w:r>
      <w:r w:rsidRPr="00941A2A">
        <w:t xml:space="preserve"> </w:t>
      </w:r>
      <w:r>
        <w:t xml:space="preserve">odpadních </w:t>
      </w:r>
      <w:r w:rsidRPr="00941A2A">
        <w:t>pneumatik není upravena samostatnou směrnic</w:t>
      </w:r>
      <w:r>
        <w:t>í</w:t>
      </w:r>
      <w:r w:rsidRPr="00941A2A">
        <w:t xml:space="preserve">, jako je tomu u </w:t>
      </w:r>
      <w:r>
        <w:t>elektrozařízení a baterií a akumulátorů</w:t>
      </w:r>
      <w:r w:rsidRPr="00941A2A">
        <w:t xml:space="preserve">. Rámcová směrnice o odpadech nicméně členským státům stanovení cílů pro vybrané odpadové toky umožňuje. V současném zákoně </w:t>
      </w:r>
      <w:r>
        <w:t xml:space="preserve">o odpadech </w:t>
      </w:r>
      <w:r w:rsidRPr="00941A2A">
        <w:t xml:space="preserve">je od roku 2014 stanovena minimální úroveň </w:t>
      </w:r>
      <w:r>
        <w:t>zpětného odběru použitých pneumatik ve výši</w:t>
      </w:r>
      <w:r w:rsidRPr="00941A2A">
        <w:t xml:space="preserve"> 35 %. Již nyní se ukazuje, že tato úroveň je </w:t>
      </w:r>
      <w:r>
        <w:t>zcela</w:t>
      </w:r>
      <w:r w:rsidRPr="00941A2A">
        <w:t xml:space="preserve"> nedostatečná a neodráží realitu </w:t>
      </w:r>
      <w:r>
        <w:t>zpětného odběru</w:t>
      </w:r>
      <w:r w:rsidRPr="00941A2A">
        <w:t xml:space="preserve">, který dosahuje vyšších hodnot. Zpětný odběr </w:t>
      </w:r>
      <w:r>
        <w:t xml:space="preserve">použitých </w:t>
      </w:r>
      <w:r w:rsidRPr="00941A2A">
        <w:t xml:space="preserve">pneumatik nicméně stále realizují především velké společnosti, které si vzhledem ke své velikosti nedovolí neplnit zákonné povinnosti. V novém zákoně je navrhováno postupné zvyšování cílů sběru. Pro rok 2018 je navrhována hodnota 75 % a konečná </w:t>
      </w:r>
      <w:r>
        <w:t xml:space="preserve">minimální </w:t>
      </w:r>
      <w:r w:rsidRPr="00941A2A">
        <w:t xml:space="preserve">úroveň </w:t>
      </w:r>
      <w:r>
        <w:t>zpětného odběru</w:t>
      </w:r>
      <w:r w:rsidRPr="00941A2A">
        <w:t xml:space="preserve"> má činit 80 % od roku 2019. Zavedení cílů sběru by mělo ve spojení s pravidly pro fungování kolektivních systémů v oblasti zpětného odběru </w:t>
      </w:r>
      <w:r>
        <w:t xml:space="preserve">odpadních </w:t>
      </w:r>
      <w:r w:rsidRPr="00941A2A">
        <w:t xml:space="preserve">pneumatik snížit zátěž pro životní prostředí a zároveň přinést finanční úlevy obcím, které se se sběrem </w:t>
      </w:r>
      <w:r>
        <w:t xml:space="preserve">odpadních </w:t>
      </w:r>
      <w:r w:rsidRPr="00941A2A">
        <w:t xml:space="preserve">pneumatik neustále setkávají. </w:t>
      </w:r>
    </w:p>
    <w:p w:rsidR="00CC0F90" w:rsidRPr="009219F2" w:rsidRDefault="00CC0F90" w:rsidP="003F0CAB">
      <w:pPr>
        <w:keepNext/>
        <w:spacing w:before="240"/>
        <w:rPr>
          <w:b/>
        </w:rPr>
      </w:pPr>
      <w:r>
        <w:rPr>
          <w:b/>
        </w:rPr>
        <w:lastRenderedPageBreak/>
        <w:t>K příloze č. 3</w:t>
      </w:r>
    </w:p>
    <w:p w:rsidR="00CC0F90" w:rsidRDefault="00CC0F90" w:rsidP="00CC0F90">
      <w:pPr>
        <w:spacing w:before="240"/>
        <w:rPr>
          <w:bCs/>
        </w:rPr>
      </w:pPr>
      <w:r w:rsidRPr="006A1AD8">
        <w:t xml:space="preserve">V příloze č. </w:t>
      </w:r>
      <w:r>
        <w:t>3</w:t>
      </w:r>
      <w:r w:rsidRPr="006A1AD8">
        <w:t xml:space="preserve"> se stanovují procentuální cíle pro m</w:t>
      </w:r>
      <w:r w:rsidRPr="006A1AD8">
        <w:rPr>
          <w:bCs/>
        </w:rPr>
        <w:t xml:space="preserve">inimální úroveň </w:t>
      </w:r>
      <w:r w:rsidRPr="006A1AD8">
        <w:t>využití</w:t>
      </w:r>
      <w:r>
        <w:t xml:space="preserve"> odpadních elektrozařízení</w:t>
      </w:r>
      <w:r w:rsidRPr="006A1AD8">
        <w:t xml:space="preserve">, které vycházejí z přílohy V směrnice 2012/19/EU. </w:t>
      </w:r>
      <w:r>
        <w:t>S</w:t>
      </w:r>
      <w:r w:rsidRPr="006A1AD8">
        <w:rPr>
          <w:bCs/>
        </w:rPr>
        <w:t xml:space="preserve">ledovat se budou vedle cílů pro jakékoliv využití </w:t>
      </w:r>
      <w:r>
        <w:t>odpadních elektrozařízení také zvlášť</w:t>
      </w:r>
      <w:r w:rsidRPr="006A1AD8">
        <w:t xml:space="preserve"> cíle </w:t>
      </w:r>
      <w:r>
        <w:rPr>
          <w:bCs/>
        </w:rPr>
        <w:t>pro recyklaci společně s </w:t>
      </w:r>
      <w:r w:rsidRPr="006A1AD8">
        <w:rPr>
          <w:bCs/>
        </w:rPr>
        <w:t xml:space="preserve">přípravou </w:t>
      </w:r>
      <w:r>
        <w:rPr>
          <w:bCs/>
        </w:rPr>
        <w:t>k</w:t>
      </w:r>
      <w:r w:rsidRPr="006A1AD8">
        <w:rPr>
          <w:bCs/>
        </w:rPr>
        <w:t xml:space="preserve"> opětovné</w:t>
      </w:r>
      <w:r>
        <w:rPr>
          <w:bCs/>
        </w:rPr>
        <w:t>mu</w:t>
      </w:r>
      <w:r w:rsidRPr="006A1AD8">
        <w:rPr>
          <w:bCs/>
        </w:rPr>
        <w:t xml:space="preserve"> použití.</w:t>
      </w:r>
    </w:p>
    <w:p w:rsidR="00CC0F90" w:rsidRPr="009219F2" w:rsidRDefault="00CC0F90" w:rsidP="00F33C09">
      <w:pPr>
        <w:keepNext/>
        <w:spacing w:before="240"/>
        <w:rPr>
          <w:b/>
        </w:rPr>
      </w:pPr>
      <w:r>
        <w:rPr>
          <w:b/>
        </w:rPr>
        <w:t>K příloze č. 4</w:t>
      </w:r>
    </w:p>
    <w:p w:rsidR="00CC0F90" w:rsidRDefault="00CC0F90" w:rsidP="00CC0F90">
      <w:pPr>
        <w:spacing w:before="240"/>
        <w:rPr>
          <w:bCs/>
        </w:rPr>
      </w:pPr>
      <w:r>
        <w:rPr>
          <w:bCs/>
        </w:rPr>
        <w:t>P</w:t>
      </w:r>
      <w:r w:rsidRPr="006B65E9">
        <w:rPr>
          <w:bCs/>
        </w:rPr>
        <w:t xml:space="preserve">říloha č. </w:t>
      </w:r>
      <w:r>
        <w:rPr>
          <w:bCs/>
        </w:rPr>
        <w:t>4</w:t>
      </w:r>
      <w:r w:rsidRPr="006B65E9">
        <w:rPr>
          <w:bCs/>
        </w:rPr>
        <w:t xml:space="preserve"> omezuje prostřednictvím klasifikace odvětvových činností CZ – NACE množství posledních prodejců baterií a akumulátorů, kteří jsou povinni zpětně odebírat </w:t>
      </w:r>
      <w:r>
        <w:rPr>
          <w:bCs/>
        </w:rPr>
        <w:t xml:space="preserve">odpadní </w:t>
      </w:r>
      <w:r w:rsidRPr="006B65E9">
        <w:rPr>
          <w:bCs/>
        </w:rPr>
        <w:t xml:space="preserve">přenosné baterie a akumulátory. Děje se tak v souladu s požadavkem bodu 17 preambule směrnice </w:t>
      </w:r>
      <w:r>
        <w:rPr>
          <w:bCs/>
        </w:rPr>
        <w:t xml:space="preserve">2006/66/ES </w:t>
      </w:r>
      <w:r w:rsidRPr="006B65E9">
        <w:rPr>
          <w:bCs/>
        </w:rPr>
        <w:t xml:space="preserve">na optimalizaci systémů sběru baterií a akumulátorů. Mělo by tak dojít k vyloučení míst posledního prodeje, kde není účelné, efektivní a environmentálně příznivé místo zpětného odběru vytvářet (např. stánkové prodeje, restaurace, hotely apod.). </w:t>
      </w:r>
    </w:p>
    <w:p w:rsidR="00CC0F90" w:rsidRPr="009219F2" w:rsidRDefault="00CC0F90" w:rsidP="004E714B">
      <w:pPr>
        <w:keepNext/>
        <w:spacing w:before="240"/>
        <w:rPr>
          <w:b/>
        </w:rPr>
      </w:pPr>
      <w:r>
        <w:rPr>
          <w:b/>
        </w:rPr>
        <w:t>K příloze č. 5</w:t>
      </w:r>
    </w:p>
    <w:p w:rsidR="00CC0F90" w:rsidRDefault="00CC0F90" w:rsidP="00CC0F90">
      <w:pPr>
        <w:spacing w:before="240"/>
        <w:rPr>
          <w:bCs/>
        </w:rPr>
      </w:pPr>
      <w:r>
        <w:rPr>
          <w:bCs/>
        </w:rPr>
        <w:t xml:space="preserve">Přílohou č. 5 </w:t>
      </w:r>
      <w:r w:rsidRPr="00807B51">
        <w:rPr>
          <w:bCs/>
        </w:rPr>
        <w:t xml:space="preserve">je </w:t>
      </w:r>
      <w:r>
        <w:rPr>
          <w:bCs/>
        </w:rPr>
        <w:t>implementován</w:t>
      </w:r>
      <w:r w:rsidRPr="00807B51">
        <w:rPr>
          <w:bCs/>
        </w:rPr>
        <w:t xml:space="preserve"> požadavek na dosažení minimální účinnosti procesů </w:t>
      </w:r>
      <w:r>
        <w:rPr>
          <w:bCs/>
        </w:rPr>
        <w:t>recyklace</w:t>
      </w:r>
      <w:r w:rsidRPr="00807B51">
        <w:rPr>
          <w:bCs/>
        </w:rPr>
        <w:t xml:space="preserve"> </w:t>
      </w:r>
      <w:r>
        <w:rPr>
          <w:bCs/>
        </w:rPr>
        <w:t xml:space="preserve">odpadních </w:t>
      </w:r>
      <w:r w:rsidRPr="00807B51">
        <w:rPr>
          <w:bCs/>
        </w:rPr>
        <w:t xml:space="preserve">baterií a akumulátorů kladený na veškeré procesy </w:t>
      </w:r>
      <w:r>
        <w:rPr>
          <w:bCs/>
        </w:rPr>
        <w:t>recyklace</w:t>
      </w:r>
      <w:r w:rsidRPr="00807B51">
        <w:rPr>
          <w:bCs/>
        </w:rPr>
        <w:t xml:space="preserve"> využití uvedené v příloze III části B směrnice</w:t>
      </w:r>
      <w:r>
        <w:rPr>
          <w:bCs/>
        </w:rPr>
        <w:t xml:space="preserve"> 2006/66/ES</w:t>
      </w:r>
      <w:r w:rsidRPr="00807B51">
        <w:rPr>
          <w:bCs/>
        </w:rPr>
        <w:t xml:space="preserve">. </w:t>
      </w:r>
      <w:r>
        <w:rPr>
          <w:bCs/>
        </w:rPr>
        <w:t xml:space="preserve">Požadavky na </w:t>
      </w:r>
      <w:r w:rsidRPr="0005102A">
        <w:t>dosažení minimální recyklační účinnosti procesů recyklace</w:t>
      </w:r>
      <w:r>
        <w:t xml:space="preserve"> musí splnit každý zpracovatel bez ohledu na to, zda jde o </w:t>
      </w:r>
      <w:r>
        <w:rPr>
          <w:bCs/>
        </w:rPr>
        <w:t xml:space="preserve">odpadní </w:t>
      </w:r>
      <w:r w:rsidRPr="00807B51">
        <w:rPr>
          <w:bCs/>
        </w:rPr>
        <w:t>bateri</w:t>
      </w:r>
      <w:r>
        <w:rPr>
          <w:bCs/>
        </w:rPr>
        <w:t>e a akumulátory</w:t>
      </w:r>
      <w:r w:rsidRPr="0005102A">
        <w:t xml:space="preserve"> </w:t>
      </w:r>
      <w:r>
        <w:t>zpětně odebrané</w:t>
      </w:r>
      <w:r>
        <w:rPr>
          <w:bCs/>
        </w:rPr>
        <w:t>, nebo sebrané jiným způsobem v souladu se zákonem.</w:t>
      </w:r>
    </w:p>
    <w:p w:rsidR="00CC0F90" w:rsidRPr="00CC0F90" w:rsidRDefault="00CC0F90" w:rsidP="00783869">
      <w:pPr>
        <w:rPr>
          <w:rFonts w:cs="Arial"/>
          <w:lang w:eastAsia="cs-CZ"/>
        </w:rPr>
      </w:pPr>
    </w:p>
    <w:sectPr w:rsidR="00CC0F90" w:rsidRPr="00CC0F90" w:rsidSect="00962E44">
      <w:headerReference w:type="even" r:id="rId87"/>
      <w:headerReference w:type="default" r:id="rId88"/>
      <w:footerReference w:type="default" r:id="rId89"/>
      <w:headerReference w:type="first" r:id="rId90"/>
      <w:pgSz w:w="11906" w:h="16838"/>
      <w:pgMar w:top="1417" w:right="1417" w:bottom="1417" w:left="1417" w:header="567" w:footer="454"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A62" w:rsidRDefault="00FA5A62" w:rsidP="00DF00F7">
      <w:pPr>
        <w:spacing w:line="240" w:lineRule="auto"/>
      </w:pPr>
      <w:r>
        <w:separator/>
      </w:r>
    </w:p>
  </w:endnote>
  <w:endnote w:type="continuationSeparator" w:id="0">
    <w:p w:rsidR="00FA5A62" w:rsidRDefault="00FA5A62" w:rsidP="00DF00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Frutiger Next Pro">
    <w:altName w:val="Arial"/>
    <w:panose1 w:val="00000000000000000000"/>
    <w:charset w:val="00"/>
    <w:family w:val="swiss"/>
    <w:notTrueType/>
    <w:pitch w:val="default"/>
    <w:sig w:usb0="00000003" w:usb1="00000000" w:usb2="00000000" w:usb3="00000000" w:csb0="00000001" w:csb1="00000000"/>
  </w:font>
  <w:font w:name="CMSSB X 10">
    <w:altName w:val="Arial"/>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5339513"/>
      <w:docPartObj>
        <w:docPartGallery w:val="Page Numbers (Bottom of Page)"/>
        <w:docPartUnique/>
      </w:docPartObj>
    </w:sdtPr>
    <w:sdtEndPr/>
    <w:sdtContent>
      <w:p w:rsidR="00962E44" w:rsidRDefault="00962E44">
        <w:pPr>
          <w:pStyle w:val="Zpat"/>
          <w:jc w:val="center"/>
        </w:pPr>
        <w:r>
          <w:fldChar w:fldCharType="begin"/>
        </w:r>
        <w:r>
          <w:instrText>PAGE   \* MERGEFORMAT</w:instrText>
        </w:r>
        <w:r>
          <w:fldChar w:fldCharType="separate"/>
        </w:r>
        <w:r w:rsidR="008469AA">
          <w:t>- 40 -</w:t>
        </w:r>
        <w:r>
          <w:fldChar w:fldCharType="end"/>
        </w:r>
      </w:p>
    </w:sdtContent>
  </w:sdt>
  <w:p w:rsidR="00962E44" w:rsidRDefault="00962E44">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264924"/>
      <w:docPartObj>
        <w:docPartGallery w:val="Page Numbers (Bottom of Page)"/>
        <w:docPartUnique/>
      </w:docPartObj>
    </w:sdtPr>
    <w:sdtEndPr/>
    <w:sdtContent>
      <w:p w:rsidR="00962E44" w:rsidRDefault="00962E44">
        <w:pPr>
          <w:pStyle w:val="Zpat"/>
          <w:jc w:val="center"/>
        </w:pPr>
        <w:r>
          <w:fldChar w:fldCharType="begin"/>
        </w:r>
        <w:r>
          <w:instrText>PAGE   \* MERGEFORMAT</w:instrText>
        </w:r>
        <w:r>
          <w:fldChar w:fldCharType="separate"/>
        </w:r>
        <w:r w:rsidR="008469AA">
          <w:t>- 66 -</w:t>
        </w:r>
        <w:r>
          <w:fldChar w:fldCharType="end"/>
        </w:r>
      </w:p>
    </w:sdtContent>
  </w:sdt>
  <w:p w:rsidR="00962E44" w:rsidRDefault="00962E44">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2886469"/>
      <w:docPartObj>
        <w:docPartGallery w:val="Page Numbers (Bottom of Page)"/>
        <w:docPartUnique/>
      </w:docPartObj>
    </w:sdtPr>
    <w:sdtEndPr/>
    <w:sdtContent>
      <w:p w:rsidR="00962E44" w:rsidRDefault="00962E44">
        <w:pPr>
          <w:jc w:val="center"/>
        </w:pPr>
        <w:r>
          <w:fldChar w:fldCharType="begin"/>
        </w:r>
        <w:r>
          <w:instrText xml:space="preserve"> PAGE   \* MERGEFORMAT </w:instrText>
        </w:r>
        <w:r>
          <w:fldChar w:fldCharType="separate"/>
        </w:r>
        <w:r w:rsidR="008469AA">
          <w:t>- 65 -</w:t>
        </w:r>
        <w:r>
          <w:fldChar w:fldCharType="end"/>
        </w:r>
      </w:p>
    </w:sdtContent>
  </w:sdt>
  <w:p w:rsidR="00962E44" w:rsidRDefault="00962E44" w:rsidP="001820A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44" w:rsidRDefault="00962E44">
    <w:pPr>
      <w:pStyle w:val="Zpat"/>
      <w:jc w:val="center"/>
    </w:pPr>
    <w:r>
      <w:fldChar w:fldCharType="begin"/>
    </w:r>
    <w:r>
      <w:instrText xml:space="preserve"> PAGE   \* MERGEFORMAT </w:instrText>
    </w:r>
    <w:r>
      <w:fldChar w:fldCharType="separate"/>
    </w:r>
    <w:r w:rsidR="008469AA">
      <w:t>- 175 -</w:t>
    </w:r>
    <w:r>
      <w:fldChar w:fldCharType="end"/>
    </w:r>
  </w:p>
  <w:p w:rsidR="00962E44" w:rsidRDefault="00962E44">
    <w:pPr>
      <w:pStyle w:val="Zpat"/>
    </w:pPr>
  </w:p>
  <w:p w:rsidR="00962E44" w:rsidRDefault="00962E4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A62" w:rsidRDefault="00FA5A62" w:rsidP="00DF00F7">
      <w:pPr>
        <w:spacing w:line="240" w:lineRule="auto"/>
      </w:pPr>
      <w:r>
        <w:separator/>
      </w:r>
    </w:p>
  </w:footnote>
  <w:footnote w:type="continuationSeparator" w:id="0">
    <w:p w:rsidR="00FA5A62" w:rsidRDefault="00FA5A62" w:rsidP="00DF00F7">
      <w:pPr>
        <w:spacing w:line="240" w:lineRule="auto"/>
      </w:pPr>
      <w:r>
        <w:continuationSeparator/>
      </w:r>
    </w:p>
  </w:footnote>
  <w:footnote w:id="1">
    <w:p w:rsidR="00962E44" w:rsidRDefault="00962E44" w:rsidP="00261D77">
      <w:pPr>
        <w:pStyle w:val="Textpoznpodarou"/>
      </w:pPr>
      <w:r>
        <w:rPr>
          <w:rStyle w:val="Znakapoznpodarou"/>
        </w:rPr>
        <w:footnoteRef/>
      </w:r>
      <w:r>
        <w:t xml:space="preserve"> Dále Bulharsko, Lotyšsko, Litva, Maďarsko, Malta, Polsko, Rumunsko, Slovensko a Slovinsko.</w:t>
      </w:r>
    </w:p>
  </w:footnote>
  <w:footnote w:id="2">
    <w:p w:rsidR="00962E44" w:rsidRDefault="00962E44" w:rsidP="00261D77">
      <w:pPr>
        <w:pStyle w:val="Textpoznpodarou"/>
      </w:pPr>
      <w:r>
        <w:rPr>
          <w:rStyle w:val="Znakapoznpodarou"/>
        </w:rPr>
        <w:footnoteRef/>
      </w:r>
      <w:r>
        <w:t xml:space="preserve"> </w:t>
      </w:r>
      <w:r w:rsidRPr="00F77958">
        <w:rPr>
          <w:sz w:val="16"/>
          <w:szCs w:val="16"/>
        </w:rPr>
        <w:t>viz odkaz na statistiky Počty obyvatel v obcích http://www.mvcr.cz/clanek/statistiky-pocty-obyvatel-v-obcich.aspx</w:t>
      </w:r>
    </w:p>
  </w:footnote>
  <w:footnote w:id="3">
    <w:p w:rsidR="00962E44" w:rsidRDefault="00962E44" w:rsidP="00ED5B2D">
      <w:pPr>
        <w:pStyle w:val="Textpoznpodarou"/>
      </w:pPr>
      <w:r>
        <w:rPr>
          <w:rStyle w:val="Znakapoznpodarou"/>
        </w:rPr>
        <w:footnoteRef/>
      </w:r>
      <w:r>
        <w:t xml:space="preserve"> </w:t>
      </w:r>
      <w:proofErr w:type="spellStart"/>
      <w:r>
        <w:t>ElektroG</w:t>
      </w:r>
      <w:proofErr w:type="spellEnd"/>
      <w:r>
        <w:t xml:space="preserve">  (Elektro- </w:t>
      </w:r>
      <w:proofErr w:type="spellStart"/>
      <w:r>
        <w:t>und</w:t>
      </w:r>
      <w:proofErr w:type="spellEnd"/>
      <w:r>
        <w:t xml:space="preserve"> </w:t>
      </w:r>
      <w:proofErr w:type="spellStart"/>
      <w:proofErr w:type="gramStart"/>
      <w:r>
        <w:t>Elektronikgerätegesetz</w:t>
      </w:r>
      <w:proofErr w:type="spellEnd"/>
      <w:r>
        <w:t xml:space="preserve">)– </w:t>
      </w:r>
      <w:proofErr w:type="spellStart"/>
      <w:r>
        <w:t>Gesetz</w:t>
      </w:r>
      <w:proofErr w:type="spellEnd"/>
      <w:proofErr w:type="gramEnd"/>
      <w:r>
        <w:t xml:space="preserve"> </w:t>
      </w:r>
      <w:proofErr w:type="spellStart"/>
      <w:r>
        <w:t>über</w:t>
      </w:r>
      <w:proofErr w:type="spellEnd"/>
      <w:r>
        <w:t xml:space="preserve"> </w:t>
      </w:r>
      <w:proofErr w:type="spellStart"/>
      <w:r>
        <w:t>das</w:t>
      </w:r>
      <w:proofErr w:type="spellEnd"/>
      <w:r>
        <w:t xml:space="preserve"> </w:t>
      </w:r>
      <w:proofErr w:type="spellStart"/>
      <w:r>
        <w:t>Inverkehrbringen</w:t>
      </w:r>
      <w:proofErr w:type="spellEnd"/>
      <w:r>
        <w:t xml:space="preserve">, </w:t>
      </w:r>
      <w:proofErr w:type="spellStart"/>
      <w:r>
        <w:t>die</w:t>
      </w:r>
      <w:proofErr w:type="spellEnd"/>
      <w:r>
        <w:t xml:space="preserve"> </w:t>
      </w:r>
      <w:proofErr w:type="spellStart"/>
      <w:r>
        <w:t>Rücknahme</w:t>
      </w:r>
      <w:proofErr w:type="spellEnd"/>
      <w:r>
        <w:t xml:space="preserve"> </w:t>
      </w:r>
      <w:proofErr w:type="spellStart"/>
      <w:r>
        <w:t>und</w:t>
      </w:r>
      <w:proofErr w:type="spellEnd"/>
      <w:r>
        <w:t xml:space="preserve"> </w:t>
      </w:r>
      <w:proofErr w:type="spellStart"/>
      <w:r>
        <w:t>die</w:t>
      </w:r>
      <w:proofErr w:type="spellEnd"/>
      <w:r>
        <w:t xml:space="preserve"> </w:t>
      </w:r>
      <w:proofErr w:type="spellStart"/>
      <w:r>
        <w:t>umweltverträgliche</w:t>
      </w:r>
      <w:proofErr w:type="spellEnd"/>
      <w:r>
        <w:t xml:space="preserve"> </w:t>
      </w:r>
      <w:proofErr w:type="spellStart"/>
      <w:r>
        <w:t>Entsorgung</w:t>
      </w:r>
      <w:proofErr w:type="spellEnd"/>
      <w:r>
        <w:t xml:space="preserve"> von Elektro- </w:t>
      </w:r>
      <w:proofErr w:type="spellStart"/>
      <w:r>
        <w:t>und</w:t>
      </w:r>
      <w:proofErr w:type="spellEnd"/>
      <w:r>
        <w:t xml:space="preserve"> </w:t>
      </w:r>
      <w:proofErr w:type="spellStart"/>
      <w:r>
        <w:t>Elektronikgeräten</w:t>
      </w:r>
      <w:proofErr w:type="spellEnd"/>
      <w:r>
        <w:t xml:space="preserve"> </w:t>
      </w:r>
    </w:p>
  </w:footnote>
  <w:footnote w:id="4">
    <w:p w:rsidR="00962E44" w:rsidRDefault="00962E44" w:rsidP="00ED5B2D">
      <w:pPr>
        <w:pStyle w:val="Textpoznpodarou"/>
      </w:pPr>
      <w:r>
        <w:rPr>
          <w:rStyle w:val="Znakapoznpodarou"/>
        </w:rPr>
        <w:footnoteRef/>
      </w:r>
      <w:r>
        <w:t xml:space="preserve"> </w:t>
      </w:r>
      <w:proofErr w:type="spellStart"/>
      <w:r>
        <w:t>örE</w:t>
      </w:r>
      <w:proofErr w:type="spellEnd"/>
      <w:r>
        <w:t xml:space="preserve"> – </w:t>
      </w:r>
      <w:proofErr w:type="spellStart"/>
      <w:r>
        <w:t>öffentlich-rechtlicher</w:t>
      </w:r>
      <w:proofErr w:type="spellEnd"/>
      <w:r>
        <w:t xml:space="preserve"> </w:t>
      </w:r>
      <w:proofErr w:type="spellStart"/>
      <w:r>
        <w:t>Entsorgungsträger</w:t>
      </w:r>
      <w:proofErr w:type="spellEnd"/>
      <w:r>
        <w:t xml:space="preserve">: veřejná právnická osoba zabývající se zpětným odběrem odpadu, která je podle </w:t>
      </w:r>
      <w:proofErr w:type="spellStart"/>
      <w:r>
        <w:t>Kreislaufwirtschaftsgesetz</w:t>
      </w:r>
      <w:proofErr w:type="spellEnd"/>
      <w:r>
        <w:t xml:space="preserve"> (zákon o recyklaci) zodpovídá za vytvoření odběrových míst, např. obec</w:t>
      </w:r>
    </w:p>
  </w:footnote>
  <w:footnote w:id="5">
    <w:p w:rsidR="00962E44" w:rsidRDefault="00962E44" w:rsidP="00ED5B2D">
      <w:pPr>
        <w:pStyle w:val="Textpoznpodarou"/>
      </w:pPr>
      <w:r>
        <w:rPr>
          <w:rStyle w:val="Znakapoznpodarou"/>
        </w:rPr>
        <w:footnoteRef/>
      </w:r>
      <w:r>
        <w:t xml:space="preserve"> Transport OEEZ v rámci tohoto textu znamená vyzvednutí OEEZ v odběrných místech a jejich transport na místo dalšího zpracování v rámci zákonů dané země</w:t>
      </w:r>
    </w:p>
  </w:footnote>
  <w:footnote w:id="6">
    <w:p w:rsidR="00962E44" w:rsidRDefault="00962E44" w:rsidP="00ED5B2D">
      <w:pPr>
        <w:pStyle w:val="Textpoznpodarou"/>
      </w:pPr>
      <w:r>
        <w:rPr>
          <w:rStyle w:val="Znakapoznpodarou"/>
        </w:rPr>
        <w:footnoteRef/>
      </w:r>
      <w:r>
        <w:t xml:space="preserve"> Např. E. </w:t>
      </w:r>
      <w:proofErr w:type="spellStart"/>
      <w:r>
        <w:t>Kristensen</w:t>
      </w:r>
      <w:proofErr w:type="spellEnd"/>
      <w:r>
        <w:t xml:space="preserve">, B. </w:t>
      </w:r>
      <w:proofErr w:type="spellStart"/>
      <w:r>
        <w:t>Lindblad</w:t>
      </w:r>
      <w:proofErr w:type="spellEnd"/>
      <w:r>
        <w:t xml:space="preserve">, J. </w:t>
      </w:r>
      <w:proofErr w:type="spellStart"/>
      <w:r>
        <w:t>Mortensen</w:t>
      </w:r>
      <w:proofErr w:type="spellEnd"/>
      <w:r>
        <w:t xml:space="preserve"> (2011): </w:t>
      </w:r>
      <w:proofErr w:type="spellStart"/>
      <w:r>
        <w:t>The</w:t>
      </w:r>
      <w:proofErr w:type="spellEnd"/>
      <w:r>
        <w:t xml:space="preserve"> WEEE </w:t>
      </w:r>
      <w:proofErr w:type="spellStart"/>
      <w:r>
        <w:t>Directive</w:t>
      </w:r>
      <w:proofErr w:type="spellEnd"/>
      <w:r>
        <w:t xml:space="preserve"> and </w:t>
      </w:r>
      <w:proofErr w:type="spellStart"/>
      <w:r>
        <w:t>Extended</w:t>
      </w:r>
      <w:proofErr w:type="spellEnd"/>
      <w:r>
        <w:t xml:space="preserve"> </w:t>
      </w:r>
      <w:proofErr w:type="spellStart"/>
      <w:r>
        <w:t>Producer</w:t>
      </w:r>
      <w:proofErr w:type="spellEnd"/>
      <w:r>
        <w:t xml:space="preserve"> </w:t>
      </w:r>
      <w:proofErr w:type="spellStart"/>
      <w:r>
        <w:t>Responsibility</w:t>
      </w:r>
      <w:proofErr w:type="spellEnd"/>
    </w:p>
  </w:footnote>
  <w:footnote w:id="7">
    <w:p w:rsidR="00962E44" w:rsidRDefault="00962E44" w:rsidP="00ED5B2D">
      <w:pPr>
        <w:pStyle w:val="Textpoznpodarou"/>
      </w:pPr>
      <w:r>
        <w:rPr>
          <w:rStyle w:val="Znakapoznpodarou"/>
        </w:rPr>
        <w:footnoteRef/>
      </w:r>
      <w:r>
        <w:t xml:space="preserve"> Např. VKU (2014): </w:t>
      </w:r>
      <w:proofErr w:type="spellStart"/>
      <w:r>
        <w:t>Packaging</w:t>
      </w:r>
      <w:proofErr w:type="spellEnd"/>
      <w:r>
        <w:t xml:space="preserve"> </w:t>
      </w:r>
      <w:proofErr w:type="spellStart"/>
      <w:r>
        <w:t>Waste</w:t>
      </w:r>
      <w:proofErr w:type="spellEnd"/>
      <w:r>
        <w:t xml:space="preserve"> Management in </w:t>
      </w:r>
      <w:proofErr w:type="spellStart"/>
      <w:r>
        <w:t>Germany</w:t>
      </w:r>
      <w:proofErr w:type="spellEnd"/>
      <w:r>
        <w:t xml:space="preserve"> – </w:t>
      </w:r>
      <w:proofErr w:type="spellStart"/>
      <w:r>
        <w:t>Description</w:t>
      </w:r>
      <w:proofErr w:type="spellEnd"/>
      <w:r>
        <w:t xml:space="preserve"> and </w:t>
      </w:r>
      <w:proofErr w:type="spellStart"/>
      <w:r>
        <w:t>Evaluation</w:t>
      </w:r>
      <w:proofErr w:type="spellEnd"/>
    </w:p>
  </w:footnote>
  <w:footnote w:id="8">
    <w:p w:rsidR="00962E44" w:rsidRDefault="00962E44" w:rsidP="00ED5B2D">
      <w:pPr>
        <w:pStyle w:val="Textpoznpodarou"/>
      </w:pPr>
      <w:r>
        <w:rPr>
          <w:rStyle w:val="Znakapoznpodarou"/>
        </w:rPr>
        <w:footnoteRef/>
      </w:r>
      <w:r>
        <w:t xml:space="preserve"> </w:t>
      </w:r>
      <w:proofErr w:type="spellStart"/>
      <w:r>
        <w:t>Elektroaltgeräteverordnung</w:t>
      </w:r>
      <w:proofErr w:type="spellEnd"/>
      <w:r>
        <w:t xml:space="preserve"> - </w:t>
      </w:r>
      <w:proofErr w:type="spellStart"/>
      <w:r>
        <w:t>Verordnung</w:t>
      </w:r>
      <w:proofErr w:type="spellEnd"/>
      <w:r>
        <w:t xml:space="preserve"> des </w:t>
      </w:r>
      <w:proofErr w:type="spellStart"/>
      <w:r>
        <w:t>Bundesministers</w:t>
      </w:r>
      <w:proofErr w:type="spellEnd"/>
      <w:r>
        <w:t xml:space="preserve"> </w:t>
      </w:r>
      <w:proofErr w:type="spellStart"/>
      <w:r>
        <w:t>für</w:t>
      </w:r>
      <w:proofErr w:type="spellEnd"/>
      <w:r>
        <w:t xml:space="preserve"> Land- </w:t>
      </w:r>
      <w:proofErr w:type="spellStart"/>
      <w:r>
        <w:t>und</w:t>
      </w:r>
      <w:proofErr w:type="spellEnd"/>
      <w:r>
        <w:t xml:space="preserve"> </w:t>
      </w:r>
      <w:proofErr w:type="spellStart"/>
      <w:r>
        <w:t>Forstwirtschaft</w:t>
      </w:r>
      <w:proofErr w:type="spellEnd"/>
      <w:r>
        <w:t xml:space="preserve">, </w:t>
      </w:r>
      <w:proofErr w:type="spellStart"/>
      <w:r>
        <w:t>Umwelt</w:t>
      </w:r>
      <w:proofErr w:type="spellEnd"/>
      <w:r>
        <w:t xml:space="preserve"> </w:t>
      </w:r>
      <w:proofErr w:type="spellStart"/>
      <w:r>
        <w:t>und</w:t>
      </w:r>
      <w:proofErr w:type="spellEnd"/>
      <w:r>
        <w:t xml:space="preserve"> </w:t>
      </w:r>
      <w:proofErr w:type="spellStart"/>
      <w:r>
        <w:t>Wasserwirtschaft</w:t>
      </w:r>
      <w:proofErr w:type="spellEnd"/>
      <w:r>
        <w:t xml:space="preserve"> </w:t>
      </w:r>
      <w:proofErr w:type="spellStart"/>
      <w:r>
        <w:t>über</w:t>
      </w:r>
      <w:proofErr w:type="spellEnd"/>
      <w:r>
        <w:t xml:space="preserve"> </w:t>
      </w:r>
      <w:proofErr w:type="spellStart"/>
      <w:r>
        <w:t>die</w:t>
      </w:r>
      <w:proofErr w:type="spellEnd"/>
      <w:r>
        <w:t xml:space="preserve"> </w:t>
      </w:r>
      <w:proofErr w:type="spellStart"/>
      <w:r>
        <w:t>Abfallvermeidung</w:t>
      </w:r>
      <w:proofErr w:type="spellEnd"/>
      <w:r>
        <w:t xml:space="preserve">, </w:t>
      </w:r>
      <w:proofErr w:type="spellStart"/>
      <w:r>
        <w:t>Sammlung</w:t>
      </w:r>
      <w:proofErr w:type="spellEnd"/>
      <w:r>
        <w:t xml:space="preserve"> </w:t>
      </w:r>
      <w:proofErr w:type="spellStart"/>
      <w:r>
        <w:t>und</w:t>
      </w:r>
      <w:proofErr w:type="spellEnd"/>
      <w:r>
        <w:t xml:space="preserve"> </w:t>
      </w:r>
      <w:proofErr w:type="spellStart"/>
      <w:r>
        <w:t>Behandlung</w:t>
      </w:r>
      <w:proofErr w:type="spellEnd"/>
      <w:r>
        <w:t xml:space="preserve"> von </w:t>
      </w:r>
      <w:proofErr w:type="spellStart"/>
      <w:r>
        <w:t>elektrischen</w:t>
      </w:r>
      <w:proofErr w:type="spellEnd"/>
      <w:r>
        <w:t xml:space="preserve"> </w:t>
      </w:r>
      <w:proofErr w:type="spellStart"/>
      <w:r>
        <w:t>und</w:t>
      </w:r>
      <w:proofErr w:type="spellEnd"/>
      <w:r>
        <w:t xml:space="preserve"> </w:t>
      </w:r>
      <w:proofErr w:type="spellStart"/>
      <w:r>
        <w:t>elektronischen</w:t>
      </w:r>
      <w:proofErr w:type="spellEnd"/>
      <w:r>
        <w:t xml:space="preserve"> </w:t>
      </w:r>
      <w:proofErr w:type="spellStart"/>
      <w:r>
        <w:t>Altgeräten</w:t>
      </w:r>
      <w:proofErr w:type="spellEnd"/>
    </w:p>
  </w:footnote>
  <w:footnote w:id="9">
    <w:p w:rsidR="00962E44" w:rsidRDefault="00962E44" w:rsidP="00ED5B2D">
      <w:pPr>
        <w:pStyle w:val="Textpoznpodarou"/>
      </w:pPr>
      <w:r>
        <w:rPr>
          <w:rStyle w:val="Znakapoznpodarou"/>
        </w:rPr>
        <w:footnoteRef/>
      </w:r>
      <w:r>
        <w:t xml:space="preserve"> EAG-VO určuje minimální počet míst zpětného odběru na politické oblasti</w:t>
      </w:r>
    </w:p>
  </w:footnote>
  <w:footnote w:id="10">
    <w:p w:rsidR="00962E44" w:rsidRDefault="00962E44" w:rsidP="00ED5B2D">
      <w:pPr>
        <w:pStyle w:val="Textpoznpodarou"/>
      </w:pPr>
      <w:r>
        <w:rPr>
          <w:rStyle w:val="Znakapoznpodarou"/>
        </w:rPr>
        <w:footnoteRef/>
      </w:r>
      <w:r>
        <w:t xml:space="preserve"> </w:t>
      </w:r>
      <w:proofErr w:type="spellStart"/>
      <w:r>
        <w:t>Environmental</w:t>
      </w:r>
      <w:proofErr w:type="spellEnd"/>
      <w:r>
        <w:t xml:space="preserve"> </w:t>
      </w:r>
      <w:proofErr w:type="spellStart"/>
      <w:r>
        <w:t>protection</w:t>
      </w:r>
      <w:proofErr w:type="spellEnd"/>
      <w:r>
        <w:t xml:space="preserve"> </w:t>
      </w:r>
      <w:proofErr w:type="spellStart"/>
      <w:r>
        <w:t>act</w:t>
      </w:r>
      <w:proofErr w:type="spellEnd"/>
    </w:p>
  </w:footnote>
  <w:footnote w:id="11">
    <w:p w:rsidR="00962E44" w:rsidRDefault="00962E44" w:rsidP="00ED5B2D">
      <w:pPr>
        <w:pStyle w:val="Textpoznpodarou"/>
      </w:pPr>
      <w:r>
        <w:rPr>
          <w:rStyle w:val="Znakapoznpodarou"/>
        </w:rPr>
        <w:footnoteRef/>
      </w:r>
      <w:r>
        <w:t xml:space="preserve"> </w:t>
      </w:r>
      <w:proofErr w:type="spellStart"/>
      <w:r>
        <w:t>Statutory</w:t>
      </w:r>
      <w:proofErr w:type="spellEnd"/>
      <w:r>
        <w:t xml:space="preserve"> </w:t>
      </w:r>
      <w:proofErr w:type="spellStart"/>
      <w:r>
        <w:t>Order</w:t>
      </w:r>
      <w:proofErr w:type="spellEnd"/>
      <w:r>
        <w:t xml:space="preserve"> on </w:t>
      </w:r>
      <w:proofErr w:type="spellStart"/>
      <w:r>
        <w:t>batteries</w:t>
      </w:r>
      <w:proofErr w:type="spellEnd"/>
      <w:r>
        <w:t xml:space="preserve"> and </w:t>
      </w:r>
      <w:proofErr w:type="spellStart"/>
      <w:r>
        <w:t>accumulators</w:t>
      </w:r>
      <w:proofErr w:type="spellEnd"/>
      <w:r>
        <w:t xml:space="preserve"> and </w:t>
      </w:r>
      <w:proofErr w:type="spellStart"/>
      <w:r>
        <w:t>waste</w:t>
      </w:r>
      <w:proofErr w:type="spellEnd"/>
      <w:r>
        <w:t xml:space="preserve"> </w:t>
      </w:r>
      <w:proofErr w:type="spellStart"/>
      <w:r>
        <w:t>batteries</w:t>
      </w:r>
      <w:proofErr w:type="spellEnd"/>
      <w:r>
        <w:t xml:space="preserve"> and </w:t>
      </w:r>
      <w:proofErr w:type="spellStart"/>
      <w:r>
        <w:t>accumulators</w:t>
      </w:r>
      <w:proofErr w:type="spellEnd"/>
    </w:p>
  </w:footnote>
  <w:footnote w:id="12">
    <w:p w:rsidR="00962E44" w:rsidRDefault="00962E44" w:rsidP="00DC1795">
      <w:pPr>
        <w:pStyle w:val="Textpoznpodarou"/>
      </w:pPr>
      <w:r>
        <w:rPr>
          <w:rStyle w:val="Znakapoznpodarou"/>
        </w:rPr>
        <w:footnoteRef/>
      </w:r>
      <w:hyperlink r:id="rId1" w:history="1">
        <w:r w:rsidRPr="00E931B8">
          <w:t>http://ekonomika.idnes.cz/na-sporu-inzerentu-s-novou-vydelaly-male-televize-fwi-/ekoakcie.aspx?c=A130419_223051_ekoakcie_brm</w:t>
        </w:r>
      </w:hyperlink>
      <w:r>
        <w:t xml:space="preserve">; </w:t>
      </w:r>
      <w:hyperlink r:id="rId2" w:history="1">
        <w:r w:rsidRPr="00E931B8">
          <w:t>http://www.mojebillboardy.cz/hledat/index/search_county/10-praha/search_billboardtype/1</w:t>
        </w:r>
      </w:hyperlink>
      <w:r w:rsidRPr="00017255">
        <w:t>; http://</w:t>
      </w:r>
      <w:proofErr w:type="gramStart"/>
      <w:r w:rsidRPr="00017255">
        <w:t>www</w:t>
      </w:r>
      <w:proofErr w:type="gramEnd"/>
      <w:r w:rsidRPr="00017255">
        <w:t>.</w:t>
      </w:r>
      <w:proofErr w:type="gramStart"/>
      <w:r w:rsidRPr="00017255">
        <w:t>rozhlas</w:t>
      </w:r>
      <w:proofErr w:type="gramEnd"/>
      <w:r w:rsidRPr="00017255">
        <w:t>.cz/reklama/cenik/_zprava/1303159</w:t>
      </w:r>
    </w:p>
  </w:footnote>
  <w:footnote w:id="13">
    <w:p w:rsidR="00962E44" w:rsidRDefault="00962E44" w:rsidP="004961D3">
      <w:pPr>
        <w:pStyle w:val="Textpoznpodarou"/>
      </w:pPr>
      <w:r>
        <w:rPr>
          <w:rStyle w:val="Znakapoznpodarou"/>
        </w:rPr>
        <w:footnoteRef/>
      </w:r>
      <w:r>
        <w:t xml:space="preserve"> Mladší vozidla jsou nejen šetrnější k životnímu prostředí, ale mají vyšší stupeň aktivní a pasivní bezpečnosti.</w:t>
      </w:r>
    </w:p>
  </w:footnote>
  <w:footnote w:id="14">
    <w:p w:rsidR="00CC0F90" w:rsidRDefault="00CC0F90" w:rsidP="00CC0F90">
      <w:pPr>
        <w:pStyle w:val="Textpoznpodarou"/>
      </w:pPr>
      <w:r>
        <w:rPr>
          <w:rStyle w:val="Znakapoznpodarou"/>
        </w:rPr>
        <w:footnoteRef/>
      </w:r>
      <w:r>
        <w:t xml:space="preserve"> </w:t>
      </w:r>
      <w:proofErr w:type="spellStart"/>
      <w:r w:rsidRPr="00CA4CE4">
        <w:t>Úř</w:t>
      </w:r>
      <w:proofErr w:type="spellEnd"/>
      <w:r w:rsidRPr="00CA4CE4">
        <w:t xml:space="preserve">. </w:t>
      </w:r>
      <w:proofErr w:type="spellStart"/>
      <w:proofErr w:type="gramStart"/>
      <w:r w:rsidRPr="00CA4CE4">
        <w:t>věst</w:t>
      </w:r>
      <w:proofErr w:type="spellEnd"/>
      <w:proofErr w:type="gramEnd"/>
      <w:r w:rsidRPr="00CA4CE4">
        <w:t xml:space="preserve">. L 312, </w:t>
      </w:r>
      <w:proofErr w:type="gramStart"/>
      <w:r w:rsidRPr="00CA4CE4">
        <w:t>22.11.2008</w:t>
      </w:r>
      <w:proofErr w:type="gramEnd"/>
      <w:r w:rsidRPr="00CA4CE4">
        <w:t xml:space="preserve">, s. 3. Oprava: </w:t>
      </w:r>
      <w:proofErr w:type="spellStart"/>
      <w:r w:rsidRPr="00CA4CE4">
        <w:t>Úř</w:t>
      </w:r>
      <w:proofErr w:type="spellEnd"/>
      <w:r w:rsidRPr="00CA4CE4">
        <w:t xml:space="preserve">. </w:t>
      </w:r>
      <w:proofErr w:type="spellStart"/>
      <w:proofErr w:type="gramStart"/>
      <w:r w:rsidRPr="00CA4CE4">
        <w:t>věst</w:t>
      </w:r>
      <w:proofErr w:type="spellEnd"/>
      <w:proofErr w:type="gramEnd"/>
      <w:r w:rsidRPr="00CA4CE4">
        <w:t xml:space="preserve">. L 99, </w:t>
      </w:r>
      <w:proofErr w:type="gramStart"/>
      <w:r w:rsidRPr="00CA4CE4">
        <w:t>5.4.2012</w:t>
      </w:r>
      <w:proofErr w:type="gramEnd"/>
      <w:r w:rsidRPr="00CA4CE4">
        <w:t>, s. 35.</w:t>
      </w:r>
    </w:p>
  </w:footnote>
  <w:footnote w:id="15">
    <w:p w:rsidR="00CC0F90" w:rsidRDefault="00CC0F90" w:rsidP="00CC0F90">
      <w:pPr>
        <w:pStyle w:val="Textpoznpodarou"/>
      </w:pPr>
      <w:r>
        <w:rPr>
          <w:rStyle w:val="Znakapoznpodarou"/>
        </w:rPr>
        <w:footnoteRef/>
      </w:r>
      <w:r>
        <w:t xml:space="preserve"> </w:t>
      </w:r>
      <w:proofErr w:type="spellStart"/>
      <w:r>
        <w:t>Úř</w:t>
      </w:r>
      <w:proofErr w:type="spellEnd"/>
      <w:r>
        <w:t xml:space="preserve">. </w:t>
      </w:r>
      <w:proofErr w:type="spellStart"/>
      <w:proofErr w:type="gramStart"/>
      <w:r>
        <w:t>věst</w:t>
      </w:r>
      <w:proofErr w:type="spellEnd"/>
      <w:proofErr w:type="gramEnd"/>
      <w:r>
        <w:t xml:space="preserve">. L 197, </w:t>
      </w:r>
      <w:proofErr w:type="gramStart"/>
      <w:r>
        <w:t>24.7.2012</w:t>
      </w:r>
      <w:proofErr w:type="gramEnd"/>
      <w:r>
        <w:t>, s. 38.</w:t>
      </w:r>
    </w:p>
  </w:footnote>
  <w:footnote w:id="16">
    <w:p w:rsidR="00CC0F90" w:rsidRDefault="00CC0F90" w:rsidP="00CC0F90">
      <w:pPr>
        <w:pStyle w:val="Textpoznpodarou"/>
      </w:pPr>
      <w:r>
        <w:rPr>
          <w:rStyle w:val="Znakapoznpodarou"/>
        </w:rPr>
        <w:footnoteRef/>
      </w:r>
      <w:r>
        <w:t xml:space="preserve"> </w:t>
      </w:r>
      <w:proofErr w:type="spellStart"/>
      <w:r w:rsidRPr="00E37746">
        <w:t>Úř</w:t>
      </w:r>
      <w:proofErr w:type="spellEnd"/>
      <w:r w:rsidRPr="00E37746">
        <w:t xml:space="preserve">. </w:t>
      </w:r>
      <w:proofErr w:type="spellStart"/>
      <w:proofErr w:type="gramStart"/>
      <w:r w:rsidRPr="00E37746">
        <w:t>věst</w:t>
      </w:r>
      <w:proofErr w:type="spellEnd"/>
      <w:proofErr w:type="gramEnd"/>
      <w:r w:rsidRPr="00E37746">
        <w:t xml:space="preserve">. L 266, </w:t>
      </w:r>
      <w:proofErr w:type="gramStart"/>
      <w:r w:rsidRPr="00E37746">
        <w:t>26.9.2006</w:t>
      </w:r>
      <w:proofErr w:type="gramEnd"/>
      <w:r w:rsidRPr="00E37746">
        <w:t>, s. 1</w:t>
      </w:r>
      <w:r>
        <w:t xml:space="preserve">. </w:t>
      </w:r>
      <w:proofErr w:type="spellStart"/>
      <w:r w:rsidRPr="00E37746">
        <w:t>Úř</w:t>
      </w:r>
      <w:proofErr w:type="spellEnd"/>
      <w:r w:rsidRPr="00E37746">
        <w:t xml:space="preserve">. </w:t>
      </w:r>
      <w:proofErr w:type="spellStart"/>
      <w:proofErr w:type="gramStart"/>
      <w:r w:rsidRPr="00E37746">
        <w:t>věst</w:t>
      </w:r>
      <w:proofErr w:type="spellEnd"/>
      <w:proofErr w:type="gramEnd"/>
      <w:r w:rsidRPr="00E37746">
        <w:t>.</w:t>
      </w:r>
      <w:r>
        <w:t xml:space="preserve"> L 329, </w:t>
      </w:r>
      <w:proofErr w:type="gramStart"/>
      <w:r w:rsidRPr="00C33D9F">
        <w:t>10.12.2013</w:t>
      </w:r>
      <w:proofErr w:type="gramEnd"/>
      <w:r>
        <w:t>, s. 5.</w:t>
      </w:r>
    </w:p>
  </w:footnote>
  <w:footnote w:id="17">
    <w:p w:rsidR="00CC0F90" w:rsidRDefault="00CC0F90" w:rsidP="00CC0F90">
      <w:pPr>
        <w:pStyle w:val="Textpoznpodarou"/>
      </w:pPr>
      <w:r>
        <w:rPr>
          <w:rStyle w:val="Znakapoznpodarou"/>
        </w:rPr>
        <w:footnoteRef/>
      </w:r>
      <w:r>
        <w:t xml:space="preserve"> </w:t>
      </w:r>
      <w:proofErr w:type="spellStart"/>
      <w:r w:rsidRPr="00C33D9F">
        <w:t>Úř</w:t>
      </w:r>
      <w:proofErr w:type="spellEnd"/>
      <w:r w:rsidRPr="00C33D9F">
        <w:t xml:space="preserve">. </w:t>
      </w:r>
      <w:proofErr w:type="spellStart"/>
      <w:proofErr w:type="gramStart"/>
      <w:r w:rsidRPr="00C33D9F">
        <w:t>věst</w:t>
      </w:r>
      <w:proofErr w:type="spellEnd"/>
      <w:proofErr w:type="gramEnd"/>
      <w:r w:rsidRPr="00C33D9F">
        <w:t xml:space="preserve">. L 269, </w:t>
      </w:r>
      <w:proofErr w:type="gramStart"/>
      <w:r w:rsidRPr="00C33D9F">
        <w:t>21.10.2000</w:t>
      </w:r>
      <w:proofErr w:type="gramEnd"/>
      <w:r w:rsidRPr="00C33D9F">
        <w:t>, s. 34</w:t>
      </w:r>
      <w:r>
        <w:t>.</w:t>
      </w:r>
    </w:p>
  </w:footnote>
  <w:footnote w:id="18">
    <w:p w:rsidR="00CC0F90" w:rsidRDefault="00CC0F90" w:rsidP="00CC0F90">
      <w:pPr>
        <w:pStyle w:val="Textpoznpodarou"/>
      </w:pPr>
      <w:r>
        <w:rPr>
          <w:rStyle w:val="Znakapoznpodarou"/>
        </w:rPr>
        <w:footnoteRef/>
      </w:r>
      <w:r>
        <w:t xml:space="preserve"> </w:t>
      </w:r>
      <w:proofErr w:type="spellStart"/>
      <w:r w:rsidRPr="00C33D9F">
        <w:t>Úř</w:t>
      </w:r>
      <w:proofErr w:type="spellEnd"/>
      <w:r w:rsidRPr="00C33D9F">
        <w:t xml:space="preserve">. </w:t>
      </w:r>
      <w:proofErr w:type="spellStart"/>
      <w:proofErr w:type="gramStart"/>
      <w:r w:rsidRPr="00C33D9F">
        <w:t>věst</w:t>
      </w:r>
      <w:proofErr w:type="spellEnd"/>
      <w:proofErr w:type="gramEnd"/>
      <w:r w:rsidRPr="00C33D9F">
        <w:t>. L</w:t>
      </w:r>
      <w:r>
        <w:t xml:space="preserve"> 151, </w:t>
      </w:r>
      <w:proofErr w:type="gramStart"/>
      <w:r w:rsidRPr="00C33D9F">
        <w:t>12.6.2012</w:t>
      </w:r>
      <w:proofErr w:type="gramEnd"/>
      <w:r>
        <w:t>, s. 9.</w:t>
      </w:r>
    </w:p>
  </w:footnote>
  <w:footnote w:id="19">
    <w:p w:rsidR="00CC0F90" w:rsidRDefault="00CC0F90" w:rsidP="00CC0F90">
      <w:pPr>
        <w:pStyle w:val="Textpoznpodarou"/>
      </w:pPr>
      <w:r>
        <w:rPr>
          <w:rStyle w:val="Znakapoznpodarou"/>
        </w:rPr>
        <w:footnoteRef/>
      </w:r>
      <w:r>
        <w:t xml:space="preserve"> </w:t>
      </w:r>
      <w:proofErr w:type="spellStart"/>
      <w:r w:rsidRPr="00C33D9F">
        <w:t>Úř</w:t>
      </w:r>
      <w:proofErr w:type="spellEnd"/>
      <w:r w:rsidRPr="00C33D9F">
        <w:t xml:space="preserve">. </w:t>
      </w:r>
      <w:proofErr w:type="spellStart"/>
      <w:proofErr w:type="gramStart"/>
      <w:r w:rsidRPr="00C33D9F">
        <w:t>věst</w:t>
      </w:r>
      <w:proofErr w:type="spellEnd"/>
      <w:proofErr w:type="gramEnd"/>
      <w:r w:rsidRPr="00C33D9F">
        <w:t>. L</w:t>
      </w:r>
      <w:r>
        <w:t xml:space="preserve"> 150, </w:t>
      </w:r>
      <w:proofErr w:type="gramStart"/>
      <w:r w:rsidRPr="00CB0A6B">
        <w:t>20.5.2014</w:t>
      </w:r>
      <w:proofErr w:type="gramEnd"/>
      <w:r>
        <w:t>, 195.</w:t>
      </w:r>
    </w:p>
  </w:footnote>
  <w:footnote w:id="20">
    <w:p w:rsidR="00CC0F90" w:rsidRDefault="00CC0F90" w:rsidP="00CC0F90">
      <w:pPr>
        <w:pStyle w:val="Textpoznpodarou"/>
      </w:pPr>
      <w:r>
        <w:rPr>
          <w:rStyle w:val="Znakapoznpodarou"/>
        </w:rPr>
        <w:footnoteRef/>
      </w:r>
      <w:r>
        <w:t xml:space="preserve"> </w:t>
      </w:r>
      <w:proofErr w:type="spellStart"/>
      <w:r>
        <w:t>Úř</w:t>
      </w:r>
      <w:proofErr w:type="spellEnd"/>
      <w:r>
        <w:t xml:space="preserve">. </w:t>
      </w:r>
      <w:proofErr w:type="spellStart"/>
      <w:proofErr w:type="gramStart"/>
      <w:r>
        <w:t>věst</w:t>
      </w:r>
      <w:proofErr w:type="spellEnd"/>
      <w:proofErr w:type="gramEnd"/>
      <w:r>
        <w:t xml:space="preserve">. L 190, </w:t>
      </w:r>
      <w:proofErr w:type="gramStart"/>
      <w:r>
        <w:t>12.7.2006</w:t>
      </w:r>
      <w:proofErr w:type="gramEnd"/>
      <w:r>
        <w:t>, s. 1.</w:t>
      </w:r>
    </w:p>
  </w:footnote>
  <w:footnote w:id="21">
    <w:p w:rsidR="00B75FCB" w:rsidRPr="00B75FCB" w:rsidRDefault="00B75FCB" w:rsidP="00B75FCB">
      <w:pPr>
        <w:pStyle w:val="Textpoznpodarou"/>
      </w:pPr>
      <w:r w:rsidRPr="00B75FCB">
        <w:rPr>
          <w:rStyle w:val="Znakapoznpodarou"/>
        </w:rPr>
        <w:footnoteRef/>
      </w:r>
      <w:r w:rsidRPr="00B75FCB">
        <w:t xml:space="preserve"> Mladší vozidla jsou nejen šetrnější k životnímu prostředí, ale mají vyšší stupeň aktivní a pasivní bezpečnosti.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44" w:rsidRPr="00FD0108" w:rsidRDefault="00962E44" w:rsidP="00FD0108">
    <w:pPr>
      <w:pStyle w:val="Zhlav"/>
      <w:jc w:val="right"/>
      <w:rPr>
        <w:b/>
      </w:rPr>
    </w:pPr>
    <w:r>
      <w:rPr>
        <w:b/>
      </w:rPr>
      <w:t>IV.</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44" w:rsidRDefault="00962E44">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44" w:rsidRDefault="00962E44">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44" w:rsidRDefault="00962E44">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44" w:rsidRDefault="00962E44">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44" w:rsidRDefault="00962E44">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44" w:rsidRPr="00D47090" w:rsidRDefault="00962E44" w:rsidP="00D47090">
    <w:pPr>
      <w:pStyle w:val="Zhlav"/>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B98"/>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
    <w:nsid w:val="03AC0ED6"/>
    <w:multiLevelType w:val="hybridMultilevel"/>
    <w:tmpl w:val="909C3F94"/>
    <w:lvl w:ilvl="0" w:tplc="1AF8DAAA">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nsid w:val="041F530C"/>
    <w:multiLevelType w:val="hybridMultilevel"/>
    <w:tmpl w:val="91306068"/>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nsid w:val="0666294B"/>
    <w:multiLevelType w:val="hybridMultilevel"/>
    <w:tmpl w:val="AE880228"/>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6F7674A"/>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
    <w:nsid w:val="08991108"/>
    <w:multiLevelType w:val="hybridMultilevel"/>
    <w:tmpl w:val="4EC2E4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90E152E"/>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
    <w:nsid w:val="0BCE1245"/>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
    <w:nsid w:val="0CE96782"/>
    <w:multiLevelType w:val="hybridMultilevel"/>
    <w:tmpl w:val="740EA552"/>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0DE54D0F"/>
    <w:multiLevelType w:val="hybridMultilevel"/>
    <w:tmpl w:val="7EF03348"/>
    <w:lvl w:ilvl="0" w:tplc="BCCA24F2">
      <w:start w:val="1"/>
      <w:numFmt w:val="decimal"/>
      <w:pStyle w:val="vpis"/>
      <w:lvlText w:val="%1."/>
      <w:lvlJc w:val="left"/>
      <w:pPr>
        <w:ind w:left="720" w:hanging="360"/>
      </w:pPr>
      <w:rPr>
        <w:rFonts w:hint="default"/>
      </w:rPr>
    </w:lvl>
    <w:lvl w:ilvl="1" w:tplc="E3222E40" w:tentative="1">
      <w:start w:val="1"/>
      <w:numFmt w:val="lowerLetter"/>
      <w:lvlText w:val="%2."/>
      <w:lvlJc w:val="left"/>
      <w:pPr>
        <w:ind w:left="1440" w:hanging="360"/>
      </w:pPr>
    </w:lvl>
    <w:lvl w:ilvl="2" w:tplc="C944BB86" w:tentative="1">
      <w:start w:val="1"/>
      <w:numFmt w:val="lowerRoman"/>
      <w:lvlText w:val="%3."/>
      <w:lvlJc w:val="right"/>
      <w:pPr>
        <w:ind w:left="2160" w:hanging="180"/>
      </w:pPr>
    </w:lvl>
    <w:lvl w:ilvl="3" w:tplc="7DDCC8E6" w:tentative="1">
      <w:start w:val="1"/>
      <w:numFmt w:val="decimal"/>
      <w:lvlText w:val="%4."/>
      <w:lvlJc w:val="left"/>
      <w:pPr>
        <w:ind w:left="2880" w:hanging="360"/>
      </w:pPr>
    </w:lvl>
    <w:lvl w:ilvl="4" w:tplc="9C0E2D0E" w:tentative="1">
      <w:start w:val="1"/>
      <w:numFmt w:val="lowerLetter"/>
      <w:lvlText w:val="%5."/>
      <w:lvlJc w:val="left"/>
      <w:pPr>
        <w:ind w:left="3600" w:hanging="360"/>
      </w:pPr>
    </w:lvl>
    <w:lvl w:ilvl="5" w:tplc="F884A804" w:tentative="1">
      <w:start w:val="1"/>
      <w:numFmt w:val="lowerRoman"/>
      <w:lvlText w:val="%6."/>
      <w:lvlJc w:val="right"/>
      <w:pPr>
        <w:ind w:left="4320" w:hanging="180"/>
      </w:pPr>
    </w:lvl>
    <w:lvl w:ilvl="6" w:tplc="1C425342" w:tentative="1">
      <w:start w:val="1"/>
      <w:numFmt w:val="decimal"/>
      <w:lvlText w:val="%7."/>
      <w:lvlJc w:val="left"/>
      <w:pPr>
        <w:ind w:left="5040" w:hanging="360"/>
      </w:pPr>
    </w:lvl>
    <w:lvl w:ilvl="7" w:tplc="8728853C" w:tentative="1">
      <w:start w:val="1"/>
      <w:numFmt w:val="lowerLetter"/>
      <w:lvlText w:val="%8."/>
      <w:lvlJc w:val="left"/>
      <w:pPr>
        <w:ind w:left="5760" w:hanging="360"/>
      </w:pPr>
    </w:lvl>
    <w:lvl w:ilvl="8" w:tplc="B464E53A" w:tentative="1">
      <w:start w:val="1"/>
      <w:numFmt w:val="lowerRoman"/>
      <w:lvlText w:val="%9."/>
      <w:lvlJc w:val="right"/>
      <w:pPr>
        <w:ind w:left="6480" w:hanging="180"/>
      </w:pPr>
    </w:lvl>
  </w:abstractNum>
  <w:abstractNum w:abstractNumId="10">
    <w:nsid w:val="0F3B72EE"/>
    <w:multiLevelType w:val="hybridMultilevel"/>
    <w:tmpl w:val="AFE80D4C"/>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10652A54"/>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nsid w:val="10C928CE"/>
    <w:multiLevelType w:val="hybridMultilevel"/>
    <w:tmpl w:val="5A8048E8"/>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10812DE"/>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nsid w:val="12DD67F2"/>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5">
    <w:nsid w:val="1325215F"/>
    <w:multiLevelType w:val="hybridMultilevel"/>
    <w:tmpl w:val="028891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13FE1B85"/>
    <w:multiLevelType w:val="hybridMultilevel"/>
    <w:tmpl w:val="E25CA9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1562121B"/>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8">
    <w:nsid w:val="15A57D5E"/>
    <w:multiLevelType w:val="hybridMultilevel"/>
    <w:tmpl w:val="B4EA0E46"/>
    <w:lvl w:ilvl="0" w:tplc="1AF8DAAA">
      <w:start w:val="1"/>
      <w:numFmt w:val="bullet"/>
      <w:lvlText w:val=""/>
      <w:lvlJc w:val="left"/>
      <w:pPr>
        <w:ind w:left="720" w:hanging="360"/>
      </w:pPr>
      <w:rPr>
        <w:rFonts w:ascii="Symbol" w:hAnsi="Symbol" w:hint="default"/>
      </w:rPr>
    </w:lvl>
    <w:lvl w:ilvl="1" w:tplc="1AF8DAAA">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169B5D76"/>
    <w:multiLevelType w:val="hybridMultilevel"/>
    <w:tmpl w:val="A2FC204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186B64EA"/>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1">
    <w:nsid w:val="19423BB2"/>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nsid w:val="19CD10F6"/>
    <w:multiLevelType w:val="hybridMultilevel"/>
    <w:tmpl w:val="E2F2119E"/>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1AA14A80"/>
    <w:multiLevelType w:val="hybridMultilevel"/>
    <w:tmpl w:val="9578C0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1B460D48"/>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5">
    <w:nsid w:val="1B4D1D24"/>
    <w:multiLevelType w:val="hybridMultilevel"/>
    <w:tmpl w:val="51244174"/>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1C5B108A"/>
    <w:multiLevelType w:val="hybridMultilevel"/>
    <w:tmpl w:val="9F62EDE8"/>
    <w:lvl w:ilvl="0" w:tplc="82E280E8">
      <w:start w:val="1"/>
      <w:numFmt w:val="bullet"/>
      <w:pStyle w:val="Bullet2"/>
      <w:lvlText w:val="o"/>
      <w:lvlJc w:val="left"/>
      <w:pPr>
        <w:tabs>
          <w:tab w:val="num" w:pos="720"/>
        </w:tabs>
        <w:ind w:left="720" w:hanging="360"/>
      </w:pPr>
      <w:rPr>
        <w:rFonts w:ascii="Courier New" w:hAnsi="Courier New" w:hint="default"/>
      </w:rPr>
    </w:lvl>
    <w:lvl w:ilvl="1" w:tplc="CC7C4B5C" w:tentative="1">
      <w:start w:val="1"/>
      <w:numFmt w:val="bullet"/>
      <w:lvlText w:val="o"/>
      <w:lvlJc w:val="left"/>
      <w:pPr>
        <w:tabs>
          <w:tab w:val="num" w:pos="1440"/>
        </w:tabs>
        <w:ind w:left="1440" w:hanging="360"/>
      </w:pPr>
      <w:rPr>
        <w:rFonts w:ascii="Courier New" w:hAnsi="Courier New" w:hint="default"/>
      </w:rPr>
    </w:lvl>
    <w:lvl w:ilvl="2" w:tplc="77F6998E" w:tentative="1">
      <w:start w:val="1"/>
      <w:numFmt w:val="bullet"/>
      <w:lvlText w:val=""/>
      <w:lvlJc w:val="left"/>
      <w:pPr>
        <w:tabs>
          <w:tab w:val="num" w:pos="2160"/>
        </w:tabs>
        <w:ind w:left="2160" w:hanging="360"/>
      </w:pPr>
      <w:rPr>
        <w:rFonts w:ascii="Wingdings" w:hAnsi="Wingdings" w:hint="default"/>
      </w:rPr>
    </w:lvl>
    <w:lvl w:ilvl="3" w:tplc="61CA0874" w:tentative="1">
      <w:start w:val="1"/>
      <w:numFmt w:val="bullet"/>
      <w:lvlText w:val=""/>
      <w:lvlJc w:val="left"/>
      <w:pPr>
        <w:tabs>
          <w:tab w:val="num" w:pos="2880"/>
        </w:tabs>
        <w:ind w:left="2880" w:hanging="360"/>
      </w:pPr>
      <w:rPr>
        <w:rFonts w:ascii="Symbol" w:hAnsi="Symbol" w:hint="default"/>
      </w:rPr>
    </w:lvl>
    <w:lvl w:ilvl="4" w:tplc="A58C6D90" w:tentative="1">
      <w:start w:val="1"/>
      <w:numFmt w:val="bullet"/>
      <w:lvlText w:val="o"/>
      <w:lvlJc w:val="left"/>
      <w:pPr>
        <w:tabs>
          <w:tab w:val="num" w:pos="3600"/>
        </w:tabs>
        <w:ind w:left="3600" w:hanging="360"/>
      </w:pPr>
      <w:rPr>
        <w:rFonts w:ascii="Courier New" w:hAnsi="Courier New" w:hint="default"/>
      </w:rPr>
    </w:lvl>
    <w:lvl w:ilvl="5" w:tplc="CF8A61F0" w:tentative="1">
      <w:start w:val="1"/>
      <w:numFmt w:val="bullet"/>
      <w:lvlText w:val=""/>
      <w:lvlJc w:val="left"/>
      <w:pPr>
        <w:tabs>
          <w:tab w:val="num" w:pos="4320"/>
        </w:tabs>
        <w:ind w:left="4320" w:hanging="360"/>
      </w:pPr>
      <w:rPr>
        <w:rFonts w:ascii="Wingdings" w:hAnsi="Wingdings" w:hint="default"/>
      </w:rPr>
    </w:lvl>
    <w:lvl w:ilvl="6" w:tplc="B978A902" w:tentative="1">
      <w:start w:val="1"/>
      <w:numFmt w:val="bullet"/>
      <w:lvlText w:val=""/>
      <w:lvlJc w:val="left"/>
      <w:pPr>
        <w:tabs>
          <w:tab w:val="num" w:pos="5040"/>
        </w:tabs>
        <w:ind w:left="5040" w:hanging="360"/>
      </w:pPr>
      <w:rPr>
        <w:rFonts w:ascii="Symbol" w:hAnsi="Symbol" w:hint="default"/>
      </w:rPr>
    </w:lvl>
    <w:lvl w:ilvl="7" w:tplc="23F01EC6" w:tentative="1">
      <w:start w:val="1"/>
      <w:numFmt w:val="bullet"/>
      <w:lvlText w:val="o"/>
      <w:lvlJc w:val="left"/>
      <w:pPr>
        <w:tabs>
          <w:tab w:val="num" w:pos="5760"/>
        </w:tabs>
        <w:ind w:left="5760" w:hanging="360"/>
      </w:pPr>
      <w:rPr>
        <w:rFonts w:ascii="Courier New" w:hAnsi="Courier New" w:hint="default"/>
      </w:rPr>
    </w:lvl>
    <w:lvl w:ilvl="8" w:tplc="0A54AD8E" w:tentative="1">
      <w:start w:val="1"/>
      <w:numFmt w:val="bullet"/>
      <w:lvlText w:val=""/>
      <w:lvlJc w:val="left"/>
      <w:pPr>
        <w:tabs>
          <w:tab w:val="num" w:pos="6480"/>
        </w:tabs>
        <w:ind w:left="6480" w:hanging="360"/>
      </w:pPr>
      <w:rPr>
        <w:rFonts w:ascii="Wingdings" w:hAnsi="Wingdings" w:hint="default"/>
      </w:rPr>
    </w:lvl>
  </w:abstractNum>
  <w:abstractNum w:abstractNumId="27">
    <w:nsid w:val="1CCE3828"/>
    <w:multiLevelType w:val="hybridMultilevel"/>
    <w:tmpl w:val="22AA364C"/>
    <w:lvl w:ilvl="0" w:tplc="06E6F5D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1D027EAA"/>
    <w:multiLevelType w:val="hybridMultilevel"/>
    <w:tmpl w:val="862E201C"/>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29">
    <w:nsid w:val="1EAB3BD8"/>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0">
    <w:nsid w:val="1FCF7990"/>
    <w:multiLevelType w:val="hybridMultilevel"/>
    <w:tmpl w:val="A838D87A"/>
    <w:lvl w:ilvl="0" w:tplc="1AF8DAA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1">
    <w:nsid w:val="21061398"/>
    <w:multiLevelType w:val="hybridMultilevel"/>
    <w:tmpl w:val="B9A802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21270408"/>
    <w:multiLevelType w:val="hybridMultilevel"/>
    <w:tmpl w:val="C9AC5B5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218F1564"/>
    <w:multiLevelType w:val="hybridMultilevel"/>
    <w:tmpl w:val="C7AA501C"/>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21F913C5"/>
    <w:multiLevelType w:val="hybridMultilevel"/>
    <w:tmpl w:val="0944B26E"/>
    <w:lvl w:ilvl="0" w:tplc="1AF8DAAA">
      <w:start w:val="1"/>
      <w:numFmt w:val="bullet"/>
      <w:lvlText w:val=""/>
      <w:lvlJc w:val="left"/>
      <w:pPr>
        <w:ind w:left="720" w:hanging="360"/>
      </w:pPr>
      <w:rPr>
        <w:rFonts w:ascii="Symbol" w:hAnsi="Symbol" w:hint="default"/>
      </w:rPr>
    </w:lvl>
    <w:lvl w:ilvl="1" w:tplc="D9F05986">
      <w:numFmt w:val="bullet"/>
      <w:lvlText w:val="-"/>
      <w:lvlJc w:val="left"/>
      <w:pPr>
        <w:ind w:left="1440" w:hanging="360"/>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24532EC8"/>
    <w:multiLevelType w:val="hybridMultilevel"/>
    <w:tmpl w:val="B47433E2"/>
    <w:lvl w:ilvl="0" w:tplc="1AF8DAAA">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6">
    <w:nsid w:val="24B743CA"/>
    <w:multiLevelType w:val="hybridMultilevel"/>
    <w:tmpl w:val="ABE29D42"/>
    <w:lvl w:ilvl="0" w:tplc="1AF8DAAA">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7">
    <w:nsid w:val="257121C6"/>
    <w:multiLevelType w:val="hybridMultilevel"/>
    <w:tmpl w:val="C8F28F20"/>
    <w:lvl w:ilvl="0" w:tplc="445E22DA">
      <w:start w:val="1"/>
      <w:numFmt w:val="bullet"/>
      <w:pStyle w:val="Styl-NormlnsodrkouVlevo189cmPedsazen063cm"/>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8">
    <w:nsid w:val="25A01B95"/>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9">
    <w:nsid w:val="276D3CE4"/>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nsid w:val="294B65DE"/>
    <w:multiLevelType w:val="hybridMultilevel"/>
    <w:tmpl w:val="8F88CD16"/>
    <w:lvl w:ilvl="0" w:tplc="1AF8DAAA">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nsid w:val="29F3018E"/>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2">
    <w:nsid w:val="2A111137"/>
    <w:multiLevelType w:val="hybridMultilevel"/>
    <w:tmpl w:val="9894EAC6"/>
    <w:lvl w:ilvl="0" w:tplc="424E1C9A">
      <w:start w:val="1"/>
      <w:numFmt w:val="lowerLetter"/>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2AB475D1"/>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4">
    <w:nsid w:val="2B326A2C"/>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5">
    <w:nsid w:val="2D45745E"/>
    <w:multiLevelType w:val="hybridMultilevel"/>
    <w:tmpl w:val="F252B566"/>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30A61E02"/>
    <w:multiLevelType w:val="hybridMultilevel"/>
    <w:tmpl w:val="C3120BCA"/>
    <w:lvl w:ilvl="0" w:tplc="1AF8DAAA">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7">
    <w:nsid w:val="31D7518B"/>
    <w:multiLevelType w:val="hybridMultilevel"/>
    <w:tmpl w:val="F8382A0A"/>
    <w:lvl w:ilvl="0" w:tplc="1AF8DAAA">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48">
    <w:nsid w:val="322F0140"/>
    <w:multiLevelType w:val="hybridMultilevel"/>
    <w:tmpl w:val="4EC2E4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32D55CA4"/>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0">
    <w:nsid w:val="336F6DDE"/>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1">
    <w:nsid w:val="33935683"/>
    <w:multiLevelType w:val="hybridMultilevel"/>
    <w:tmpl w:val="73C24F16"/>
    <w:lvl w:ilvl="0" w:tplc="C51E8EC8">
      <w:start w:val="1"/>
      <w:numFmt w:val="bullet"/>
      <w:pStyle w:val="odrky1"/>
      <w:lvlText w:val=""/>
      <w:lvlJc w:val="left"/>
      <w:pPr>
        <w:ind w:left="360" w:hanging="360"/>
      </w:pPr>
      <w:rPr>
        <w:rFonts w:ascii="Wingdings" w:hAnsi="Wingdings" w:hint="default"/>
      </w:rPr>
    </w:lvl>
    <w:lvl w:ilvl="1" w:tplc="388A59D6">
      <w:start w:val="1"/>
      <w:numFmt w:val="bullet"/>
      <w:lvlText w:val="o"/>
      <w:lvlJc w:val="left"/>
      <w:pPr>
        <w:tabs>
          <w:tab w:val="num" w:pos="1440"/>
        </w:tabs>
        <w:ind w:left="1440" w:hanging="360"/>
      </w:pPr>
      <w:rPr>
        <w:rFonts w:ascii="Courier New" w:hAnsi="Courier New" w:hint="default"/>
      </w:rPr>
    </w:lvl>
    <w:lvl w:ilvl="2" w:tplc="EF065FE4">
      <w:start w:val="1"/>
      <w:numFmt w:val="bullet"/>
      <w:lvlText w:val=""/>
      <w:lvlJc w:val="left"/>
      <w:pPr>
        <w:tabs>
          <w:tab w:val="num" w:pos="2160"/>
        </w:tabs>
        <w:ind w:left="2160" w:hanging="360"/>
      </w:pPr>
      <w:rPr>
        <w:rFonts w:ascii="Wingdings" w:hAnsi="Wingdings" w:hint="default"/>
      </w:rPr>
    </w:lvl>
    <w:lvl w:ilvl="3" w:tplc="073604AC">
      <w:start w:val="1"/>
      <w:numFmt w:val="bullet"/>
      <w:lvlText w:val=""/>
      <w:lvlJc w:val="left"/>
      <w:pPr>
        <w:tabs>
          <w:tab w:val="num" w:pos="2880"/>
        </w:tabs>
        <w:ind w:left="2880" w:hanging="360"/>
      </w:pPr>
      <w:rPr>
        <w:rFonts w:ascii="Symbol" w:hAnsi="Symbol" w:hint="default"/>
      </w:rPr>
    </w:lvl>
    <w:lvl w:ilvl="4" w:tplc="AC5CD714">
      <w:start w:val="1"/>
      <w:numFmt w:val="bullet"/>
      <w:lvlText w:val="o"/>
      <w:lvlJc w:val="left"/>
      <w:pPr>
        <w:tabs>
          <w:tab w:val="num" w:pos="3600"/>
        </w:tabs>
        <w:ind w:left="3600" w:hanging="360"/>
      </w:pPr>
      <w:rPr>
        <w:rFonts w:ascii="Courier New" w:hAnsi="Courier New" w:hint="default"/>
      </w:rPr>
    </w:lvl>
    <w:lvl w:ilvl="5" w:tplc="C09A72AC">
      <w:start w:val="1"/>
      <w:numFmt w:val="bullet"/>
      <w:lvlText w:val=""/>
      <w:lvlJc w:val="left"/>
      <w:pPr>
        <w:tabs>
          <w:tab w:val="num" w:pos="4320"/>
        </w:tabs>
        <w:ind w:left="4320" w:hanging="360"/>
      </w:pPr>
      <w:rPr>
        <w:rFonts w:ascii="Wingdings" w:hAnsi="Wingdings" w:hint="default"/>
      </w:rPr>
    </w:lvl>
    <w:lvl w:ilvl="6" w:tplc="8BD4D9AE">
      <w:start w:val="1"/>
      <w:numFmt w:val="bullet"/>
      <w:lvlText w:val=""/>
      <w:lvlJc w:val="left"/>
      <w:pPr>
        <w:tabs>
          <w:tab w:val="num" w:pos="5040"/>
        </w:tabs>
        <w:ind w:left="5040" w:hanging="360"/>
      </w:pPr>
      <w:rPr>
        <w:rFonts w:ascii="Symbol" w:hAnsi="Symbol" w:hint="default"/>
      </w:rPr>
    </w:lvl>
    <w:lvl w:ilvl="7" w:tplc="7F9E43D0">
      <w:start w:val="1"/>
      <w:numFmt w:val="bullet"/>
      <w:lvlText w:val="o"/>
      <w:lvlJc w:val="left"/>
      <w:pPr>
        <w:tabs>
          <w:tab w:val="num" w:pos="5760"/>
        </w:tabs>
        <w:ind w:left="5760" w:hanging="360"/>
      </w:pPr>
      <w:rPr>
        <w:rFonts w:ascii="Courier New" w:hAnsi="Courier New" w:hint="default"/>
      </w:rPr>
    </w:lvl>
    <w:lvl w:ilvl="8" w:tplc="D28241EC">
      <w:start w:val="1"/>
      <w:numFmt w:val="bullet"/>
      <w:lvlText w:val=""/>
      <w:lvlJc w:val="left"/>
      <w:pPr>
        <w:tabs>
          <w:tab w:val="num" w:pos="6480"/>
        </w:tabs>
        <w:ind w:left="6480" w:hanging="360"/>
      </w:pPr>
      <w:rPr>
        <w:rFonts w:ascii="Wingdings" w:hAnsi="Wingdings" w:hint="default"/>
      </w:rPr>
    </w:lvl>
  </w:abstractNum>
  <w:abstractNum w:abstractNumId="52">
    <w:nsid w:val="345E4161"/>
    <w:multiLevelType w:val="multilevel"/>
    <w:tmpl w:val="DA26A34E"/>
    <w:lvl w:ilvl="0">
      <w:start w:val="1"/>
      <w:numFmt w:val="decimal"/>
      <w:pStyle w:val="Nadpes"/>
      <w:lvlText w:val="%1."/>
      <w:lvlJc w:val="left"/>
      <w:pPr>
        <w:tabs>
          <w:tab w:val="num" w:pos="360"/>
        </w:tabs>
        <w:ind w:left="0" w:firstLine="0"/>
      </w:pPr>
      <w:rPr>
        <w:rFonts w:hint="default"/>
      </w:rPr>
    </w:lvl>
    <w:lvl w:ilvl="1">
      <w:start w:val="1"/>
      <w:numFmt w:val="decimal"/>
      <w:pStyle w:val="Nadpes"/>
      <w:lvlText w:val="%1.%2."/>
      <w:lvlJc w:val="left"/>
      <w:pPr>
        <w:tabs>
          <w:tab w:val="num" w:pos="720"/>
        </w:tabs>
        <w:ind w:left="284" w:hanging="284"/>
      </w:pPr>
      <w:rPr>
        <w:rFonts w:hint="default"/>
      </w:rPr>
    </w:lvl>
    <w:lvl w:ilvl="2">
      <w:start w:val="1"/>
      <w:numFmt w:val="decimal"/>
      <w:pStyle w:val="Nadpepepes"/>
      <w:lvlText w:val="%1.%2.%3."/>
      <w:lvlJc w:val="left"/>
      <w:pPr>
        <w:tabs>
          <w:tab w:val="num" w:pos="720"/>
        </w:tabs>
        <w:ind w:left="284" w:hanging="28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46848F1"/>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4">
    <w:nsid w:val="34C93120"/>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5">
    <w:nsid w:val="35595521"/>
    <w:multiLevelType w:val="hybridMultilevel"/>
    <w:tmpl w:val="D4F08B04"/>
    <w:lvl w:ilvl="0" w:tplc="B7804E84">
      <w:start w:val="1"/>
      <w:numFmt w:val="decimal"/>
      <w:lvlText w:val="%1)"/>
      <w:lvlJc w:val="left"/>
      <w:pPr>
        <w:ind w:left="1428" w:hanging="360"/>
      </w:pPr>
      <w:rPr>
        <w:rFonts w:hint="default"/>
        <w:b w:val="0"/>
        <w:i w:val="0"/>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56">
    <w:nsid w:val="35DA2082"/>
    <w:multiLevelType w:val="hybridMultilevel"/>
    <w:tmpl w:val="C36A4E82"/>
    <w:lvl w:ilvl="0" w:tplc="4F98FBC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36146313"/>
    <w:multiLevelType w:val="hybridMultilevel"/>
    <w:tmpl w:val="1FE60686"/>
    <w:lvl w:ilvl="0" w:tplc="04050017">
      <w:start w:val="1"/>
      <w:numFmt w:val="lowerLetter"/>
      <w:lvlText w:val="%1)"/>
      <w:lvlJc w:val="left"/>
      <w:pPr>
        <w:ind w:left="720" w:hanging="360"/>
      </w:pPr>
    </w:lvl>
    <w:lvl w:ilvl="1" w:tplc="7C0ECC96">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nsid w:val="3697108D"/>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9">
    <w:nsid w:val="39C91890"/>
    <w:multiLevelType w:val="hybridMultilevel"/>
    <w:tmpl w:val="BBF8B440"/>
    <w:lvl w:ilvl="0" w:tplc="2158A86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3A120749"/>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1">
    <w:nsid w:val="3DFF21B4"/>
    <w:multiLevelType w:val="hybridMultilevel"/>
    <w:tmpl w:val="7916B8A8"/>
    <w:lvl w:ilvl="0" w:tplc="4F98FBCE">
      <w:start w:val="1"/>
      <w:numFmt w:val="bullet"/>
      <w:lvlText w:val=""/>
      <w:lvlJc w:val="left"/>
      <w:pPr>
        <w:ind w:left="720" w:hanging="360"/>
      </w:pPr>
      <w:rPr>
        <w:rFonts w:ascii="Symbol" w:hAnsi="Symbol" w:hint="default"/>
      </w:rPr>
    </w:lvl>
    <w:lvl w:ilvl="1" w:tplc="92E02E66">
      <w:numFmt w:val="bullet"/>
      <w:lvlText w:val="-"/>
      <w:lvlJc w:val="left"/>
      <w:pPr>
        <w:ind w:left="144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3FB842C4"/>
    <w:multiLevelType w:val="hybridMultilevel"/>
    <w:tmpl w:val="4B72DF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41DE18C4"/>
    <w:multiLevelType w:val="hybridMultilevel"/>
    <w:tmpl w:val="864EC0A2"/>
    <w:lvl w:ilvl="0" w:tplc="4F98FBC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43391C9E"/>
    <w:multiLevelType w:val="multilevel"/>
    <w:tmpl w:val="11EAB41A"/>
    <w:lvl w:ilvl="0">
      <w:start w:val="1"/>
      <w:numFmt w:val="decimal"/>
      <w:lvlText w:val="%1"/>
      <w:lvlJc w:val="left"/>
      <w:pPr>
        <w:ind w:left="432" w:hanging="432"/>
      </w:pPr>
      <w:rPr>
        <w:rFonts w:asciiTheme="majorHAnsi" w:hAnsiTheme="majorHAnsi" w:hint="default"/>
      </w:rPr>
    </w:lvl>
    <w:lvl w:ilvl="1">
      <w:start w:val="1"/>
      <w:numFmt w:val="upperLetter"/>
      <w:lvlText w:val="%2."/>
      <w:lvlJc w:val="left"/>
      <w:pPr>
        <w:ind w:left="576" w:hanging="576"/>
      </w:pPr>
      <w:rPr>
        <w:rFonts w:hint="default"/>
      </w:rPr>
    </w:lvl>
    <w:lvl w:ilvl="2">
      <w:start w:val="1"/>
      <w:numFmt w:val="decimal"/>
      <w:pStyle w:val="Nadpis3a"/>
      <w:lvlText w:val="%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nsid w:val="44FB18BD"/>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6">
    <w:nsid w:val="456A3FC3"/>
    <w:multiLevelType w:val="hybridMultilevel"/>
    <w:tmpl w:val="1E96D2A6"/>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nsid w:val="456B50DB"/>
    <w:multiLevelType w:val="hybridMultilevel"/>
    <w:tmpl w:val="4AB430C4"/>
    <w:lvl w:ilvl="0" w:tplc="28A8273A">
      <w:start w:val="1"/>
      <w:numFmt w:val="bullet"/>
      <w:pStyle w:val="Odraky2"/>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8">
    <w:nsid w:val="46741D95"/>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9">
    <w:nsid w:val="47FB2C4A"/>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0">
    <w:nsid w:val="481B7369"/>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1">
    <w:nsid w:val="4A0B5076"/>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2">
    <w:nsid w:val="4A240C10"/>
    <w:multiLevelType w:val="hybridMultilevel"/>
    <w:tmpl w:val="0CB49036"/>
    <w:lvl w:ilvl="0" w:tplc="F1B0917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nsid w:val="4A7B13D5"/>
    <w:multiLevelType w:val="hybridMultilevel"/>
    <w:tmpl w:val="122C63B8"/>
    <w:lvl w:ilvl="0" w:tplc="1AF8DAAA">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74">
    <w:nsid w:val="4B862AFA"/>
    <w:multiLevelType w:val="hybridMultilevel"/>
    <w:tmpl w:val="8BE667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nsid w:val="4BD27162"/>
    <w:multiLevelType w:val="hybridMultilevel"/>
    <w:tmpl w:val="2F3673F4"/>
    <w:lvl w:ilvl="0" w:tplc="1AF8DAA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nsid w:val="4CDC4FDE"/>
    <w:multiLevelType w:val="hybridMultilevel"/>
    <w:tmpl w:val="E25CA9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nsid w:val="4D7257EE"/>
    <w:multiLevelType w:val="hybridMultilevel"/>
    <w:tmpl w:val="13E46B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nsid w:val="4D7B2744"/>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79">
    <w:nsid w:val="4D9A62E1"/>
    <w:multiLevelType w:val="hybridMultilevel"/>
    <w:tmpl w:val="35C8C7C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nsid w:val="4F5E05F9"/>
    <w:multiLevelType w:val="hybridMultilevel"/>
    <w:tmpl w:val="B8F66F54"/>
    <w:lvl w:ilvl="0" w:tplc="1AF8DAA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1">
    <w:nsid w:val="4FB50C38"/>
    <w:multiLevelType w:val="hybridMultilevel"/>
    <w:tmpl w:val="FF70EECE"/>
    <w:lvl w:ilvl="0" w:tplc="4F98FBC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nsid w:val="4FF40028"/>
    <w:multiLevelType w:val="hybridMultilevel"/>
    <w:tmpl w:val="FD900018"/>
    <w:lvl w:ilvl="0" w:tplc="5B066CE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nsid w:val="51125E7B"/>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4">
    <w:nsid w:val="51F26F75"/>
    <w:multiLevelType w:val="hybridMultilevel"/>
    <w:tmpl w:val="71AAFF04"/>
    <w:lvl w:ilvl="0" w:tplc="04050001">
      <w:start w:val="1"/>
      <w:numFmt w:val="bullet"/>
      <w:pStyle w:val="Bullet1"/>
      <w:lvlText w:val=""/>
      <w:lvlJc w:val="left"/>
      <w:pPr>
        <w:tabs>
          <w:tab w:val="num" w:pos="567"/>
        </w:tabs>
        <w:ind w:left="56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5">
    <w:nsid w:val="521A7DD8"/>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6">
    <w:nsid w:val="525D13BA"/>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7">
    <w:nsid w:val="567A44D8"/>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88">
    <w:nsid w:val="56DA4373"/>
    <w:multiLevelType w:val="hybridMultilevel"/>
    <w:tmpl w:val="926004FE"/>
    <w:lvl w:ilvl="0" w:tplc="9086FAEA">
      <w:start w:val="1"/>
      <w:numFmt w:val="upperLetter"/>
      <w:pStyle w:val="Nadpis2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nsid w:val="57E52D68"/>
    <w:multiLevelType w:val="hybridMultilevel"/>
    <w:tmpl w:val="62DE50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59A41F99"/>
    <w:multiLevelType w:val="hybridMultilevel"/>
    <w:tmpl w:val="BB261E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nsid w:val="5AAA78B1"/>
    <w:multiLevelType w:val="hybridMultilevel"/>
    <w:tmpl w:val="F44217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nsid w:val="5B5B086C"/>
    <w:multiLevelType w:val="hybridMultilevel"/>
    <w:tmpl w:val="6F187738"/>
    <w:lvl w:ilvl="0" w:tplc="1AF8DAAA">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93">
    <w:nsid w:val="5B7A1EEC"/>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4">
    <w:nsid w:val="5C3A5761"/>
    <w:multiLevelType w:val="hybridMultilevel"/>
    <w:tmpl w:val="8BE667A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nsid w:val="5C5F6E22"/>
    <w:multiLevelType w:val="hybridMultilevel"/>
    <w:tmpl w:val="D34C9334"/>
    <w:lvl w:ilvl="0" w:tplc="1AF8DAAA">
      <w:start w:val="1"/>
      <w:numFmt w:val="bullet"/>
      <w:lvlText w:val=""/>
      <w:lvlJc w:val="left"/>
      <w:pPr>
        <w:tabs>
          <w:tab w:val="num" w:pos="720"/>
        </w:tabs>
        <w:ind w:left="720" w:hanging="360"/>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6">
    <w:nsid w:val="5C7006B0"/>
    <w:multiLevelType w:val="hybridMultilevel"/>
    <w:tmpl w:val="F91672DA"/>
    <w:lvl w:ilvl="0" w:tplc="04050017">
      <w:start w:val="1"/>
      <w:numFmt w:val="bullet"/>
      <w:pStyle w:val="Odraky1"/>
      <w:lvlText w:val=""/>
      <w:lvlJc w:val="left"/>
      <w:pPr>
        <w:ind w:left="720" w:hanging="360"/>
      </w:pPr>
      <w:rPr>
        <w:rFonts w:ascii="Symbol" w:hAnsi="Symbol" w:hint="default"/>
      </w:rPr>
    </w:lvl>
    <w:lvl w:ilvl="1" w:tplc="04050019">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97">
    <w:nsid w:val="5C76595F"/>
    <w:multiLevelType w:val="hybridMultilevel"/>
    <w:tmpl w:val="9E8CD13A"/>
    <w:lvl w:ilvl="0" w:tplc="841804FC">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nsid w:val="5D5C5B17"/>
    <w:multiLevelType w:val="hybridMultilevel"/>
    <w:tmpl w:val="4EC2E4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nsid w:val="5EDB42F9"/>
    <w:multiLevelType w:val="hybridMultilevel"/>
    <w:tmpl w:val="14D22E3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nsid w:val="5FEC2C0B"/>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1">
    <w:nsid w:val="614319A0"/>
    <w:multiLevelType w:val="hybridMultilevel"/>
    <w:tmpl w:val="0220D83E"/>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2">
    <w:nsid w:val="61A716EC"/>
    <w:multiLevelType w:val="hybridMultilevel"/>
    <w:tmpl w:val="F44217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62C850AC"/>
    <w:multiLevelType w:val="hybridMultilevel"/>
    <w:tmpl w:val="A1D61B1E"/>
    <w:lvl w:ilvl="0" w:tplc="0409000F">
      <w:start w:val="1"/>
      <w:numFmt w:val="bullet"/>
      <w:pStyle w:val="OdrazkaIstav"/>
      <w:lvlText w:val=""/>
      <w:lvlJc w:val="left"/>
      <w:pPr>
        <w:tabs>
          <w:tab w:val="num" w:pos="388"/>
        </w:tabs>
        <w:ind w:left="388" w:hanging="360"/>
      </w:pPr>
      <w:rPr>
        <w:rFonts w:ascii="Wingdings" w:hAnsi="Wingdings" w:cs="Wingdings" w:hint="default"/>
        <w:color w:val="auto"/>
        <w:sz w:val="20"/>
        <w:szCs w:val="20"/>
      </w:rPr>
    </w:lvl>
    <w:lvl w:ilvl="1" w:tplc="04090019">
      <w:start w:val="6"/>
      <w:numFmt w:val="bullet"/>
      <w:lvlText w:val="-"/>
      <w:lvlJc w:val="left"/>
      <w:pPr>
        <w:tabs>
          <w:tab w:val="num" w:pos="1108"/>
        </w:tabs>
        <w:ind w:left="1108" w:hanging="360"/>
      </w:pPr>
      <w:rPr>
        <w:rFonts w:ascii="Arial" w:eastAsia="Times New Roman" w:hAnsi="Arial" w:cs="Times New Roman" w:hint="default"/>
      </w:rPr>
    </w:lvl>
    <w:lvl w:ilvl="2" w:tplc="0409001B">
      <w:start w:val="1"/>
      <w:numFmt w:val="bullet"/>
      <w:lvlText w:val=""/>
      <w:lvlJc w:val="left"/>
      <w:pPr>
        <w:tabs>
          <w:tab w:val="num" w:pos="1828"/>
        </w:tabs>
        <w:ind w:left="1828" w:hanging="360"/>
      </w:pPr>
      <w:rPr>
        <w:rFonts w:ascii="Wingdings" w:hAnsi="Wingdings" w:cs="Wingdings" w:hint="default"/>
      </w:rPr>
    </w:lvl>
    <w:lvl w:ilvl="3" w:tplc="0409000F">
      <w:start w:val="1"/>
      <w:numFmt w:val="bullet"/>
      <w:lvlText w:val=""/>
      <w:lvlJc w:val="left"/>
      <w:pPr>
        <w:tabs>
          <w:tab w:val="num" w:pos="2548"/>
        </w:tabs>
        <w:ind w:left="2548" w:hanging="360"/>
      </w:pPr>
      <w:rPr>
        <w:rFonts w:ascii="Symbol" w:hAnsi="Symbol" w:cs="Symbol" w:hint="default"/>
      </w:rPr>
    </w:lvl>
    <w:lvl w:ilvl="4" w:tplc="04090019">
      <w:start w:val="1"/>
      <w:numFmt w:val="bullet"/>
      <w:lvlText w:val="o"/>
      <w:lvlJc w:val="left"/>
      <w:pPr>
        <w:tabs>
          <w:tab w:val="num" w:pos="3268"/>
        </w:tabs>
        <w:ind w:left="3268" w:hanging="360"/>
      </w:pPr>
      <w:rPr>
        <w:rFonts w:ascii="Courier New" w:hAnsi="Courier New" w:cs="Courier New" w:hint="default"/>
      </w:rPr>
    </w:lvl>
    <w:lvl w:ilvl="5" w:tplc="0409001B">
      <w:start w:val="1"/>
      <w:numFmt w:val="bullet"/>
      <w:lvlText w:val=""/>
      <w:lvlJc w:val="left"/>
      <w:pPr>
        <w:tabs>
          <w:tab w:val="num" w:pos="3988"/>
        </w:tabs>
        <w:ind w:left="3988" w:hanging="360"/>
      </w:pPr>
      <w:rPr>
        <w:rFonts w:ascii="Wingdings" w:hAnsi="Wingdings" w:cs="Wingdings" w:hint="default"/>
      </w:rPr>
    </w:lvl>
    <w:lvl w:ilvl="6" w:tplc="0409000F">
      <w:start w:val="1"/>
      <w:numFmt w:val="bullet"/>
      <w:lvlText w:val=""/>
      <w:lvlJc w:val="left"/>
      <w:pPr>
        <w:tabs>
          <w:tab w:val="num" w:pos="4708"/>
        </w:tabs>
        <w:ind w:left="4708" w:hanging="360"/>
      </w:pPr>
      <w:rPr>
        <w:rFonts w:ascii="Symbol" w:hAnsi="Symbol" w:cs="Symbol" w:hint="default"/>
      </w:rPr>
    </w:lvl>
    <w:lvl w:ilvl="7" w:tplc="04090019">
      <w:start w:val="1"/>
      <w:numFmt w:val="bullet"/>
      <w:lvlText w:val="o"/>
      <w:lvlJc w:val="left"/>
      <w:pPr>
        <w:tabs>
          <w:tab w:val="num" w:pos="5428"/>
        </w:tabs>
        <w:ind w:left="5428" w:hanging="360"/>
      </w:pPr>
      <w:rPr>
        <w:rFonts w:ascii="Courier New" w:hAnsi="Courier New" w:cs="Courier New" w:hint="default"/>
      </w:rPr>
    </w:lvl>
    <w:lvl w:ilvl="8" w:tplc="0409001B">
      <w:start w:val="1"/>
      <w:numFmt w:val="bullet"/>
      <w:lvlText w:val=""/>
      <w:lvlJc w:val="left"/>
      <w:pPr>
        <w:tabs>
          <w:tab w:val="num" w:pos="6148"/>
        </w:tabs>
        <w:ind w:left="6148" w:hanging="360"/>
      </w:pPr>
      <w:rPr>
        <w:rFonts w:ascii="Wingdings" w:hAnsi="Wingdings" w:cs="Wingdings" w:hint="default"/>
      </w:rPr>
    </w:lvl>
  </w:abstractNum>
  <w:abstractNum w:abstractNumId="104">
    <w:nsid w:val="6580229C"/>
    <w:multiLevelType w:val="hybridMultilevel"/>
    <w:tmpl w:val="E25CA9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nsid w:val="66936E94"/>
    <w:multiLevelType w:val="multilevel"/>
    <w:tmpl w:val="DE34FEB4"/>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6">
    <w:nsid w:val="68D617E1"/>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7">
    <w:nsid w:val="69093A5D"/>
    <w:multiLevelType w:val="hybridMultilevel"/>
    <w:tmpl w:val="A748111E"/>
    <w:lvl w:ilvl="0" w:tplc="A5CC121A">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nsid w:val="693D0D58"/>
    <w:multiLevelType w:val="hybridMultilevel"/>
    <w:tmpl w:val="19985476"/>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09">
    <w:nsid w:val="697E6651"/>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0">
    <w:nsid w:val="69A52FA0"/>
    <w:multiLevelType w:val="hybridMultilevel"/>
    <w:tmpl w:val="F44217F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nsid w:val="6A5A4EB6"/>
    <w:multiLevelType w:val="hybridMultilevel"/>
    <w:tmpl w:val="4EC2E492"/>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12">
    <w:nsid w:val="6A672E5B"/>
    <w:multiLevelType w:val="hybridMultilevel"/>
    <w:tmpl w:val="33FA5C24"/>
    <w:lvl w:ilvl="0" w:tplc="1AF8DAAA">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3">
    <w:nsid w:val="6AAF1A1F"/>
    <w:multiLevelType w:val="multilevel"/>
    <w:tmpl w:val="1EE46C5A"/>
    <w:lvl w:ilvl="0">
      <w:start w:val="1"/>
      <w:numFmt w:val="decimal"/>
      <w:pStyle w:val="Textodstavce"/>
      <w:isLgl/>
      <w:lvlText w:val="(%1)"/>
      <w:lvlJc w:val="left"/>
      <w:pPr>
        <w:tabs>
          <w:tab w:val="num" w:pos="786"/>
        </w:tabs>
        <w:ind w:left="1" w:firstLine="425"/>
      </w:pPr>
      <w:rPr>
        <w:rFonts w:hint="default"/>
      </w:rPr>
    </w:lvl>
    <w:lvl w:ilvl="1">
      <w:start w:val="1"/>
      <w:numFmt w:val="lowerLetter"/>
      <w:pStyle w:val="Textpsmene"/>
      <w:lvlText w:val="%2)"/>
      <w:lvlJc w:val="left"/>
      <w:pPr>
        <w:tabs>
          <w:tab w:val="num" w:pos="426"/>
        </w:tabs>
        <w:ind w:left="426" w:hanging="425"/>
      </w:pPr>
      <w:rPr>
        <w:rFonts w:hint="default"/>
      </w:rPr>
    </w:lvl>
    <w:lvl w:ilvl="2">
      <w:start w:val="1"/>
      <w:numFmt w:val="decimal"/>
      <w:pStyle w:val="Textbodu"/>
      <w:isLgl/>
      <w:lvlText w:val="%3."/>
      <w:lvlJc w:val="left"/>
      <w:pPr>
        <w:tabs>
          <w:tab w:val="num" w:pos="852"/>
        </w:tabs>
        <w:ind w:left="852" w:hanging="426"/>
      </w:pPr>
      <w:rPr>
        <w:rFonts w:hint="default"/>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52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601"/>
        </w:tabs>
        <w:ind w:left="3241" w:hanging="360"/>
      </w:pPr>
      <w:rPr>
        <w:rFonts w:hint="default"/>
      </w:rPr>
    </w:lvl>
  </w:abstractNum>
  <w:abstractNum w:abstractNumId="114">
    <w:nsid w:val="6B90432D"/>
    <w:multiLevelType w:val="hybridMultilevel"/>
    <w:tmpl w:val="9836DEB2"/>
    <w:lvl w:ilvl="0" w:tplc="4F98FBC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nsid w:val="6C263F97"/>
    <w:multiLevelType w:val="hybridMultilevel"/>
    <w:tmpl w:val="8222CFC8"/>
    <w:lvl w:ilvl="0" w:tplc="1AF8DAAA">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6">
    <w:nsid w:val="6DD3032D"/>
    <w:multiLevelType w:val="hybridMultilevel"/>
    <w:tmpl w:val="D3AE48C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7">
    <w:nsid w:val="70716413"/>
    <w:multiLevelType w:val="hybridMultilevel"/>
    <w:tmpl w:val="EE6A0BCA"/>
    <w:lvl w:ilvl="0" w:tplc="1AF8DAAA">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18">
    <w:nsid w:val="70D9113E"/>
    <w:multiLevelType w:val="hybridMultilevel"/>
    <w:tmpl w:val="51FC8376"/>
    <w:lvl w:ilvl="0" w:tplc="1AF8DAA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nsid w:val="73253552"/>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0">
    <w:nsid w:val="737D661B"/>
    <w:multiLevelType w:val="hybridMultilevel"/>
    <w:tmpl w:val="DFD48DAA"/>
    <w:lvl w:ilvl="0" w:tplc="1AF8DAA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1">
    <w:nsid w:val="73DC1B0D"/>
    <w:multiLevelType w:val="hybridMultilevel"/>
    <w:tmpl w:val="E262683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nsid w:val="74134BE2"/>
    <w:multiLevelType w:val="hybridMultilevel"/>
    <w:tmpl w:val="E25CA9A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3">
    <w:nsid w:val="772340BA"/>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4">
    <w:nsid w:val="7A0C6930"/>
    <w:multiLevelType w:val="hybridMultilevel"/>
    <w:tmpl w:val="9E8CD13A"/>
    <w:lvl w:ilvl="0" w:tplc="841804FC">
      <w:start w:val="1"/>
      <w:numFmt w:val="lowerLetter"/>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nsid w:val="7A625691"/>
    <w:multiLevelType w:val="hybridMultilevel"/>
    <w:tmpl w:val="7C8CA11C"/>
    <w:lvl w:ilvl="0" w:tplc="3ECC643A">
      <w:start w:val="1"/>
      <w:numFmt w:val="bullet"/>
      <w:pStyle w:val="Odstavecseseznamem1"/>
      <w:lvlText w:val=""/>
      <w:lvlJc w:val="left"/>
      <w:pPr>
        <w:ind w:left="1440" w:hanging="360"/>
      </w:pPr>
      <w:rPr>
        <w:rFonts w:ascii="Wingdings" w:hAnsi="Wingdings" w:hint="default"/>
      </w:rPr>
    </w:lvl>
    <w:lvl w:ilvl="1" w:tplc="04050019" w:tentative="1">
      <w:start w:val="1"/>
      <w:numFmt w:val="bullet"/>
      <w:lvlText w:val="o"/>
      <w:lvlJc w:val="left"/>
      <w:pPr>
        <w:ind w:left="2160" w:hanging="360"/>
      </w:pPr>
      <w:rPr>
        <w:rFonts w:ascii="Courier New" w:hAnsi="Courier New" w:cs="Courier New" w:hint="default"/>
      </w:rPr>
    </w:lvl>
    <w:lvl w:ilvl="2" w:tplc="0405001B" w:tentative="1">
      <w:start w:val="1"/>
      <w:numFmt w:val="bullet"/>
      <w:lvlText w:val=""/>
      <w:lvlJc w:val="left"/>
      <w:pPr>
        <w:ind w:left="2880" w:hanging="360"/>
      </w:pPr>
      <w:rPr>
        <w:rFonts w:ascii="Wingdings" w:hAnsi="Wingdings" w:hint="default"/>
      </w:rPr>
    </w:lvl>
    <w:lvl w:ilvl="3" w:tplc="0405000F" w:tentative="1">
      <w:start w:val="1"/>
      <w:numFmt w:val="bullet"/>
      <w:lvlText w:val=""/>
      <w:lvlJc w:val="left"/>
      <w:pPr>
        <w:ind w:left="3600" w:hanging="360"/>
      </w:pPr>
      <w:rPr>
        <w:rFonts w:ascii="Symbol" w:hAnsi="Symbol" w:hint="default"/>
      </w:rPr>
    </w:lvl>
    <w:lvl w:ilvl="4" w:tplc="04050019" w:tentative="1">
      <w:start w:val="1"/>
      <w:numFmt w:val="bullet"/>
      <w:lvlText w:val="o"/>
      <w:lvlJc w:val="left"/>
      <w:pPr>
        <w:ind w:left="4320" w:hanging="360"/>
      </w:pPr>
      <w:rPr>
        <w:rFonts w:ascii="Courier New" w:hAnsi="Courier New" w:cs="Courier New" w:hint="default"/>
      </w:rPr>
    </w:lvl>
    <w:lvl w:ilvl="5" w:tplc="0405001B" w:tentative="1">
      <w:start w:val="1"/>
      <w:numFmt w:val="bullet"/>
      <w:lvlText w:val=""/>
      <w:lvlJc w:val="left"/>
      <w:pPr>
        <w:ind w:left="5040" w:hanging="360"/>
      </w:pPr>
      <w:rPr>
        <w:rFonts w:ascii="Wingdings" w:hAnsi="Wingdings" w:hint="default"/>
      </w:rPr>
    </w:lvl>
    <w:lvl w:ilvl="6" w:tplc="0405000F" w:tentative="1">
      <w:start w:val="1"/>
      <w:numFmt w:val="bullet"/>
      <w:lvlText w:val=""/>
      <w:lvlJc w:val="left"/>
      <w:pPr>
        <w:ind w:left="5760" w:hanging="360"/>
      </w:pPr>
      <w:rPr>
        <w:rFonts w:ascii="Symbol" w:hAnsi="Symbol" w:hint="default"/>
      </w:rPr>
    </w:lvl>
    <w:lvl w:ilvl="7" w:tplc="04050019" w:tentative="1">
      <w:start w:val="1"/>
      <w:numFmt w:val="bullet"/>
      <w:lvlText w:val="o"/>
      <w:lvlJc w:val="left"/>
      <w:pPr>
        <w:ind w:left="6480" w:hanging="360"/>
      </w:pPr>
      <w:rPr>
        <w:rFonts w:ascii="Courier New" w:hAnsi="Courier New" w:cs="Courier New" w:hint="default"/>
      </w:rPr>
    </w:lvl>
    <w:lvl w:ilvl="8" w:tplc="0405001B" w:tentative="1">
      <w:start w:val="1"/>
      <w:numFmt w:val="bullet"/>
      <w:lvlText w:val=""/>
      <w:lvlJc w:val="left"/>
      <w:pPr>
        <w:ind w:left="7200" w:hanging="360"/>
      </w:pPr>
      <w:rPr>
        <w:rFonts w:ascii="Wingdings" w:hAnsi="Wingdings" w:hint="default"/>
      </w:rPr>
    </w:lvl>
  </w:abstractNum>
  <w:abstractNum w:abstractNumId="126">
    <w:nsid w:val="7ABC42B2"/>
    <w:multiLevelType w:val="hybridMultilevel"/>
    <w:tmpl w:val="FD900018"/>
    <w:lvl w:ilvl="0" w:tplc="5B066CE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nsid w:val="7AEA3C39"/>
    <w:multiLevelType w:val="hybridMultilevel"/>
    <w:tmpl w:val="9E8CD13A"/>
    <w:lvl w:ilvl="0" w:tplc="841804FC">
      <w:start w:val="1"/>
      <w:numFmt w:val="lowerLetter"/>
      <w:lvlText w:val="%1)"/>
      <w:lvlJc w:val="left"/>
      <w:pPr>
        <w:ind w:left="720" w:hanging="360"/>
      </w:pPr>
      <w:rPr>
        <w:b w:val="0"/>
        <w:bCs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8">
    <w:nsid w:val="7FF954A1"/>
    <w:multiLevelType w:val="multilevel"/>
    <w:tmpl w:val="CE3AFBC8"/>
    <w:lvl w:ilvl="0">
      <w:start w:val="1"/>
      <w:numFmt w:val="decimal"/>
      <w:lvlText w:val="%1"/>
      <w:lvlJc w:val="left"/>
      <w:pPr>
        <w:tabs>
          <w:tab w:val="num" w:pos="360"/>
        </w:tabs>
        <w:ind w:left="360" w:hanging="360"/>
      </w:pPr>
      <w:rPr>
        <w:rFonts w:hint="default"/>
      </w:rPr>
    </w:lvl>
    <w:lvl w:ilvl="1">
      <w:start w:val="1"/>
      <w:numFmt w:val="decimal"/>
      <w:pStyle w:val="Nadpis-1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48"/>
  </w:num>
  <w:num w:numId="2">
    <w:abstractNumId w:val="16"/>
  </w:num>
  <w:num w:numId="3">
    <w:abstractNumId w:val="32"/>
  </w:num>
  <w:num w:numId="4">
    <w:abstractNumId w:val="107"/>
  </w:num>
  <w:num w:numId="5">
    <w:abstractNumId w:val="72"/>
  </w:num>
  <w:num w:numId="6">
    <w:abstractNumId w:val="102"/>
  </w:num>
  <w:num w:numId="7">
    <w:abstractNumId w:val="94"/>
  </w:num>
  <w:num w:numId="8">
    <w:abstractNumId w:val="110"/>
  </w:num>
  <w:num w:numId="9">
    <w:abstractNumId w:val="91"/>
  </w:num>
  <w:num w:numId="10">
    <w:abstractNumId w:val="126"/>
  </w:num>
  <w:num w:numId="11">
    <w:abstractNumId w:val="98"/>
  </w:num>
  <w:num w:numId="12">
    <w:abstractNumId w:val="97"/>
  </w:num>
  <w:num w:numId="13">
    <w:abstractNumId w:val="76"/>
  </w:num>
  <w:num w:numId="14">
    <w:abstractNumId w:val="5"/>
  </w:num>
  <w:num w:numId="15">
    <w:abstractNumId w:val="124"/>
  </w:num>
  <w:num w:numId="16">
    <w:abstractNumId w:val="104"/>
  </w:num>
  <w:num w:numId="17">
    <w:abstractNumId w:val="39"/>
  </w:num>
  <w:num w:numId="18">
    <w:abstractNumId w:val="70"/>
  </w:num>
  <w:num w:numId="19">
    <w:abstractNumId w:val="83"/>
  </w:num>
  <w:num w:numId="20">
    <w:abstractNumId w:val="87"/>
  </w:num>
  <w:num w:numId="21">
    <w:abstractNumId w:val="0"/>
  </w:num>
  <w:num w:numId="22">
    <w:abstractNumId w:val="93"/>
  </w:num>
  <w:num w:numId="23">
    <w:abstractNumId w:val="127"/>
  </w:num>
  <w:num w:numId="24">
    <w:abstractNumId w:val="11"/>
  </w:num>
  <w:num w:numId="25">
    <w:abstractNumId w:val="109"/>
  </w:num>
  <w:num w:numId="26">
    <w:abstractNumId w:val="7"/>
  </w:num>
  <w:num w:numId="27">
    <w:abstractNumId w:val="21"/>
  </w:num>
  <w:num w:numId="28">
    <w:abstractNumId w:val="19"/>
  </w:num>
  <w:num w:numId="29">
    <w:abstractNumId w:val="37"/>
  </w:num>
  <w:num w:numId="30">
    <w:abstractNumId w:val="71"/>
  </w:num>
  <w:num w:numId="31">
    <w:abstractNumId w:val="23"/>
  </w:num>
  <w:num w:numId="32">
    <w:abstractNumId w:val="53"/>
  </w:num>
  <w:num w:numId="33">
    <w:abstractNumId w:val="17"/>
  </w:num>
  <w:num w:numId="34">
    <w:abstractNumId w:val="100"/>
  </w:num>
  <w:num w:numId="35">
    <w:abstractNumId w:val="74"/>
  </w:num>
  <w:num w:numId="36">
    <w:abstractNumId w:val="42"/>
  </w:num>
  <w:num w:numId="37">
    <w:abstractNumId w:val="82"/>
  </w:num>
  <w:num w:numId="38">
    <w:abstractNumId w:val="96"/>
  </w:num>
  <w:num w:numId="39">
    <w:abstractNumId w:val="113"/>
  </w:num>
  <w:num w:numId="40">
    <w:abstractNumId w:val="128"/>
  </w:num>
  <w:num w:numId="41">
    <w:abstractNumId w:val="52"/>
  </w:num>
  <w:num w:numId="42">
    <w:abstractNumId w:val="84"/>
  </w:num>
  <w:num w:numId="43">
    <w:abstractNumId w:val="26"/>
  </w:num>
  <w:num w:numId="44">
    <w:abstractNumId w:val="103"/>
  </w:num>
  <w:num w:numId="45">
    <w:abstractNumId w:val="125"/>
  </w:num>
  <w:num w:numId="46">
    <w:abstractNumId w:val="9"/>
  </w:num>
  <w:num w:numId="47">
    <w:abstractNumId w:val="67"/>
  </w:num>
  <w:num w:numId="48">
    <w:abstractNumId w:val="51"/>
  </w:num>
  <w:num w:numId="49">
    <w:abstractNumId w:val="64"/>
  </w:num>
  <w:num w:numId="5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6"/>
  </w:num>
  <w:num w:numId="52">
    <w:abstractNumId w:val="49"/>
  </w:num>
  <w:num w:numId="53">
    <w:abstractNumId w:val="14"/>
  </w:num>
  <w:num w:numId="54">
    <w:abstractNumId w:val="111"/>
  </w:num>
  <w:num w:numId="55">
    <w:abstractNumId w:val="29"/>
  </w:num>
  <w:num w:numId="56">
    <w:abstractNumId w:val="4"/>
  </w:num>
  <w:num w:numId="57">
    <w:abstractNumId w:val="114"/>
  </w:num>
  <w:num w:numId="58">
    <w:abstractNumId w:val="61"/>
  </w:num>
  <w:num w:numId="59">
    <w:abstractNumId w:val="58"/>
  </w:num>
  <w:num w:numId="60">
    <w:abstractNumId w:val="63"/>
  </w:num>
  <w:num w:numId="61">
    <w:abstractNumId w:val="69"/>
  </w:num>
  <w:num w:numId="62">
    <w:abstractNumId w:val="81"/>
  </w:num>
  <w:num w:numId="63">
    <w:abstractNumId w:val="116"/>
  </w:num>
  <w:num w:numId="64">
    <w:abstractNumId w:val="105"/>
  </w:num>
  <w:num w:numId="65">
    <w:abstractNumId w:val="112"/>
  </w:num>
  <w:num w:numId="66">
    <w:abstractNumId w:val="47"/>
  </w:num>
  <w:num w:numId="67">
    <w:abstractNumId w:val="46"/>
  </w:num>
  <w:num w:numId="68">
    <w:abstractNumId w:val="12"/>
  </w:num>
  <w:num w:numId="69">
    <w:abstractNumId w:val="40"/>
  </w:num>
  <w:num w:numId="70">
    <w:abstractNumId w:val="75"/>
  </w:num>
  <w:num w:numId="71">
    <w:abstractNumId w:val="18"/>
  </w:num>
  <w:num w:numId="72">
    <w:abstractNumId w:val="92"/>
  </w:num>
  <w:num w:numId="73">
    <w:abstractNumId w:val="36"/>
  </w:num>
  <w:num w:numId="74">
    <w:abstractNumId w:val="115"/>
  </w:num>
  <w:num w:numId="75">
    <w:abstractNumId w:val="73"/>
  </w:num>
  <w:num w:numId="76">
    <w:abstractNumId w:val="88"/>
  </w:num>
  <w:num w:numId="77">
    <w:abstractNumId w:val="117"/>
  </w:num>
  <w:num w:numId="78">
    <w:abstractNumId w:val="68"/>
  </w:num>
  <w:num w:numId="79">
    <w:abstractNumId w:val="65"/>
  </w:num>
  <w:num w:numId="80">
    <w:abstractNumId w:val="86"/>
  </w:num>
  <w:num w:numId="81">
    <w:abstractNumId w:val="122"/>
  </w:num>
  <w:num w:numId="82">
    <w:abstractNumId w:val="106"/>
  </w:num>
  <w:num w:numId="83">
    <w:abstractNumId w:val="13"/>
  </w:num>
  <w:num w:numId="84">
    <w:abstractNumId w:val="78"/>
  </w:num>
  <w:num w:numId="85">
    <w:abstractNumId w:val="54"/>
  </w:num>
  <w:num w:numId="86">
    <w:abstractNumId w:val="85"/>
  </w:num>
  <w:num w:numId="87">
    <w:abstractNumId w:val="50"/>
  </w:num>
  <w:num w:numId="88">
    <w:abstractNumId w:val="43"/>
  </w:num>
  <w:num w:numId="89">
    <w:abstractNumId w:val="101"/>
  </w:num>
  <w:num w:numId="90">
    <w:abstractNumId w:val="3"/>
  </w:num>
  <w:num w:numId="91">
    <w:abstractNumId w:val="118"/>
  </w:num>
  <w:num w:numId="92">
    <w:abstractNumId w:val="79"/>
  </w:num>
  <w:num w:numId="93">
    <w:abstractNumId w:val="15"/>
  </w:num>
  <w:num w:numId="94">
    <w:abstractNumId w:val="77"/>
  </w:num>
  <w:num w:numId="95">
    <w:abstractNumId w:val="33"/>
  </w:num>
  <w:num w:numId="96">
    <w:abstractNumId w:val="62"/>
  </w:num>
  <w:num w:numId="97">
    <w:abstractNumId w:val="10"/>
  </w:num>
  <w:num w:numId="98">
    <w:abstractNumId w:val="31"/>
  </w:num>
  <w:num w:numId="99">
    <w:abstractNumId w:val="57"/>
  </w:num>
  <w:num w:numId="100">
    <w:abstractNumId w:val="20"/>
  </w:num>
  <w:num w:numId="101">
    <w:abstractNumId w:val="123"/>
  </w:num>
  <w:num w:numId="102">
    <w:abstractNumId w:val="41"/>
  </w:num>
  <w:num w:numId="103">
    <w:abstractNumId w:val="119"/>
  </w:num>
  <w:num w:numId="104">
    <w:abstractNumId w:val="44"/>
  </w:num>
  <w:num w:numId="105">
    <w:abstractNumId w:val="34"/>
  </w:num>
  <w:num w:numId="106">
    <w:abstractNumId w:val="8"/>
  </w:num>
  <w:num w:numId="107">
    <w:abstractNumId w:val="66"/>
  </w:num>
  <w:num w:numId="108">
    <w:abstractNumId w:val="80"/>
  </w:num>
  <w:num w:numId="109">
    <w:abstractNumId w:val="121"/>
  </w:num>
  <w:num w:numId="110">
    <w:abstractNumId w:val="30"/>
  </w:num>
  <w:num w:numId="111">
    <w:abstractNumId w:val="90"/>
  </w:num>
  <w:num w:numId="112">
    <w:abstractNumId w:val="99"/>
  </w:num>
  <w:num w:numId="113">
    <w:abstractNumId w:val="1"/>
  </w:num>
  <w:num w:numId="114">
    <w:abstractNumId w:val="120"/>
  </w:num>
  <w:num w:numId="115">
    <w:abstractNumId w:val="25"/>
  </w:num>
  <w:num w:numId="116">
    <w:abstractNumId w:val="35"/>
  </w:num>
  <w:num w:numId="117">
    <w:abstractNumId w:val="24"/>
  </w:num>
  <w:num w:numId="118">
    <w:abstractNumId w:val="38"/>
  </w:num>
  <w:num w:numId="119">
    <w:abstractNumId w:val="2"/>
  </w:num>
  <w:num w:numId="120">
    <w:abstractNumId w:val="6"/>
  </w:num>
  <w:num w:numId="121">
    <w:abstractNumId w:val="45"/>
  </w:num>
  <w:num w:numId="122">
    <w:abstractNumId w:val="22"/>
  </w:num>
  <w:num w:numId="123">
    <w:abstractNumId w:val="60"/>
  </w:num>
  <w:num w:numId="124">
    <w:abstractNumId w:val="95"/>
  </w:num>
  <w:num w:numId="125">
    <w:abstractNumId w:val="59"/>
  </w:num>
  <w:num w:numId="126">
    <w:abstractNumId w:val="27"/>
  </w:num>
  <w:num w:numId="127">
    <w:abstractNumId w:val="89"/>
  </w:num>
  <w:num w:numId="128">
    <w:abstractNumId w:val="28"/>
  </w:num>
  <w:num w:numId="129">
    <w:abstractNumId w:val="55"/>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cs-CZ" w:vendorID="7" w:dllVersion="514"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5F"/>
    <w:rsid w:val="00001D06"/>
    <w:rsid w:val="00002D1C"/>
    <w:rsid w:val="00003FB7"/>
    <w:rsid w:val="00004A96"/>
    <w:rsid w:val="00004A98"/>
    <w:rsid w:val="00005C21"/>
    <w:rsid w:val="00005FF9"/>
    <w:rsid w:val="000060B7"/>
    <w:rsid w:val="0000696E"/>
    <w:rsid w:val="000071ED"/>
    <w:rsid w:val="000074D9"/>
    <w:rsid w:val="000078CB"/>
    <w:rsid w:val="000104AE"/>
    <w:rsid w:val="000110B1"/>
    <w:rsid w:val="000111A7"/>
    <w:rsid w:val="00012208"/>
    <w:rsid w:val="00012BA9"/>
    <w:rsid w:val="00013232"/>
    <w:rsid w:val="00013687"/>
    <w:rsid w:val="0001393B"/>
    <w:rsid w:val="00013E6C"/>
    <w:rsid w:val="000140BB"/>
    <w:rsid w:val="00014DE3"/>
    <w:rsid w:val="0001567D"/>
    <w:rsid w:val="00016F53"/>
    <w:rsid w:val="00017B79"/>
    <w:rsid w:val="00020559"/>
    <w:rsid w:val="0002078A"/>
    <w:rsid w:val="000219A7"/>
    <w:rsid w:val="000225D4"/>
    <w:rsid w:val="00022E32"/>
    <w:rsid w:val="00022FE5"/>
    <w:rsid w:val="000240C7"/>
    <w:rsid w:val="0002555E"/>
    <w:rsid w:val="00027196"/>
    <w:rsid w:val="00027721"/>
    <w:rsid w:val="00030869"/>
    <w:rsid w:val="00030C9D"/>
    <w:rsid w:val="00031E6C"/>
    <w:rsid w:val="00031EAB"/>
    <w:rsid w:val="00033DE9"/>
    <w:rsid w:val="00034826"/>
    <w:rsid w:val="000361A9"/>
    <w:rsid w:val="00036D1A"/>
    <w:rsid w:val="00037557"/>
    <w:rsid w:val="00037C22"/>
    <w:rsid w:val="0004064D"/>
    <w:rsid w:val="00041DE2"/>
    <w:rsid w:val="00042581"/>
    <w:rsid w:val="000429DE"/>
    <w:rsid w:val="00042A18"/>
    <w:rsid w:val="00042AE3"/>
    <w:rsid w:val="00042B4E"/>
    <w:rsid w:val="0004362D"/>
    <w:rsid w:val="000439D6"/>
    <w:rsid w:val="00043FDF"/>
    <w:rsid w:val="00044CB0"/>
    <w:rsid w:val="00045B91"/>
    <w:rsid w:val="00045DE0"/>
    <w:rsid w:val="000461C4"/>
    <w:rsid w:val="00046BCA"/>
    <w:rsid w:val="00047BDC"/>
    <w:rsid w:val="00050D90"/>
    <w:rsid w:val="000523D1"/>
    <w:rsid w:val="000523FA"/>
    <w:rsid w:val="00053490"/>
    <w:rsid w:val="00053FE6"/>
    <w:rsid w:val="000556B8"/>
    <w:rsid w:val="000556F0"/>
    <w:rsid w:val="00056485"/>
    <w:rsid w:val="000601AB"/>
    <w:rsid w:val="0006082B"/>
    <w:rsid w:val="0006157B"/>
    <w:rsid w:val="000625D3"/>
    <w:rsid w:val="00063DD4"/>
    <w:rsid w:val="00065A17"/>
    <w:rsid w:val="00065E44"/>
    <w:rsid w:val="00065FEB"/>
    <w:rsid w:val="000669CF"/>
    <w:rsid w:val="00066A74"/>
    <w:rsid w:val="00067457"/>
    <w:rsid w:val="0006778B"/>
    <w:rsid w:val="0006792F"/>
    <w:rsid w:val="000708D4"/>
    <w:rsid w:val="00070DAB"/>
    <w:rsid w:val="000713DA"/>
    <w:rsid w:val="0007184B"/>
    <w:rsid w:val="00071A47"/>
    <w:rsid w:val="000725CF"/>
    <w:rsid w:val="00073069"/>
    <w:rsid w:val="00073219"/>
    <w:rsid w:val="00073761"/>
    <w:rsid w:val="00073AFA"/>
    <w:rsid w:val="00075FB3"/>
    <w:rsid w:val="000765F0"/>
    <w:rsid w:val="0007699D"/>
    <w:rsid w:val="00076A89"/>
    <w:rsid w:val="00076A8D"/>
    <w:rsid w:val="00077F75"/>
    <w:rsid w:val="000808D1"/>
    <w:rsid w:val="00081372"/>
    <w:rsid w:val="000815DE"/>
    <w:rsid w:val="0008200E"/>
    <w:rsid w:val="00082783"/>
    <w:rsid w:val="00083DBB"/>
    <w:rsid w:val="00083F8E"/>
    <w:rsid w:val="00084391"/>
    <w:rsid w:val="00084446"/>
    <w:rsid w:val="000844C4"/>
    <w:rsid w:val="00084603"/>
    <w:rsid w:val="00085C33"/>
    <w:rsid w:val="00086FC7"/>
    <w:rsid w:val="00087235"/>
    <w:rsid w:val="000873EB"/>
    <w:rsid w:val="00087406"/>
    <w:rsid w:val="0008785B"/>
    <w:rsid w:val="00087E19"/>
    <w:rsid w:val="00090340"/>
    <w:rsid w:val="000904F5"/>
    <w:rsid w:val="00091277"/>
    <w:rsid w:val="00091B7E"/>
    <w:rsid w:val="00091E03"/>
    <w:rsid w:val="00092224"/>
    <w:rsid w:val="0009235B"/>
    <w:rsid w:val="00092C2B"/>
    <w:rsid w:val="00092CD7"/>
    <w:rsid w:val="00093089"/>
    <w:rsid w:val="00094101"/>
    <w:rsid w:val="0009456F"/>
    <w:rsid w:val="000953CA"/>
    <w:rsid w:val="00095DFF"/>
    <w:rsid w:val="000970CF"/>
    <w:rsid w:val="00097C19"/>
    <w:rsid w:val="00097E6C"/>
    <w:rsid w:val="00097EE6"/>
    <w:rsid w:val="000A0026"/>
    <w:rsid w:val="000A1C4E"/>
    <w:rsid w:val="000A1CF4"/>
    <w:rsid w:val="000A1FA8"/>
    <w:rsid w:val="000A3AB6"/>
    <w:rsid w:val="000A3F79"/>
    <w:rsid w:val="000A5A7E"/>
    <w:rsid w:val="000A6044"/>
    <w:rsid w:val="000A6067"/>
    <w:rsid w:val="000A621B"/>
    <w:rsid w:val="000A661C"/>
    <w:rsid w:val="000A6781"/>
    <w:rsid w:val="000A6C85"/>
    <w:rsid w:val="000A7B27"/>
    <w:rsid w:val="000B05FC"/>
    <w:rsid w:val="000B07F0"/>
    <w:rsid w:val="000B25E3"/>
    <w:rsid w:val="000B263E"/>
    <w:rsid w:val="000B2F6D"/>
    <w:rsid w:val="000B326B"/>
    <w:rsid w:val="000B36B6"/>
    <w:rsid w:val="000B4360"/>
    <w:rsid w:val="000B4BAD"/>
    <w:rsid w:val="000B65C9"/>
    <w:rsid w:val="000B6E9B"/>
    <w:rsid w:val="000B70AB"/>
    <w:rsid w:val="000B721E"/>
    <w:rsid w:val="000B7CBF"/>
    <w:rsid w:val="000C141F"/>
    <w:rsid w:val="000C18BE"/>
    <w:rsid w:val="000C18C3"/>
    <w:rsid w:val="000C1BF0"/>
    <w:rsid w:val="000C2474"/>
    <w:rsid w:val="000C2B0E"/>
    <w:rsid w:val="000C329D"/>
    <w:rsid w:val="000C332A"/>
    <w:rsid w:val="000C33C7"/>
    <w:rsid w:val="000C55C9"/>
    <w:rsid w:val="000C598B"/>
    <w:rsid w:val="000C5D13"/>
    <w:rsid w:val="000C64F7"/>
    <w:rsid w:val="000C6F4F"/>
    <w:rsid w:val="000C7029"/>
    <w:rsid w:val="000C7590"/>
    <w:rsid w:val="000D02D2"/>
    <w:rsid w:val="000D09E8"/>
    <w:rsid w:val="000D1338"/>
    <w:rsid w:val="000D14C5"/>
    <w:rsid w:val="000D2E1D"/>
    <w:rsid w:val="000D32C3"/>
    <w:rsid w:val="000D4515"/>
    <w:rsid w:val="000D5642"/>
    <w:rsid w:val="000D61E8"/>
    <w:rsid w:val="000D734A"/>
    <w:rsid w:val="000D7918"/>
    <w:rsid w:val="000E05CC"/>
    <w:rsid w:val="000E0DD3"/>
    <w:rsid w:val="000E1617"/>
    <w:rsid w:val="000E3463"/>
    <w:rsid w:val="000E3797"/>
    <w:rsid w:val="000E45DE"/>
    <w:rsid w:val="000E4B26"/>
    <w:rsid w:val="000E514F"/>
    <w:rsid w:val="000E5B51"/>
    <w:rsid w:val="000E719F"/>
    <w:rsid w:val="000E767E"/>
    <w:rsid w:val="000F2CBE"/>
    <w:rsid w:val="000F2F90"/>
    <w:rsid w:val="000F3186"/>
    <w:rsid w:val="000F4094"/>
    <w:rsid w:val="000F608B"/>
    <w:rsid w:val="000F6175"/>
    <w:rsid w:val="000F69A6"/>
    <w:rsid w:val="00100315"/>
    <w:rsid w:val="00101BB5"/>
    <w:rsid w:val="00101C2F"/>
    <w:rsid w:val="00101E02"/>
    <w:rsid w:val="00104AF7"/>
    <w:rsid w:val="001061CF"/>
    <w:rsid w:val="00106E37"/>
    <w:rsid w:val="00106EA7"/>
    <w:rsid w:val="00106FF1"/>
    <w:rsid w:val="00110339"/>
    <w:rsid w:val="0011180B"/>
    <w:rsid w:val="00111AA4"/>
    <w:rsid w:val="00111F8B"/>
    <w:rsid w:val="0011219A"/>
    <w:rsid w:val="001125CC"/>
    <w:rsid w:val="00112D49"/>
    <w:rsid w:val="00112FE8"/>
    <w:rsid w:val="00113DD7"/>
    <w:rsid w:val="00114381"/>
    <w:rsid w:val="0011456A"/>
    <w:rsid w:val="00115F29"/>
    <w:rsid w:val="001160D4"/>
    <w:rsid w:val="0011664A"/>
    <w:rsid w:val="00116AA8"/>
    <w:rsid w:val="0011754B"/>
    <w:rsid w:val="0012078E"/>
    <w:rsid w:val="001209A0"/>
    <w:rsid w:val="00120F48"/>
    <w:rsid w:val="001212C3"/>
    <w:rsid w:val="001219B1"/>
    <w:rsid w:val="00121AD8"/>
    <w:rsid w:val="00121FFB"/>
    <w:rsid w:val="00122759"/>
    <w:rsid w:val="0012379A"/>
    <w:rsid w:val="001241A1"/>
    <w:rsid w:val="00126C8E"/>
    <w:rsid w:val="00126EC0"/>
    <w:rsid w:val="0013065F"/>
    <w:rsid w:val="00131A0D"/>
    <w:rsid w:val="00131D9B"/>
    <w:rsid w:val="00132E33"/>
    <w:rsid w:val="00133193"/>
    <w:rsid w:val="00133364"/>
    <w:rsid w:val="00133D67"/>
    <w:rsid w:val="00135502"/>
    <w:rsid w:val="00135E91"/>
    <w:rsid w:val="001362B6"/>
    <w:rsid w:val="00136663"/>
    <w:rsid w:val="00137830"/>
    <w:rsid w:val="00140701"/>
    <w:rsid w:val="001413C6"/>
    <w:rsid w:val="001417B0"/>
    <w:rsid w:val="00143504"/>
    <w:rsid w:val="00143678"/>
    <w:rsid w:val="00143BEF"/>
    <w:rsid w:val="00144EC0"/>
    <w:rsid w:val="00145847"/>
    <w:rsid w:val="00146256"/>
    <w:rsid w:val="00146440"/>
    <w:rsid w:val="001469E8"/>
    <w:rsid w:val="001471B0"/>
    <w:rsid w:val="001475A4"/>
    <w:rsid w:val="001477D3"/>
    <w:rsid w:val="00150D30"/>
    <w:rsid w:val="00152012"/>
    <w:rsid w:val="00152383"/>
    <w:rsid w:val="00153E74"/>
    <w:rsid w:val="00154BAF"/>
    <w:rsid w:val="00154C69"/>
    <w:rsid w:val="00154DB6"/>
    <w:rsid w:val="00155C04"/>
    <w:rsid w:val="00155FEB"/>
    <w:rsid w:val="00160164"/>
    <w:rsid w:val="001612DC"/>
    <w:rsid w:val="0016171B"/>
    <w:rsid w:val="001643E4"/>
    <w:rsid w:val="001643E8"/>
    <w:rsid w:val="001669D2"/>
    <w:rsid w:val="00167563"/>
    <w:rsid w:val="00167FBD"/>
    <w:rsid w:val="00167FCF"/>
    <w:rsid w:val="0017046F"/>
    <w:rsid w:val="0017362D"/>
    <w:rsid w:val="001736D9"/>
    <w:rsid w:val="00173EDE"/>
    <w:rsid w:val="001752EB"/>
    <w:rsid w:val="00177B26"/>
    <w:rsid w:val="001820AA"/>
    <w:rsid w:val="00183063"/>
    <w:rsid w:val="00184CFD"/>
    <w:rsid w:val="00185D99"/>
    <w:rsid w:val="00187321"/>
    <w:rsid w:val="001875EF"/>
    <w:rsid w:val="001877BD"/>
    <w:rsid w:val="0019034D"/>
    <w:rsid w:val="00190573"/>
    <w:rsid w:val="00190619"/>
    <w:rsid w:val="0019089D"/>
    <w:rsid w:val="0019166A"/>
    <w:rsid w:val="001919F7"/>
    <w:rsid w:val="00192722"/>
    <w:rsid w:val="001927AC"/>
    <w:rsid w:val="00193FA6"/>
    <w:rsid w:val="0019401C"/>
    <w:rsid w:val="0019420B"/>
    <w:rsid w:val="001943D3"/>
    <w:rsid w:val="00195293"/>
    <w:rsid w:val="001952A3"/>
    <w:rsid w:val="001954E2"/>
    <w:rsid w:val="001A019D"/>
    <w:rsid w:val="001A0776"/>
    <w:rsid w:val="001A137A"/>
    <w:rsid w:val="001A155E"/>
    <w:rsid w:val="001A193E"/>
    <w:rsid w:val="001A212F"/>
    <w:rsid w:val="001A4112"/>
    <w:rsid w:val="001A46E8"/>
    <w:rsid w:val="001A4B26"/>
    <w:rsid w:val="001A6028"/>
    <w:rsid w:val="001A6C77"/>
    <w:rsid w:val="001B0158"/>
    <w:rsid w:val="001B0324"/>
    <w:rsid w:val="001B2063"/>
    <w:rsid w:val="001B3418"/>
    <w:rsid w:val="001B3427"/>
    <w:rsid w:val="001B3635"/>
    <w:rsid w:val="001B3A66"/>
    <w:rsid w:val="001B3DF2"/>
    <w:rsid w:val="001B43D6"/>
    <w:rsid w:val="001B4788"/>
    <w:rsid w:val="001B62CF"/>
    <w:rsid w:val="001B692F"/>
    <w:rsid w:val="001B773F"/>
    <w:rsid w:val="001C01C7"/>
    <w:rsid w:val="001C0354"/>
    <w:rsid w:val="001C2CE1"/>
    <w:rsid w:val="001C3916"/>
    <w:rsid w:val="001C3CF8"/>
    <w:rsid w:val="001C4501"/>
    <w:rsid w:val="001C5E25"/>
    <w:rsid w:val="001C6B30"/>
    <w:rsid w:val="001C7593"/>
    <w:rsid w:val="001C7C35"/>
    <w:rsid w:val="001C7DD4"/>
    <w:rsid w:val="001D0FCC"/>
    <w:rsid w:val="001D1AE4"/>
    <w:rsid w:val="001D1E53"/>
    <w:rsid w:val="001D1F0D"/>
    <w:rsid w:val="001D2141"/>
    <w:rsid w:val="001D223D"/>
    <w:rsid w:val="001D2A58"/>
    <w:rsid w:val="001D2C7E"/>
    <w:rsid w:val="001D30BA"/>
    <w:rsid w:val="001D47CD"/>
    <w:rsid w:val="001D4901"/>
    <w:rsid w:val="001D4F0F"/>
    <w:rsid w:val="001D55FF"/>
    <w:rsid w:val="001D5B02"/>
    <w:rsid w:val="001D5D05"/>
    <w:rsid w:val="001D6305"/>
    <w:rsid w:val="001D693E"/>
    <w:rsid w:val="001D7951"/>
    <w:rsid w:val="001E0D8B"/>
    <w:rsid w:val="001E19C6"/>
    <w:rsid w:val="001E1F3C"/>
    <w:rsid w:val="001E3C9D"/>
    <w:rsid w:val="001E5465"/>
    <w:rsid w:val="001E7ED6"/>
    <w:rsid w:val="001F1AD7"/>
    <w:rsid w:val="001F2745"/>
    <w:rsid w:val="001F2900"/>
    <w:rsid w:val="001F29E5"/>
    <w:rsid w:val="001F32AF"/>
    <w:rsid w:val="001F3EBE"/>
    <w:rsid w:val="001F5F9B"/>
    <w:rsid w:val="001F717E"/>
    <w:rsid w:val="001F7532"/>
    <w:rsid w:val="001F7AC0"/>
    <w:rsid w:val="00200992"/>
    <w:rsid w:val="00200F6D"/>
    <w:rsid w:val="00201173"/>
    <w:rsid w:val="00201F4B"/>
    <w:rsid w:val="002021B9"/>
    <w:rsid w:val="00203FBC"/>
    <w:rsid w:val="002041AA"/>
    <w:rsid w:val="00206BAF"/>
    <w:rsid w:val="00207A14"/>
    <w:rsid w:val="0021192C"/>
    <w:rsid w:val="002121E9"/>
    <w:rsid w:val="00212AAC"/>
    <w:rsid w:val="00212AB8"/>
    <w:rsid w:val="00212C9D"/>
    <w:rsid w:val="002132B7"/>
    <w:rsid w:val="00213FCE"/>
    <w:rsid w:val="00214CA0"/>
    <w:rsid w:val="0021615C"/>
    <w:rsid w:val="00217708"/>
    <w:rsid w:val="00217A66"/>
    <w:rsid w:val="00217E4D"/>
    <w:rsid w:val="00221B58"/>
    <w:rsid w:val="00222084"/>
    <w:rsid w:val="0022248B"/>
    <w:rsid w:val="00222D38"/>
    <w:rsid w:val="00222ECE"/>
    <w:rsid w:val="0022301D"/>
    <w:rsid w:val="00224918"/>
    <w:rsid w:val="00224A93"/>
    <w:rsid w:val="00224E9C"/>
    <w:rsid w:val="002258F6"/>
    <w:rsid w:val="00225AFA"/>
    <w:rsid w:val="00225F64"/>
    <w:rsid w:val="00226E44"/>
    <w:rsid w:val="00226F7D"/>
    <w:rsid w:val="002271BA"/>
    <w:rsid w:val="00227507"/>
    <w:rsid w:val="00227C24"/>
    <w:rsid w:val="00227E99"/>
    <w:rsid w:val="002318F0"/>
    <w:rsid w:val="0023254B"/>
    <w:rsid w:val="00232C56"/>
    <w:rsid w:val="00232F26"/>
    <w:rsid w:val="00233456"/>
    <w:rsid w:val="002367FD"/>
    <w:rsid w:val="0023683C"/>
    <w:rsid w:val="00236995"/>
    <w:rsid w:val="0023701A"/>
    <w:rsid w:val="002371CC"/>
    <w:rsid w:val="00237AFD"/>
    <w:rsid w:val="00237C8F"/>
    <w:rsid w:val="00237E65"/>
    <w:rsid w:val="00241A93"/>
    <w:rsid w:val="0024210A"/>
    <w:rsid w:val="0024251A"/>
    <w:rsid w:val="00242695"/>
    <w:rsid w:val="00242C3C"/>
    <w:rsid w:val="00242D60"/>
    <w:rsid w:val="00243E2A"/>
    <w:rsid w:val="0024434E"/>
    <w:rsid w:val="00244E05"/>
    <w:rsid w:val="00244FEB"/>
    <w:rsid w:val="00245C42"/>
    <w:rsid w:val="00246453"/>
    <w:rsid w:val="00246AE7"/>
    <w:rsid w:val="00246BC8"/>
    <w:rsid w:val="002471FC"/>
    <w:rsid w:val="002472C0"/>
    <w:rsid w:val="00250587"/>
    <w:rsid w:val="00250B18"/>
    <w:rsid w:val="00250BC6"/>
    <w:rsid w:val="00250CDE"/>
    <w:rsid w:val="00250FCA"/>
    <w:rsid w:val="00251294"/>
    <w:rsid w:val="002513D1"/>
    <w:rsid w:val="00252610"/>
    <w:rsid w:val="00252C86"/>
    <w:rsid w:val="00252ECA"/>
    <w:rsid w:val="00253148"/>
    <w:rsid w:val="0025388A"/>
    <w:rsid w:val="00253D2F"/>
    <w:rsid w:val="0025418D"/>
    <w:rsid w:val="0025424B"/>
    <w:rsid w:val="00255421"/>
    <w:rsid w:val="00255442"/>
    <w:rsid w:val="00256558"/>
    <w:rsid w:val="00257E70"/>
    <w:rsid w:val="00260943"/>
    <w:rsid w:val="00260961"/>
    <w:rsid w:val="00261161"/>
    <w:rsid w:val="00261D77"/>
    <w:rsid w:val="00262686"/>
    <w:rsid w:val="00262B39"/>
    <w:rsid w:val="00262B56"/>
    <w:rsid w:val="0026550D"/>
    <w:rsid w:val="002656A1"/>
    <w:rsid w:val="00265D23"/>
    <w:rsid w:val="00266057"/>
    <w:rsid w:val="002661DC"/>
    <w:rsid w:val="002661FE"/>
    <w:rsid w:val="00266504"/>
    <w:rsid w:val="00266B88"/>
    <w:rsid w:val="00267762"/>
    <w:rsid w:val="0027013B"/>
    <w:rsid w:val="0027132D"/>
    <w:rsid w:val="002718C4"/>
    <w:rsid w:val="002740C3"/>
    <w:rsid w:val="00274861"/>
    <w:rsid w:val="00274AFB"/>
    <w:rsid w:val="00275FB1"/>
    <w:rsid w:val="00277487"/>
    <w:rsid w:val="00277A2C"/>
    <w:rsid w:val="0028000B"/>
    <w:rsid w:val="00280023"/>
    <w:rsid w:val="00280840"/>
    <w:rsid w:val="0028113F"/>
    <w:rsid w:val="0028187C"/>
    <w:rsid w:val="00281996"/>
    <w:rsid w:val="00282AFE"/>
    <w:rsid w:val="00285317"/>
    <w:rsid w:val="002854AA"/>
    <w:rsid w:val="002855F6"/>
    <w:rsid w:val="00286BBA"/>
    <w:rsid w:val="0028726C"/>
    <w:rsid w:val="00290074"/>
    <w:rsid w:val="002903A4"/>
    <w:rsid w:val="002903FF"/>
    <w:rsid w:val="002907BD"/>
    <w:rsid w:val="002907D1"/>
    <w:rsid w:val="00290EE8"/>
    <w:rsid w:val="0029194A"/>
    <w:rsid w:val="00291E2E"/>
    <w:rsid w:val="00293395"/>
    <w:rsid w:val="00293EAF"/>
    <w:rsid w:val="002945EB"/>
    <w:rsid w:val="00294BB1"/>
    <w:rsid w:val="0029509F"/>
    <w:rsid w:val="00296B5E"/>
    <w:rsid w:val="00297E9F"/>
    <w:rsid w:val="002A03BC"/>
    <w:rsid w:val="002A08BE"/>
    <w:rsid w:val="002A12A9"/>
    <w:rsid w:val="002A2E2C"/>
    <w:rsid w:val="002A3008"/>
    <w:rsid w:val="002A35AF"/>
    <w:rsid w:val="002A3964"/>
    <w:rsid w:val="002A43E0"/>
    <w:rsid w:val="002A5214"/>
    <w:rsid w:val="002A565C"/>
    <w:rsid w:val="002A5C5D"/>
    <w:rsid w:val="002A6D88"/>
    <w:rsid w:val="002B029F"/>
    <w:rsid w:val="002B0703"/>
    <w:rsid w:val="002B1154"/>
    <w:rsid w:val="002B1767"/>
    <w:rsid w:val="002B1C50"/>
    <w:rsid w:val="002B2C63"/>
    <w:rsid w:val="002B3F84"/>
    <w:rsid w:val="002B3FF8"/>
    <w:rsid w:val="002B4040"/>
    <w:rsid w:val="002B47AD"/>
    <w:rsid w:val="002B5D04"/>
    <w:rsid w:val="002B5D43"/>
    <w:rsid w:val="002B7FE9"/>
    <w:rsid w:val="002C090F"/>
    <w:rsid w:val="002C1813"/>
    <w:rsid w:val="002C183F"/>
    <w:rsid w:val="002C1C27"/>
    <w:rsid w:val="002C2251"/>
    <w:rsid w:val="002C4386"/>
    <w:rsid w:val="002C4831"/>
    <w:rsid w:val="002C485C"/>
    <w:rsid w:val="002C5357"/>
    <w:rsid w:val="002C7E6A"/>
    <w:rsid w:val="002D0B00"/>
    <w:rsid w:val="002D13D7"/>
    <w:rsid w:val="002D153C"/>
    <w:rsid w:val="002D1629"/>
    <w:rsid w:val="002D273D"/>
    <w:rsid w:val="002D2900"/>
    <w:rsid w:val="002D31D5"/>
    <w:rsid w:val="002D35D6"/>
    <w:rsid w:val="002D3EEC"/>
    <w:rsid w:val="002D4A90"/>
    <w:rsid w:val="002D575D"/>
    <w:rsid w:val="002D63A4"/>
    <w:rsid w:val="002D66F0"/>
    <w:rsid w:val="002D67C2"/>
    <w:rsid w:val="002D718D"/>
    <w:rsid w:val="002D76A3"/>
    <w:rsid w:val="002D7F5E"/>
    <w:rsid w:val="002E1876"/>
    <w:rsid w:val="002E1AA4"/>
    <w:rsid w:val="002E1F28"/>
    <w:rsid w:val="002E2185"/>
    <w:rsid w:val="002E2FCD"/>
    <w:rsid w:val="002E3675"/>
    <w:rsid w:val="002E3E31"/>
    <w:rsid w:val="002E4075"/>
    <w:rsid w:val="002E5945"/>
    <w:rsid w:val="002E6DA4"/>
    <w:rsid w:val="002E73C6"/>
    <w:rsid w:val="002E746A"/>
    <w:rsid w:val="002F0675"/>
    <w:rsid w:val="002F067B"/>
    <w:rsid w:val="002F09DB"/>
    <w:rsid w:val="002F11C2"/>
    <w:rsid w:val="002F1A86"/>
    <w:rsid w:val="002F26C2"/>
    <w:rsid w:val="002F370B"/>
    <w:rsid w:val="002F3826"/>
    <w:rsid w:val="002F4696"/>
    <w:rsid w:val="002F69D5"/>
    <w:rsid w:val="002F700E"/>
    <w:rsid w:val="002F7558"/>
    <w:rsid w:val="003001C2"/>
    <w:rsid w:val="00300A7E"/>
    <w:rsid w:val="00303754"/>
    <w:rsid w:val="003039AF"/>
    <w:rsid w:val="0030430F"/>
    <w:rsid w:val="00305FC4"/>
    <w:rsid w:val="003062AE"/>
    <w:rsid w:val="00311350"/>
    <w:rsid w:val="003122FF"/>
    <w:rsid w:val="003126EF"/>
    <w:rsid w:val="00312E75"/>
    <w:rsid w:val="003133EA"/>
    <w:rsid w:val="00314B74"/>
    <w:rsid w:val="00314F00"/>
    <w:rsid w:val="0031503D"/>
    <w:rsid w:val="00315E0C"/>
    <w:rsid w:val="003174C6"/>
    <w:rsid w:val="00317718"/>
    <w:rsid w:val="00320BC4"/>
    <w:rsid w:val="003211D6"/>
    <w:rsid w:val="0032182D"/>
    <w:rsid w:val="0032196E"/>
    <w:rsid w:val="00323C3E"/>
    <w:rsid w:val="00324860"/>
    <w:rsid w:val="00326824"/>
    <w:rsid w:val="00327115"/>
    <w:rsid w:val="003305E8"/>
    <w:rsid w:val="00330778"/>
    <w:rsid w:val="00331677"/>
    <w:rsid w:val="00331917"/>
    <w:rsid w:val="00332681"/>
    <w:rsid w:val="0033276E"/>
    <w:rsid w:val="00332A96"/>
    <w:rsid w:val="00333557"/>
    <w:rsid w:val="0033364F"/>
    <w:rsid w:val="00334D00"/>
    <w:rsid w:val="00334FF9"/>
    <w:rsid w:val="00336646"/>
    <w:rsid w:val="00336F06"/>
    <w:rsid w:val="00337308"/>
    <w:rsid w:val="0033793D"/>
    <w:rsid w:val="0034094A"/>
    <w:rsid w:val="00342BD4"/>
    <w:rsid w:val="00345448"/>
    <w:rsid w:val="00346879"/>
    <w:rsid w:val="00347507"/>
    <w:rsid w:val="003504A1"/>
    <w:rsid w:val="00351383"/>
    <w:rsid w:val="00351BBF"/>
    <w:rsid w:val="00352B54"/>
    <w:rsid w:val="00353F6D"/>
    <w:rsid w:val="0035625B"/>
    <w:rsid w:val="00356641"/>
    <w:rsid w:val="00356E4F"/>
    <w:rsid w:val="00356E59"/>
    <w:rsid w:val="0036006E"/>
    <w:rsid w:val="00364D7A"/>
    <w:rsid w:val="003657A2"/>
    <w:rsid w:val="00366364"/>
    <w:rsid w:val="003667E6"/>
    <w:rsid w:val="00366C4F"/>
    <w:rsid w:val="00366C50"/>
    <w:rsid w:val="00366F9B"/>
    <w:rsid w:val="00367DF5"/>
    <w:rsid w:val="003703FB"/>
    <w:rsid w:val="003706A6"/>
    <w:rsid w:val="00370CBD"/>
    <w:rsid w:val="003718AC"/>
    <w:rsid w:val="003720E3"/>
    <w:rsid w:val="00372879"/>
    <w:rsid w:val="00372AB0"/>
    <w:rsid w:val="0037301B"/>
    <w:rsid w:val="00373338"/>
    <w:rsid w:val="00373739"/>
    <w:rsid w:val="00373C04"/>
    <w:rsid w:val="003748C7"/>
    <w:rsid w:val="00377262"/>
    <w:rsid w:val="003775DF"/>
    <w:rsid w:val="0037781C"/>
    <w:rsid w:val="00377920"/>
    <w:rsid w:val="00380B36"/>
    <w:rsid w:val="00381DAB"/>
    <w:rsid w:val="00381FB7"/>
    <w:rsid w:val="003821BD"/>
    <w:rsid w:val="003827EF"/>
    <w:rsid w:val="00382DA3"/>
    <w:rsid w:val="003830E9"/>
    <w:rsid w:val="00383FCC"/>
    <w:rsid w:val="00384FC8"/>
    <w:rsid w:val="00386150"/>
    <w:rsid w:val="0038654E"/>
    <w:rsid w:val="00386646"/>
    <w:rsid w:val="0038775B"/>
    <w:rsid w:val="00390D54"/>
    <w:rsid w:val="00392B81"/>
    <w:rsid w:val="003931E7"/>
    <w:rsid w:val="00393E71"/>
    <w:rsid w:val="003949C2"/>
    <w:rsid w:val="00396263"/>
    <w:rsid w:val="00396C59"/>
    <w:rsid w:val="00397528"/>
    <w:rsid w:val="00397821"/>
    <w:rsid w:val="003A1393"/>
    <w:rsid w:val="003A2208"/>
    <w:rsid w:val="003A261B"/>
    <w:rsid w:val="003A2972"/>
    <w:rsid w:val="003A411F"/>
    <w:rsid w:val="003A4884"/>
    <w:rsid w:val="003A4E77"/>
    <w:rsid w:val="003A5183"/>
    <w:rsid w:val="003A677D"/>
    <w:rsid w:val="003A77C5"/>
    <w:rsid w:val="003B06AB"/>
    <w:rsid w:val="003B2660"/>
    <w:rsid w:val="003B2AD1"/>
    <w:rsid w:val="003B3CAF"/>
    <w:rsid w:val="003B4E80"/>
    <w:rsid w:val="003B5426"/>
    <w:rsid w:val="003B5518"/>
    <w:rsid w:val="003B6000"/>
    <w:rsid w:val="003B6125"/>
    <w:rsid w:val="003B67F8"/>
    <w:rsid w:val="003B7283"/>
    <w:rsid w:val="003C0C10"/>
    <w:rsid w:val="003C0D85"/>
    <w:rsid w:val="003C163D"/>
    <w:rsid w:val="003C1EA7"/>
    <w:rsid w:val="003C2085"/>
    <w:rsid w:val="003C2A97"/>
    <w:rsid w:val="003C2E32"/>
    <w:rsid w:val="003C322D"/>
    <w:rsid w:val="003C3A0F"/>
    <w:rsid w:val="003C5D5C"/>
    <w:rsid w:val="003C6BEE"/>
    <w:rsid w:val="003C6FC8"/>
    <w:rsid w:val="003D0F3F"/>
    <w:rsid w:val="003D34D6"/>
    <w:rsid w:val="003D3A66"/>
    <w:rsid w:val="003D485A"/>
    <w:rsid w:val="003D56FD"/>
    <w:rsid w:val="003D60C4"/>
    <w:rsid w:val="003D79D6"/>
    <w:rsid w:val="003E06F6"/>
    <w:rsid w:val="003E08D8"/>
    <w:rsid w:val="003E0AB1"/>
    <w:rsid w:val="003E1423"/>
    <w:rsid w:val="003E17FA"/>
    <w:rsid w:val="003E2969"/>
    <w:rsid w:val="003E2E17"/>
    <w:rsid w:val="003E3123"/>
    <w:rsid w:val="003E3975"/>
    <w:rsid w:val="003E523A"/>
    <w:rsid w:val="003E5573"/>
    <w:rsid w:val="003E6986"/>
    <w:rsid w:val="003E7197"/>
    <w:rsid w:val="003E75BD"/>
    <w:rsid w:val="003F08BD"/>
    <w:rsid w:val="003F0CAB"/>
    <w:rsid w:val="003F0E58"/>
    <w:rsid w:val="003F2B94"/>
    <w:rsid w:val="003F2EB9"/>
    <w:rsid w:val="003F3B54"/>
    <w:rsid w:val="003F3E23"/>
    <w:rsid w:val="003F4BC3"/>
    <w:rsid w:val="003F523C"/>
    <w:rsid w:val="003F5DCC"/>
    <w:rsid w:val="003F6CC7"/>
    <w:rsid w:val="003F6DFD"/>
    <w:rsid w:val="003F7B05"/>
    <w:rsid w:val="00400E48"/>
    <w:rsid w:val="00403ABF"/>
    <w:rsid w:val="00404605"/>
    <w:rsid w:val="004046BE"/>
    <w:rsid w:val="0040493B"/>
    <w:rsid w:val="00404DDA"/>
    <w:rsid w:val="00405901"/>
    <w:rsid w:val="00406528"/>
    <w:rsid w:val="00410177"/>
    <w:rsid w:val="004103E0"/>
    <w:rsid w:val="00410474"/>
    <w:rsid w:val="00410934"/>
    <w:rsid w:val="00411528"/>
    <w:rsid w:val="00412607"/>
    <w:rsid w:val="00412FFA"/>
    <w:rsid w:val="004136CC"/>
    <w:rsid w:val="00414A20"/>
    <w:rsid w:val="004155CE"/>
    <w:rsid w:val="0041626E"/>
    <w:rsid w:val="00416665"/>
    <w:rsid w:val="00416C75"/>
    <w:rsid w:val="00416E9D"/>
    <w:rsid w:val="00417226"/>
    <w:rsid w:val="0042012E"/>
    <w:rsid w:val="00420AAE"/>
    <w:rsid w:val="00420B72"/>
    <w:rsid w:val="00421D20"/>
    <w:rsid w:val="004221D6"/>
    <w:rsid w:val="00422B12"/>
    <w:rsid w:val="00423199"/>
    <w:rsid w:val="00423B3C"/>
    <w:rsid w:val="00424824"/>
    <w:rsid w:val="00424E68"/>
    <w:rsid w:val="00426812"/>
    <w:rsid w:val="00426DC6"/>
    <w:rsid w:val="00426E64"/>
    <w:rsid w:val="004271FC"/>
    <w:rsid w:val="00427C80"/>
    <w:rsid w:val="00432C82"/>
    <w:rsid w:val="00432F88"/>
    <w:rsid w:val="00433060"/>
    <w:rsid w:val="00433A45"/>
    <w:rsid w:val="00434613"/>
    <w:rsid w:val="00434A2F"/>
    <w:rsid w:val="0043634D"/>
    <w:rsid w:val="00436CE0"/>
    <w:rsid w:val="0043778E"/>
    <w:rsid w:val="00437A56"/>
    <w:rsid w:val="00437B3B"/>
    <w:rsid w:val="0044036E"/>
    <w:rsid w:val="0044057D"/>
    <w:rsid w:val="00440626"/>
    <w:rsid w:val="00440F76"/>
    <w:rsid w:val="00441BFD"/>
    <w:rsid w:val="004425E5"/>
    <w:rsid w:val="00442F36"/>
    <w:rsid w:val="0044305E"/>
    <w:rsid w:val="00443886"/>
    <w:rsid w:val="00443E71"/>
    <w:rsid w:val="00444750"/>
    <w:rsid w:val="00446446"/>
    <w:rsid w:val="00447039"/>
    <w:rsid w:val="004471E8"/>
    <w:rsid w:val="0044724F"/>
    <w:rsid w:val="0044748F"/>
    <w:rsid w:val="00450A66"/>
    <w:rsid w:val="00450E6C"/>
    <w:rsid w:val="00451636"/>
    <w:rsid w:val="004527B5"/>
    <w:rsid w:val="00453C37"/>
    <w:rsid w:val="00453C76"/>
    <w:rsid w:val="004546CE"/>
    <w:rsid w:val="0045684B"/>
    <w:rsid w:val="00456AD6"/>
    <w:rsid w:val="00456C9F"/>
    <w:rsid w:val="0045700D"/>
    <w:rsid w:val="004603C8"/>
    <w:rsid w:val="0046112E"/>
    <w:rsid w:val="0046212A"/>
    <w:rsid w:val="00462F9F"/>
    <w:rsid w:val="00463825"/>
    <w:rsid w:val="0046423B"/>
    <w:rsid w:val="00464C02"/>
    <w:rsid w:val="00465192"/>
    <w:rsid w:val="00465677"/>
    <w:rsid w:val="004659F6"/>
    <w:rsid w:val="00466EB0"/>
    <w:rsid w:val="004673B1"/>
    <w:rsid w:val="00467FD2"/>
    <w:rsid w:val="00470315"/>
    <w:rsid w:val="00470744"/>
    <w:rsid w:val="00470E04"/>
    <w:rsid w:val="00471E03"/>
    <w:rsid w:val="00472C07"/>
    <w:rsid w:val="00473CBE"/>
    <w:rsid w:val="00473CF8"/>
    <w:rsid w:val="00473E00"/>
    <w:rsid w:val="004745D2"/>
    <w:rsid w:val="00474B7C"/>
    <w:rsid w:val="00474DE8"/>
    <w:rsid w:val="004754CA"/>
    <w:rsid w:val="004761A1"/>
    <w:rsid w:val="0047687C"/>
    <w:rsid w:val="00477775"/>
    <w:rsid w:val="00477B0E"/>
    <w:rsid w:val="00480056"/>
    <w:rsid w:val="004802F9"/>
    <w:rsid w:val="00480E5D"/>
    <w:rsid w:val="0048201A"/>
    <w:rsid w:val="004827F2"/>
    <w:rsid w:val="0048514C"/>
    <w:rsid w:val="004859E2"/>
    <w:rsid w:val="00485FC0"/>
    <w:rsid w:val="0048618E"/>
    <w:rsid w:val="00487142"/>
    <w:rsid w:val="004904B2"/>
    <w:rsid w:val="00491C98"/>
    <w:rsid w:val="00491CDF"/>
    <w:rsid w:val="004934CE"/>
    <w:rsid w:val="004940DA"/>
    <w:rsid w:val="00494AD4"/>
    <w:rsid w:val="00494C10"/>
    <w:rsid w:val="004961D3"/>
    <w:rsid w:val="0049621B"/>
    <w:rsid w:val="00496B7B"/>
    <w:rsid w:val="004972B3"/>
    <w:rsid w:val="00497658"/>
    <w:rsid w:val="0049798E"/>
    <w:rsid w:val="004A03CC"/>
    <w:rsid w:val="004A19E0"/>
    <w:rsid w:val="004A1C71"/>
    <w:rsid w:val="004A20DA"/>
    <w:rsid w:val="004A2592"/>
    <w:rsid w:val="004A311E"/>
    <w:rsid w:val="004A45A4"/>
    <w:rsid w:val="004A4E39"/>
    <w:rsid w:val="004A5092"/>
    <w:rsid w:val="004A5340"/>
    <w:rsid w:val="004A6145"/>
    <w:rsid w:val="004B0087"/>
    <w:rsid w:val="004B1082"/>
    <w:rsid w:val="004B2939"/>
    <w:rsid w:val="004B2BE5"/>
    <w:rsid w:val="004B3968"/>
    <w:rsid w:val="004B3A38"/>
    <w:rsid w:val="004B482A"/>
    <w:rsid w:val="004B554E"/>
    <w:rsid w:val="004B5A03"/>
    <w:rsid w:val="004B6953"/>
    <w:rsid w:val="004B6C92"/>
    <w:rsid w:val="004B7730"/>
    <w:rsid w:val="004B7914"/>
    <w:rsid w:val="004C0C72"/>
    <w:rsid w:val="004C1618"/>
    <w:rsid w:val="004C2B1E"/>
    <w:rsid w:val="004C2B82"/>
    <w:rsid w:val="004C35BF"/>
    <w:rsid w:val="004C3E42"/>
    <w:rsid w:val="004C7066"/>
    <w:rsid w:val="004D0A91"/>
    <w:rsid w:val="004D187D"/>
    <w:rsid w:val="004D1A82"/>
    <w:rsid w:val="004D1EE8"/>
    <w:rsid w:val="004D215F"/>
    <w:rsid w:val="004D25F1"/>
    <w:rsid w:val="004D3569"/>
    <w:rsid w:val="004D49A4"/>
    <w:rsid w:val="004D5D59"/>
    <w:rsid w:val="004D62BE"/>
    <w:rsid w:val="004D7A19"/>
    <w:rsid w:val="004D7BEB"/>
    <w:rsid w:val="004D7EA0"/>
    <w:rsid w:val="004E03A1"/>
    <w:rsid w:val="004E0563"/>
    <w:rsid w:val="004E0DA2"/>
    <w:rsid w:val="004E13FC"/>
    <w:rsid w:val="004E195F"/>
    <w:rsid w:val="004E38DE"/>
    <w:rsid w:val="004E3EC0"/>
    <w:rsid w:val="004E40F2"/>
    <w:rsid w:val="004E489A"/>
    <w:rsid w:val="004E5051"/>
    <w:rsid w:val="004E51CA"/>
    <w:rsid w:val="004E6F8F"/>
    <w:rsid w:val="004E714B"/>
    <w:rsid w:val="004F17A9"/>
    <w:rsid w:val="004F1BAE"/>
    <w:rsid w:val="004F207D"/>
    <w:rsid w:val="004F311D"/>
    <w:rsid w:val="004F3D66"/>
    <w:rsid w:val="004F3E07"/>
    <w:rsid w:val="004F450D"/>
    <w:rsid w:val="004F4CDF"/>
    <w:rsid w:val="004F526F"/>
    <w:rsid w:val="004F5364"/>
    <w:rsid w:val="004F649C"/>
    <w:rsid w:val="004F6A0C"/>
    <w:rsid w:val="004F6C0A"/>
    <w:rsid w:val="004F77DD"/>
    <w:rsid w:val="004F7802"/>
    <w:rsid w:val="00500741"/>
    <w:rsid w:val="0050089B"/>
    <w:rsid w:val="00501437"/>
    <w:rsid w:val="00501477"/>
    <w:rsid w:val="00501677"/>
    <w:rsid w:val="005032A3"/>
    <w:rsid w:val="00503C24"/>
    <w:rsid w:val="00503D71"/>
    <w:rsid w:val="00503E45"/>
    <w:rsid w:val="00504AFC"/>
    <w:rsid w:val="00504D77"/>
    <w:rsid w:val="005067A9"/>
    <w:rsid w:val="00507406"/>
    <w:rsid w:val="0051030C"/>
    <w:rsid w:val="00510CBE"/>
    <w:rsid w:val="00511E8E"/>
    <w:rsid w:val="00511FF4"/>
    <w:rsid w:val="00512699"/>
    <w:rsid w:val="00512FD3"/>
    <w:rsid w:val="00512FDB"/>
    <w:rsid w:val="00513579"/>
    <w:rsid w:val="005140E5"/>
    <w:rsid w:val="00514FB9"/>
    <w:rsid w:val="005176EC"/>
    <w:rsid w:val="00517B1B"/>
    <w:rsid w:val="00521313"/>
    <w:rsid w:val="005219E8"/>
    <w:rsid w:val="005226D1"/>
    <w:rsid w:val="00525267"/>
    <w:rsid w:val="005252E6"/>
    <w:rsid w:val="00525449"/>
    <w:rsid w:val="00525489"/>
    <w:rsid w:val="005256BC"/>
    <w:rsid w:val="005268A0"/>
    <w:rsid w:val="0052722D"/>
    <w:rsid w:val="005300C5"/>
    <w:rsid w:val="00530496"/>
    <w:rsid w:val="00530C93"/>
    <w:rsid w:val="00530E30"/>
    <w:rsid w:val="00531657"/>
    <w:rsid w:val="00531923"/>
    <w:rsid w:val="00532305"/>
    <w:rsid w:val="00533680"/>
    <w:rsid w:val="005359ED"/>
    <w:rsid w:val="00535C1B"/>
    <w:rsid w:val="00536B7D"/>
    <w:rsid w:val="00537001"/>
    <w:rsid w:val="005406C0"/>
    <w:rsid w:val="00542100"/>
    <w:rsid w:val="005424A4"/>
    <w:rsid w:val="00543744"/>
    <w:rsid w:val="00543D4B"/>
    <w:rsid w:val="00543DD4"/>
    <w:rsid w:val="00544107"/>
    <w:rsid w:val="0054416B"/>
    <w:rsid w:val="00545C9A"/>
    <w:rsid w:val="00546839"/>
    <w:rsid w:val="00547CDE"/>
    <w:rsid w:val="00550D3B"/>
    <w:rsid w:val="0055166A"/>
    <w:rsid w:val="00551801"/>
    <w:rsid w:val="00552819"/>
    <w:rsid w:val="005529EC"/>
    <w:rsid w:val="00552CB8"/>
    <w:rsid w:val="00553B88"/>
    <w:rsid w:val="00553DD7"/>
    <w:rsid w:val="00554AB0"/>
    <w:rsid w:val="005552F1"/>
    <w:rsid w:val="0055537F"/>
    <w:rsid w:val="005557D3"/>
    <w:rsid w:val="00560AA0"/>
    <w:rsid w:val="00560E63"/>
    <w:rsid w:val="00561110"/>
    <w:rsid w:val="00561370"/>
    <w:rsid w:val="00562EBA"/>
    <w:rsid w:val="00564811"/>
    <w:rsid w:val="00564B60"/>
    <w:rsid w:val="00564CDB"/>
    <w:rsid w:val="00564E6A"/>
    <w:rsid w:val="00565240"/>
    <w:rsid w:val="00566E77"/>
    <w:rsid w:val="00566EAB"/>
    <w:rsid w:val="005670E3"/>
    <w:rsid w:val="00567505"/>
    <w:rsid w:val="00567D7C"/>
    <w:rsid w:val="005703DF"/>
    <w:rsid w:val="00571F2E"/>
    <w:rsid w:val="00572F7B"/>
    <w:rsid w:val="005751B9"/>
    <w:rsid w:val="00575B63"/>
    <w:rsid w:val="00575C09"/>
    <w:rsid w:val="00575F1F"/>
    <w:rsid w:val="00576B28"/>
    <w:rsid w:val="005778A1"/>
    <w:rsid w:val="005779A7"/>
    <w:rsid w:val="00580CF0"/>
    <w:rsid w:val="005814F7"/>
    <w:rsid w:val="005824A4"/>
    <w:rsid w:val="00582AD7"/>
    <w:rsid w:val="00584F6F"/>
    <w:rsid w:val="00586864"/>
    <w:rsid w:val="00586EDE"/>
    <w:rsid w:val="00586FBC"/>
    <w:rsid w:val="005870C0"/>
    <w:rsid w:val="0059005C"/>
    <w:rsid w:val="00590DC6"/>
    <w:rsid w:val="00591A71"/>
    <w:rsid w:val="005934E7"/>
    <w:rsid w:val="005939CC"/>
    <w:rsid w:val="005947A9"/>
    <w:rsid w:val="005948AB"/>
    <w:rsid w:val="00594EF2"/>
    <w:rsid w:val="00594F6F"/>
    <w:rsid w:val="00595954"/>
    <w:rsid w:val="00595E6F"/>
    <w:rsid w:val="00595F69"/>
    <w:rsid w:val="00596093"/>
    <w:rsid w:val="005967D0"/>
    <w:rsid w:val="00597B1F"/>
    <w:rsid w:val="005A0204"/>
    <w:rsid w:val="005A0377"/>
    <w:rsid w:val="005A0DFB"/>
    <w:rsid w:val="005A1777"/>
    <w:rsid w:val="005A32F2"/>
    <w:rsid w:val="005A335F"/>
    <w:rsid w:val="005A364B"/>
    <w:rsid w:val="005A4264"/>
    <w:rsid w:val="005A4735"/>
    <w:rsid w:val="005A4808"/>
    <w:rsid w:val="005A53AF"/>
    <w:rsid w:val="005A581C"/>
    <w:rsid w:val="005A5FDD"/>
    <w:rsid w:val="005A7B6D"/>
    <w:rsid w:val="005B0E1D"/>
    <w:rsid w:val="005B2B7D"/>
    <w:rsid w:val="005B40CD"/>
    <w:rsid w:val="005B47A3"/>
    <w:rsid w:val="005B4C23"/>
    <w:rsid w:val="005B5507"/>
    <w:rsid w:val="005B5825"/>
    <w:rsid w:val="005B5B09"/>
    <w:rsid w:val="005B7144"/>
    <w:rsid w:val="005C13FF"/>
    <w:rsid w:val="005C29BC"/>
    <w:rsid w:val="005C3042"/>
    <w:rsid w:val="005C3F76"/>
    <w:rsid w:val="005C42CE"/>
    <w:rsid w:val="005C475B"/>
    <w:rsid w:val="005C48E8"/>
    <w:rsid w:val="005C5404"/>
    <w:rsid w:val="005C61DF"/>
    <w:rsid w:val="005C6327"/>
    <w:rsid w:val="005C7B80"/>
    <w:rsid w:val="005D085D"/>
    <w:rsid w:val="005D1BFF"/>
    <w:rsid w:val="005D22F2"/>
    <w:rsid w:val="005D2388"/>
    <w:rsid w:val="005D34C6"/>
    <w:rsid w:val="005D5C20"/>
    <w:rsid w:val="005D660F"/>
    <w:rsid w:val="005D68DD"/>
    <w:rsid w:val="005D6D6D"/>
    <w:rsid w:val="005D73B4"/>
    <w:rsid w:val="005E0005"/>
    <w:rsid w:val="005E1446"/>
    <w:rsid w:val="005E14AE"/>
    <w:rsid w:val="005E2B53"/>
    <w:rsid w:val="005E3DF6"/>
    <w:rsid w:val="005E41EA"/>
    <w:rsid w:val="005E41F0"/>
    <w:rsid w:val="005E58E2"/>
    <w:rsid w:val="005E62B6"/>
    <w:rsid w:val="005E764C"/>
    <w:rsid w:val="005E76C1"/>
    <w:rsid w:val="005E7C93"/>
    <w:rsid w:val="005F196F"/>
    <w:rsid w:val="005F2B9C"/>
    <w:rsid w:val="005F30D5"/>
    <w:rsid w:val="005F3366"/>
    <w:rsid w:val="005F41E2"/>
    <w:rsid w:val="005F42B3"/>
    <w:rsid w:val="005F4B59"/>
    <w:rsid w:val="005F4F22"/>
    <w:rsid w:val="005F5301"/>
    <w:rsid w:val="005F537C"/>
    <w:rsid w:val="005F6EF3"/>
    <w:rsid w:val="00601934"/>
    <w:rsid w:val="00601A43"/>
    <w:rsid w:val="00602057"/>
    <w:rsid w:val="006023CE"/>
    <w:rsid w:val="006033E4"/>
    <w:rsid w:val="006034F4"/>
    <w:rsid w:val="0060353A"/>
    <w:rsid w:val="00603C00"/>
    <w:rsid w:val="00603CE5"/>
    <w:rsid w:val="006042EE"/>
    <w:rsid w:val="00604899"/>
    <w:rsid w:val="00605603"/>
    <w:rsid w:val="00607C00"/>
    <w:rsid w:val="00610557"/>
    <w:rsid w:val="00610985"/>
    <w:rsid w:val="00611D40"/>
    <w:rsid w:val="006127FA"/>
    <w:rsid w:val="006129FC"/>
    <w:rsid w:val="00613E53"/>
    <w:rsid w:val="00615930"/>
    <w:rsid w:val="00616033"/>
    <w:rsid w:val="00616498"/>
    <w:rsid w:val="00616C71"/>
    <w:rsid w:val="00620E29"/>
    <w:rsid w:val="00620E6B"/>
    <w:rsid w:val="00620F3C"/>
    <w:rsid w:val="00621AE2"/>
    <w:rsid w:val="00621B3E"/>
    <w:rsid w:val="006220A9"/>
    <w:rsid w:val="00622821"/>
    <w:rsid w:val="00625F7A"/>
    <w:rsid w:val="00627FF1"/>
    <w:rsid w:val="0063058C"/>
    <w:rsid w:val="00630CB3"/>
    <w:rsid w:val="00630E9B"/>
    <w:rsid w:val="00631086"/>
    <w:rsid w:val="006312DB"/>
    <w:rsid w:val="00632D34"/>
    <w:rsid w:val="00633A62"/>
    <w:rsid w:val="00634254"/>
    <w:rsid w:val="00634ED3"/>
    <w:rsid w:val="006360CC"/>
    <w:rsid w:val="00636384"/>
    <w:rsid w:val="006415EE"/>
    <w:rsid w:val="00641A08"/>
    <w:rsid w:val="006420EE"/>
    <w:rsid w:val="0064347B"/>
    <w:rsid w:val="00644115"/>
    <w:rsid w:val="00645350"/>
    <w:rsid w:val="00645C31"/>
    <w:rsid w:val="006468A1"/>
    <w:rsid w:val="00647462"/>
    <w:rsid w:val="00647AE4"/>
    <w:rsid w:val="00647BF6"/>
    <w:rsid w:val="006512F9"/>
    <w:rsid w:val="00651828"/>
    <w:rsid w:val="00652650"/>
    <w:rsid w:val="0065354B"/>
    <w:rsid w:val="00654128"/>
    <w:rsid w:val="00661581"/>
    <w:rsid w:val="00662BAC"/>
    <w:rsid w:val="00662DEB"/>
    <w:rsid w:val="006637B5"/>
    <w:rsid w:val="00663BC8"/>
    <w:rsid w:val="00663FE3"/>
    <w:rsid w:val="00664041"/>
    <w:rsid w:val="00665F93"/>
    <w:rsid w:val="006668DE"/>
    <w:rsid w:val="00667440"/>
    <w:rsid w:val="00670EBE"/>
    <w:rsid w:val="006717CE"/>
    <w:rsid w:val="00671B26"/>
    <w:rsid w:val="00671D1B"/>
    <w:rsid w:val="006722D0"/>
    <w:rsid w:val="0067232D"/>
    <w:rsid w:val="00672CF2"/>
    <w:rsid w:val="006731BC"/>
    <w:rsid w:val="006744D2"/>
    <w:rsid w:val="00677BC5"/>
    <w:rsid w:val="006807C4"/>
    <w:rsid w:val="00681C96"/>
    <w:rsid w:val="00684247"/>
    <w:rsid w:val="006846A1"/>
    <w:rsid w:val="00684772"/>
    <w:rsid w:val="00684B61"/>
    <w:rsid w:val="00685ED7"/>
    <w:rsid w:val="00686AE0"/>
    <w:rsid w:val="006870B5"/>
    <w:rsid w:val="00687832"/>
    <w:rsid w:val="00690135"/>
    <w:rsid w:val="006902E8"/>
    <w:rsid w:val="00690380"/>
    <w:rsid w:val="006918B4"/>
    <w:rsid w:val="00691CBC"/>
    <w:rsid w:val="00692955"/>
    <w:rsid w:val="00693537"/>
    <w:rsid w:val="0069371C"/>
    <w:rsid w:val="0069513A"/>
    <w:rsid w:val="00695B69"/>
    <w:rsid w:val="006971B8"/>
    <w:rsid w:val="006973FE"/>
    <w:rsid w:val="00697B4D"/>
    <w:rsid w:val="00697EE8"/>
    <w:rsid w:val="006A0B5E"/>
    <w:rsid w:val="006A13F7"/>
    <w:rsid w:val="006A1847"/>
    <w:rsid w:val="006A2158"/>
    <w:rsid w:val="006A2D04"/>
    <w:rsid w:val="006A2E65"/>
    <w:rsid w:val="006A30BC"/>
    <w:rsid w:val="006A4C7D"/>
    <w:rsid w:val="006A54F0"/>
    <w:rsid w:val="006A5E76"/>
    <w:rsid w:val="006A6790"/>
    <w:rsid w:val="006A718B"/>
    <w:rsid w:val="006B1254"/>
    <w:rsid w:val="006B1B69"/>
    <w:rsid w:val="006B201F"/>
    <w:rsid w:val="006B2EC7"/>
    <w:rsid w:val="006B5B67"/>
    <w:rsid w:val="006B5DB2"/>
    <w:rsid w:val="006B73E6"/>
    <w:rsid w:val="006B7717"/>
    <w:rsid w:val="006B7D67"/>
    <w:rsid w:val="006B7E4D"/>
    <w:rsid w:val="006C0A0F"/>
    <w:rsid w:val="006C10C2"/>
    <w:rsid w:val="006C118C"/>
    <w:rsid w:val="006C1859"/>
    <w:rsid w:val="006C1EE7"/>
    <w:rsid w:val="006C3B94"/>
    <w:rsid w:val="006C6102"/>
    <w:rsid w:val="006C6CF9"/>
    <w:rsid w:val="006C74DE"/>
    <w:rsid w:val="006D002F"/>
    <w:rsid w:val="006D1553"/>
    <w:rsid w:val="006D1A60"/>
    <w:rsid w:val="006D2663"/>
    <w:rsid w:val="006D268F"/>
    <w:rsid w:val="006D27EF"/>
    <w:rsid w:val="006D29D2"/>
    <w:rsid w:val="006D2DEE"/>
    <w:rsid w:val="006D4410"/>
    <w:rsid w:val="006D47DB"/>
    <w:rsid w:val="006D50CF"/>
    <w:rsid w:val="006D53D9"/>
    <w:rsid w:val="006D650B"/>
    <w:rsid w:val="006E0026"/>
    <w:rsid w:val="006E08A8"/>
    <w:rsid w:val="006E0E3D"/>
    <w:rsid w:val="006E208F"/>
    <w:rsid w:val="006E2DB2"/>
    <w:rsid w:val="006E3888"/>
    <w:rsid w:val="006E6F5F"/>
    <w:rsid w:val="006F41C5"/>
    <w:rsid w:val="006F5445"/>
    <w:rsid w:val="006F5470"/>
    <w:rsid w:val="006F5C87"/>
    <w:rsid w:val="006F6AD2"/>
    <w:rsid w:val="006F7104"/>
    <w:rsid w:val="006F7442"/>
    <w:rsid w:val="006F7C20"/>
    <w:rsid w:val="006F7ECD"/>
    <w:rsid w:val="00702A7A"/>
    <w:rsid w:val="00702EF6"/>
    <w:rsid w:val="00703ACC"/>
    <w:rsid w:val="00704CCB"/>
    <w:rsid w:val="00704E6A"/>
    <w:rsid w:val="00705FA4"/>
    <w:rsid w:val="00706756"/>
    <w:rsid w:val="00706DE7"/>
    <w:rsid w:val="00707723"/>
    <w:rsid w:val="00707746"/>
    <w:rsid w:val="00707D60"/>
    <w:rsid w:val="00710168"/>
    <w:rsid w:val="007103A7"/>
    <w:rsid w:val="00710AF2"/>
    <w:rsid w:val="007112E0"/>
    <w:rsid w:val="00711438"/>
    <w:rsid w:val="00711A48"/>
    <w:rsid w:val="00712793"/>
    <w:rsid w:val="00712F6C"/>
    <w:rsid w:val="00713024"/>
    <w:rsid w:val="00713788"/>
    <w:rsid w:val="00714783"/>
    <w:rsid w:val="007148AC"/>
    <w:rsid w:val="0071498F"/>
    <w:rsid w:val="00715EED"/>
    <w:rsid w:val="00716966"/>
    <w:rsid w:val="00717177"/>
    <w:rsid w:val="00717594"/>
    <w:rsid w:val="00717636"/>
    <w:rsid w:val="00720435"/>
    <w:rsid w:val="00720A1D"/>
    <w:rsid w:val="00720A51"/>
    <w:rsid w:val="00722668"/>
    <w:rsid w:val="00723AC6"/>
    <w:rsid w:val="00724022"/>
    <w:rsid w:val="00724195"/>
    <w:rsid w:val="00725673"/>
    <w:rsid w:val="00725A24"/>
    <w:rsid w:val="00725D27"/>
    <w:rsid w:val="00725E2D"/>
    <w:rsid w:val="00726622"/>
    <w:rsid w:val="00727359"/>
    <w:rsid w:val="0072774A"/>
    <w:rsid w:val="00727788"/>
    <w:rsid w:val="007301D2"/>
    <w:rsid w:val="00731405"/>
    <w:rsid w:val="0073286D"/>
    <w:rsid w:val="00733FE0"/>
    <w:rsid w:val="00734330"/>
    <w:rsid w:val="007345EF"/>
    <w:rsid w:val="00734ADD"/>
    <w:rsid w:val="00734E25"/>
    <w:rsid w:val="00735B62"/>
    <w:rsid w:val="00735D9F"/>
    <w:rsid w:val="00735E83"/>
    <w:rsid w:val="00735E88"/>
    <w:rsid w:val="00735FE3"/>
    <w:rsid w:val="00736471"/>
    <w:rsid w:val="00736BBF"/>
    <w:rsid w:val="00742073"/>
    <w:rsid w:val="00742FB6"/>
    <w:rsid w:val="00743073"/>
    <w:rsid w:val="0074316A"/>
    <w:rsid w:val="00743367"/>
    <w:rsid w:val="00743CDF"/>
    <w:rsid w:val="00743D58"/>
    <w:rsid w:val="00744323"/>
    <w:rsid w:val="007446A0"/>
    <w:rsid w:val="00744B2C"/>
    <w:rsid w:val="00744D1D"/>
    <w:rsid w:val="0074522A"/>
    <w:rsid w:val="00745BEF"/>
    <w:rsid w:val="007465EB"/>
    <w:rsid w:val="00747098"/>
    <w:rsid w:val="00750726"/>
    <w:rsid w:val="00750749"/>
    <w:rsid w:val="007507B4"/>
    <w:rsid w:val="007508EB"/>
    <w:rsid w:val="007532A4"/>
    <w:rsid w:val="0075546E"/>
    <w:rsid w:val="00755D41"/>
    <w:rsid w:val="00756612"/>
    <w:rsid w:val="007572E0"/>
    <w:rsid w:val="00760D93"/>
    <w:rsid w:val="00762264"/>
    <w:rsid w:val="00762678"/>
    <w:rsid w:val="00762AF2"/>
    <w:rsid w:val="00764042"/>
    <w:rsid w:val="00764604"/>
    <w:rsid w:val="00764BE4"/>
    <w:rsid w:val="00764DC7"/>
    <w:rsid w:val="00766823"/>
    <w:rsid w:val="00773610"/>
    <w:rsid w:val="007754D3"/>
    <w:rsid w:val="00775D31"/>
    <w:rsid w:val="00775FB8"/>
    <w:rsid w:val="007767B5"/>
    <w:rsid w:val="00776A46"/>
    <w:rsid w:val="00777520"/>
    <w:rsid w:val="007800B0"/>
    <w:rsid w:val="00780711"/>
    <w:rsid w:val="007811C8"/>
    <w:rsid w:val="00782288"/>
    <w:rsid w:val="007828CC"/>
    <w:rsid w:val="00782BCC"/>
    <w:rsid w:val="00783869"/>
    <w:rsid w:val="00783AE6"/>
    <w:rsid w:val="00783E53"/>
    <w:rsid w:val="00783EB9"/>
    <w:rsid w:val="00783EEE"/>
    <w:rsid w:val="007840FC"/>
    <w:rsid w:val="00784777"/>
    <w:rsid w:val="007847CA"/>
    <w:rsid w:val="00784B81"/>
    <w:rsid w:val="007858E5"/>
    <w:rsid w:val="0078656C"/>
    <w:rsid w:val="00786924"/>
    <w:rsid w:val="007869A0"/>
    <w:rsid w:val="00786EED"/>
    <w:rsid w:val="00787F44"/>
    <w:rsid w:val="00790469"/>
    <w:rsid w:val="00790811"/>
    <w:rsid w:val="0079096A"/>
    <w:rsid w:val="00790F8C"/>
    <w:rsid w:val="007910E3"/>
    <w:rsid w:val="00792DBC"/>
    <w:rsid w:val="00793ADA"/>
    <w:rsid w:val="007941D0"/>
    <w:rsid w:val="007949FB"/>
    <w:rsid w:val="00794E15"/>
    <w:rsid w:val="00795362"/>
    <w:rsid w:val="00796E17"/>
    <w:rsid w:val="0079723B"/>
    <w:rsid w:val="00797B00"/>
    <w:rsid w:val="007A0AD8"/>
    <w:rsid w:val="007A0D35"/>
    <w:rsid w:val="007A1C13"/>
    <w:rsid w:val="007A268A"/>
    <w:rsid w:val="007A2E3D"/>
    <w:rsid w:val="007A32C8"/>
    <w:rsid w:val="007A34B3"/>
    <w:rsid w:val="007A418E"/>
    <w:rsid w:val="007A42F0"/>
    <w:rsid w:val="007A4453"/>
    <w:rsid w:val="007A5648"/>
    <w:rsid w:val="007A5B35"/>
    <w:rsid w:val="007A5B87"/>
    <w:rsid w:val="007A6D46"/>
    <w:rsid w:val="007A7ECB"/>
    <w:rsid w:val="007B05D3"/>
    <w:rsid w:val="007B0C69"/>
    <w:rsid w:val="007B0D4B"/>
    <w:rsid w:val="007B11C8"/>
    <w:rsid w:val="007B24D3"/>
    <w:rsid w:val="007B2E26"/>
    <w:rsid w:val="007B374E"/>
    <w:rsid w:val="007B3B8A"/>
    <w:rsid w:val="007B4EEC"/>
    <w:rsid w:val="007B5309"/>
    <w:rsid w:val="007B54D0"/>
    <w:rsid w:val="007B6407"/>
    <w:rsid w:val="007B71CF"/>
    <w:rsid w:val="007B7AFF"/>
    <w:rsid w:val="007B7D80"/>
    <w:rsid w:val="007B7E83"/>
    <w:rsid w:val="007C1F67"/>
    <w:rsid w:val="007C24B4"/>
    <w:rsid w:val="007C25D5"/>
    <w:rsid w:val="007C3503"/>
    <w:rsid w:val="007C3BCF"/>
    <w:rsid w:val="007C3F24"/>
    <w:rsid w:val="007C509C"/>
    <w:rsid w:val="007C627F"/>
    <w:rsid w:val="007C6380"/>
    <w:rsid w:val="007C7C7A"/>
    <w:rsid w:val="007D052D"/>
    <w:rsid w:val="007D17E4"/>
    <w:rsid w:val="007D18B2"/>
    <w:rsid w:val="007D1981"/>
    <w:rsid w:val="007D214D"/>
    <w:rsid w:val="007D23B2"/>
    <w:rsid w:val="007D23E0"/>
    <w:rsid w:val="007D2461"/>
    <w:rsid w:val="007D320F"/>
    <w:rsid w:val="007D37D5"/>
    <w:rsid w:val="007D38B1"/>
    <w:rsid w:val="007D548D"/>
    <w:rsid w:val="007D59B3"/>
    <w:rsid w:val="007D5B54"/>
    <w:rsid w:val="007D5D07"/>
    <w:rsid w:val="007D62CD"/>
    <w:rsid w:val="007D76B7"/>
    <w:rsid w:val="007E007B"/>
    <w:rsid w:val="007E24A2"/>
    <w:rsid w:val="007E24AA"/>
    <w:rsid w:val="007E39E4"/>
    <w:rsid w:val="007E50E5"/>
    <w:rsid w:val="007E58F7"/>
    <w:rsid w:val="007E6E96"/>
    <w:rsid w:val="007E7066"/>
    <w:rsid w:val="007E7FD0"/>
    <w:rsid w:val="007F00E4"/>
    <w:rsid w:val="007F135A"/>
    <w:rsid w:val="007F1386"/>
    <w:rsid w:val="007F21FC"/>
    <w:rsid w:val="007F2CD3"/>
    <w:rsid w:val="007F2DA2"/>
    <w:rsid w:val="007F33FC"/>
    <w:rsid w:val="007F4B9F"/>
    <w:rsid w:val="007F6B6C"/>
    <w:rsid w:val="007F7851"/>
    <w:rsid w:val="007F7A55"/>
    <w:rsid w:val="00800F4F"/>
    <w:rsid w:val="00801058"/>
    <w:rsid w:val="00801291"/>
    <w:rsid w:val="008018BE"/>
    <w:rsid w:val="00801E3A"/>
    <w:rsid w:val="00802ADB"/>
    <w:rsid w:val="00802C99"/>
    <w:rsid w:val="00803456"/>
    <w:rsid w:val="00803C7B"/>
    <w:rsid w:val="00804EB7"/>
    <w:rsid w:val="00805F91"/>
    <w:rsid w:val="008067DA"/>
    <w:rsid w:val="008106B7"/>
    <w:rsid w:val="00810E18"/>
    <w:rsid w:val="008129F8"/>
    <w:rsid w:val="00812ED7"/>
    <w:rsid w:val="00813218"/>
    <w:rsid w:val="00814874"/>
    <w:rsid w:val="00814E66"/>
    <w:rsid w:val="00815529"/>
    <w:rsid w:val="00815BD0"/>
    <w:rsid w:val="008161DE"/>
    <w:rsid w:val="008168D3"/>
    <w:rsid w:val="00817149"/>
    <w:rsid w:val="008202DD"/>
    <w:rsid w:val="00820561"/>
    <w:rsid w:val="00820A7A"/>
    <w:rsid w:val="00821699"/>
    <w:rsid w:val="00821852"/>
    <w:rsid w:val="00821A33"/>
    <w:rsid w:val="00821C10"/>
    <w:rsid w:val="00822A23"/>
    <w:rsid w:val="008232AE"/>
    <w:rsid w:val="0082351C"/>
    <w:rsid w:val="00824A2A"/>
    <w:rsid w:val="00825B7A"/>
    <w:rsid w:val="00827C45"/>
    <w:rsid w:val="00827DBB"/>
    <w:rsid w:val="00827FF5"/>
    <w:rsid w:val="00830117"/>
    <w:rsid w:val="0083276D"/>
    <w:rsid w:val="008330C9"/>
    <w:rsid w:val="008339AE"/>
    <w:rsid w:val="00834158"/>
    <w:rsid w:val="00834646"/>
    <w:rsid w:val="00835419"/>
    <w:rsid w:val="008359C3"/>
    <w:rsid w:val="00835AEA"/>
    <w:rsid w:val="0083726F"/>
    <w:rsid w:val="008377F3"/>
    <w:rsid w:val="0084001B"/>
    <w:rsid w:val="0084059F"/>
    <w:rsid w:val="00840601"/>
    <w:rsid w:val="0084074B"/>
    <w:rsid w:val="008413A7"/>
    <w:rsid w:val="00841C40"/>
    <w:rsid w:val="00842291"/>
    <w:rsid w:val="00842505"/>
    <w:rsid w:val="00843E4F"/>
    <w:rsid w:val="00844A86"/>
    <w:rsid w:val="00844C52"/>
    <w:rsid w:val="00845C91"/>
    <w:rsid w:val="008469AA"/>
    <w:rsid w:val="0084739D"/>
    <w:rsid w:val="008501E6"/>
    <w:rsid w:val="008501EA"/>
    <w:rsid w:val="00850CF8"/>
    <w:rsid w:val="00852006"/>
    <w:rsid w:val="00852147"/>
    <w:rsid w:val="00852D07"/>
    <w:rsid w:val="00853BCD"/>
    <w:rsid w:val="008540B1"/>
    <w:rsid w:val="00854A5C"/>
    <w:rsid w:val="00856F1D"/>
    <w:rsid w:val="008602EB"/>
    <w:rsid w:val="008603F8"/>
    <w:rsid w:val="00860D79"/>
    <w:rsid w:val="008612CA"/>
    <w:rsid w:val="00861A91"/>
    <w:rsid w:val="00863793"/>
    <w:rsid w:val="0086404F"/>
    <w:rsid w:val="008646A4"/>
    <w:rsid w:val="00866449"/>
    <w:rsid w:val="00866938"/>
    <w:rsid w:val="00866EE8"/>
    <w:rsid w:val="00867047"/>
    <w:rsid w:val="0087002C"/>
    <w:rsid w:val="00871C1C"/>
    <w:rsid w:val="008721A3"/>
    <w:rsid w:val="00872D8F"/>
    <w:rsid w:val="0087361D"/>
    <w:rsid w:val="00875360"/>
    <w:rsid w:val="008761FD"/>
    <w:rsid w:val="00876A14"/>
    <w:rsid w:val="00877D6E"/>
    <w:rsid w:val="00881DBA"/>
    <w:rsid w:val="00882C67"/>
    <w:rsid w:val="00882E54"/>
    <w:rsid w:val="00882F5D"/>
    <w:rsid w:val="008832E6"/>
    <w:rsid w:val="0088377D"/>
    <w:rsid w:val="0088671E"/>
    <w:rsid w:val="008867C1"/>
    <w:rsid w:val="008876E5"/>
    <w:rsid w:val="00890E5B"/>
    <w:rsid w:val="00892245"/>
    <w:rsid w:val="00892380"/>
    <w:rsid w:val="0089277C"/>
    <w:rsid w:val="008948EE"/>
    <w:rsid w:val="0089499C"/>
    <w:rsid w:val="00894CCF"/>
    <w:rsid w:val="00894EFC"/>
    <w:rsid w:val="00895DED"/>
    <w:rsid w:val="00896150"/>
    <w:rsid w:val="008966D1"/>
    <w:rsid w:val="008968AD"/>
    <w:rsid w:val="00897DFF"/>
    <w:rsid w:val="008A0801"/>
    <w:rsid w:val="008A1900"/>
    <w:rsid w:val="008A2078"/>
    <w:rsid w:val="008A24F2"/>
    <w:rsid w:val="008A4851"/>
    <w:rsid w:val="008A4CB3"/>
    <w:rsid w:val="008A68E3"/>
    <w:rsid w:val="008A690E"/>
    <w:rsid w:val="008A7ADC"/>
    <w:rsid w:val="008A7BE6"/>
    <w:rsid w:val="008A7DA7"/>
    <w:rsid w:val="008B02D7"/>
    <w:rsid w:val="008B1066"/>
    <w:rsid w:val="008B3289"/>
    <w:rsid w:val="008B3512"/>
    <w:rsid w:val="008B37AA"/>
    <w:rsid w:val="008B37C5"/>
    <w:rsid w:val="008B410E"/>
    <w:rsid w:val="008B45FD"/>
    <w:rsid w:val="008B470E"/>
    <w:rsid w:val="008B4FEE"/>
    <w:rsid w:val="008B7901"/>
    <w:rsid w:val="008C06E0"/>
    <w:rsid w:val="008C0E44"/>
    <w:rsid w:val="008C104F"/>
    <w:rsid w:val="008C202A"/>
    <w:rsid w:val="008C2A42"/>
    <w:rsid w:val="008C2B30"/>
    <w:rsid w:val="008C37F2"/>
    <w:rsid w:val="008C3B6D"/>
    <w:rsid w:val="008C475D"/>
    <w:rsid w:val="008C4A1E"/>
    <w:rsid w:val="008C4AF5"/>
    <w:rsid w:val="008C4E62"/>
    <w:rsid w:val="008C4E84"/>
    <w:rsid w:val="008C5135"/>
    <w:rsid w:val="008C53D7"/>
    <w:rsid w:val="008C7CA6"/>
    <w:rsid w:val="008D01DD"/>
    <w:rsid w:val="008D0DAF"/>
    <w:rsid w:val="008D1516"/>
    <w:rsid w:val="008D19A4"/>
    <w:rsid w:val="008D1CDE"/>
    <w:rsid w:val="008D1DE1"/>
    <w:rsid w:val="008D26BC"/>
    <w:rsid w:val="008D3EB0"/>
    <w:rsid w:val="008D45B4"/>
    <w:rsid w:val="008D49C1"/>
    <w:rsid w:val="008D5386"/>
    <w:rsid w:val="008D5880"/>
    <w:rsid w:val="008D5F56"/>
    <w:rsid w:val="008D66B8"/>
    <w:rsid w:val="008D6AB3"/>
    <w:rsid w:val="008E0061"/>
    <w:rsid w:val="008E0D2E"/>
    <w:rsid w:val="008E10C9"/>
    <w:rsid w:val="008E11D0"/>
    <w:rsid w:val="008E35B5"/>
    <w:rsid w:val="008E3F0A"/>
    <w:rsid w:val="008E40E6"/>
    <w:rsid w:val="008E453F"/>
    <w:rsid w:val="008E555C"/>
    <w:rsid w:val="008E6682"/>
    <w:rsid w:val="008E672A"/>
    <w:rsid w:val="008E7F80"/>
    <w:rsid w:val="008F0427"/>
    <w:rsid w:val="008F0CAD"/>
    <w:rsid w:val="008F16CA"/>
    <w:rsid w:val="008F1EA6"/>
    <w:rsid w:val="008F2F93"/>
    <w:rsid w:val="008F325E"/>
    <w:rsid w:val="008F41B6"/>
    <w:rsid w:val="008F4565"/>
    <w:rsid w:val="008F46E9"/>
    <w:rsid w:val="008F4EDC"/>
    <w:rsid w:val="008F52EF"/>
    <w:rsid w:val="008F5F1E"/>
    <w:rsid w:val="008F7031"/>
    <w:rsid w:val="008F70FB"/>
    <w:rsid w:val="008F7708"/>
    <w:rsid w:val="008F7E5F"/>
    <w:rsid w:val="0090012C"/>
    <w:rsid w:val="00900E94"/>
    <w:rsid w:val="009023BF"/>
    <w:rsid w:val="009032B6"/>
    <w:rsid w:val="009038AB"/>
    <w:rsid w:val="00903DB9"/>
    <w:rsid w:val="0090420E"/>
    <w:rsid w:val="0090466A"/>
    <w:rsid w:val="00904CCF"/>
    <w:rsid w:val="00906209"/>
    <w:rsid w:val="0090651B"/>
    <w:rsid w:val="00906B27"/>
    <w:rsid w:val="00907338"/>
    <w:rsid w:val="009106B7"/>
    <w:rsid w:val="00910BB1"/>
    <w:rsid w:val="00910D75"/>
    <w:rsid w:val="00911651"/>
    <w:rsid w:val="00911CE5"/>
    <w:rsid w:val="00912DCF"/>
    <w:rsid w:val="009134F3"/>
    <w:rsid w:val="00913DB7"/>
    <w:rsid w:val="00915EAC"/>
    <w:rsid w:val="0091708F"/>
    <w:rsid w:val="00917A25"/>
    <w:rsid w:val="00917D6F"/>
    <w:rsid w:val="00920D4F"/>
    <w:rsid w:val="00921201"/>
    <w:rsid w:val="00922CD9"/>
    <w:rsid w:val="009230C9"/>
    <w:rsid w:val="009235E7"/>
    <w:rsid w:val="00923CC7"/>
    <w:rsid w:val="00924300"/>
    <w:rsid w:val="0092438A"/>
    <w:rsid w:val="009246BC"/>
    <w:rsid w:val="0092566F"/>
    <w:rsid w:val="00925CEA"/>
    <w:rsid w:val="00925CFC"/>
    <w:rsid w:val="00925D58"/>
    <w:rsid w:val="00926083"/>
    <w:rsid w:val="009263C9"/>
    <w:rsid w:val="009269C8"/>
    <w:rsid w:val="00926AF0"/>
    <w:rsid w:val="009275E3"/>
    <w:rsid w:val="00930CD6"/>
    <w:rsid w:val="00932690"/>
    <w:rsid w:val="00933A70"/>
    <w:rsid w:val="00933B88"/>
    <w:rsid w:val="00934A9E"/>
    <w:rsid w:val="00934F41"/>
    <w:rsid w:val="0093548C"/>
    <w:rsid w:val="009356B6"/>
    <w:rsid w:val="00935FB1"/>
    <w:rsid w:val="0093608F"/>
    <w:rsid w:val="009369C7"/>
    <w:rsid w:val="00937B51"/>
    <w:rsid w:val="00937B55"/>
    <w:rsid w:val="00941870"/>
    <w:rsid w:val="00942148"/>
    <w:rsid w:val="0094343D"/>
    <w:rsid w:val="0094352B"/>
    <w:rsid w:val="009440ED"/>
    <w:rsid w:val="00944A9E"/>
    <w:rsid w:val="00945304"/>
    <w:rsid w:val="009460E7"/>
    <w:rsid w:val="00947393"/>
    <w:rsid w:val="009474B1"/>
    <w:rsid w:val="00950B00"/>
    <w:rsid w:val="00952C74"/>
    <w:rsid w:val="009530AE"/>
    <w:rsid w:val="00953B2F"/>
    <w:rsid w:val="00953B9F"/>
    <w:rsid w:val="00954175"/>
    <w:rsid w:val="00954441"/>
    <w:rsid w:val="009565DF"/>
    <w:rsid w:val="00960355"/>
    <w:rsid w:val="00960636"/>
    <w:rsid w:val="00960766"/>
    <w:rsid w:val="00960C8C"/>
    <w:rsid w:val="009616D7"/>
    <w:rsid w:val="00962C68"/>
    <w:rsid w:val="00962D92"/>
    <w:rsid w:val="00962E44"/>
    <w:rsid w:val="00964320"/>
    <w:rsid w:val="00964E5C"/>
    <w:rsid w:val="009652C9"/>
    <w:rsid w:val="009664C2"/>
    <w:rsid w:val="00966658"/>
    <w:rsid w:val="009672F3"/>
    <w:rsid w:val="00970211"/>
    <w:rsid w:val="00970347"/>
    <w:rsid w:val="0097057C"/>
    <w:rsid w:val="009711DE"/>
    <w:rsid w:val="0097242A"/>
    <w:rsid w:val="00972B2A"/>
    <w:rsid w:val="00972F41"/>
    <w:rsid w:val="00972F58"/>
    <w:rsid w:val="00972FBD"/>
    <w:rsid w:val="00973592"/>
    <w:rsid w:val="00974140"/>
    <w:rsid w:val="00974796"/>
    <w:rsid w:val="009757D9"/>
    <w:rsid w:val="00975D8C"/>
    <w:rsid w:val="00975F57"/>
    <w:rsid w:val="00977513"/>
    <w:rsid w:val="00977678"/>
    <w:rsid w:val="0097769C"/>
    <w:rsid w:val="00977974"/>
    <w:rsid w:val="00981546"/>
    <w:rsid w:val="009821F3"/>
    <w:rsid w:val="009829B0"/>
    <w:rsid w:val="009841CB"/>
    <w:rsid w:val="0098437A"/>
    <w:rsid w:val="00990F82"/>
    <w:rsid w:val="009915C3"/>
    <w:rsid w:val="00991D7D"/>
    <w:rsid w:val="00992726"/>
    <w:rsid w:val="00992A2E"/>
    <w:rsid w:val="00992B82"/>
    <w:rsid w:val="00992D98"/>
    <w:rsid w:val="00994540"/>
    <w:rsid w:val="009950FB"/>
    <w:rsid w:val="00995725"/>
    <w:rsid w:val="009969DB"/>
    <w:rsid w:val="00997BF4"/>
    <w:rsid w:val="009A0521"/>
    <w:rsid w:val="009A1410"/>
    <w:rsid w:val="009A1AB8"/>
    <w:rsid w:val="009A27FC"/>
    <w:rsid w:val="009A2BDF"/>
    <w:rsid w:val="009A2DDC"/>
    <w:rsid w:val="009A3526"/>
    <w:rsid w:val="009A3CF0"/>
    <w:rsid w:val="009A3D9D"/>
    <w:rsid w:val="009A435A"/>
    <w:rsid w:val="009A5282"/>
    <w:rsid w:val="009A5544"/>
    <w:rsid w:val="009A5E50"/>
    <w:rsid w:val="009A7528"/>
    <w:rsid w:val="009A7B5C"/>
    <w:rsid w:val="009A7DA0"/>
    <w:rsid w:val="009A7DCA"/>
    <w:rsid w:val="009B24BF"/>
    <w:rsid w:val="009B2A14"/>
    <w:rsid w:val="009B2C0E"/>
    <w:rsid w:val="009B4902"/>
    <w:rsid w:val="009B56D9"/>
    <w:rsid w:val="009B5E32"/>
    <w:rsid w:val="009B6777"/>
    <w:rsid w:val="009B74D2"/>
    <w:rsid w:val="009B7509"/>
    <w:rsid w:val="009B7D6A"/>
    <w:rsid w:val="009B7DD5"/>
    <w:rsid w:val="009C1384"/>
    <w:rsid w:val="009C1C9E"/>
    <w:rsid w:val="009C23D5"/>
    <w:rsid w:val="009C4567"/>
    <w:rsid w:val="009C489C"/>
    <w:rsid w:val="009C63DF"/>
    <w:rsid w:val="009C65A0"/>
    <w:rsid w:val="009D021C"/>
    <w:rsid w:val="009D0843"/>
    <w:rsid w:val="009D2C96"/>
    <w:rsid w:val="009D357C"/>
    <w:rsid w:val="009D5A19"/>
    <w:rsid w:val="009D5B49"/>
    <w:rsid w:val="009D6166"/>
    <w:rsid w:val="009D670E"/>
    <w:rsid w:val="009D674D"/>
    <w:rsid w:val="009E03B4"/>
    <w:rsid w:val="009E0BD8"/>
    <w:rsid w:val="009E13EE"/>
    <w:rsid w:val="009E193B"/>
    <w:rsid w:val="009E3B1F"/>
    <w:rsid w:val="009E5CE4"/>
    <w:rsid w:val="009E6BE4"/>
    <w:rsid w:val="009F0040"/>
    <w:rsid w:val="009F1008"/>
    <w:rsid w:val="009F1026"/>
    <w:rsid w:val="009F1E55"/>
    <w:rsid w:val="009F3F99"/>
    <w:rsid w:val="009F6DCD"/>
    <w:rsid w:val="009F7AE4"/>
    <w:rsid w:val="009F7FAE"/>
    <w:rsid w:val="00A000DB"/>
    <w:rsid w:val="00A00F73"/>
    <w:rsid w:val="00A01931"/>
    <w:rsid w:val="00A01CAA"/>
    <w:rsid w:val="00A020B4"/>
    <w:rsid w:val="00A02E7E"/>
    <w:rsid w:val="00A035F2"/>
    <w:rsid w:val="00A0522C"/>
    <w:rsid w:val="00A053F5"/>
    <w:rsid w:val="00A058CC"/>
    <w:rsid w:val="00A069C7"/>
    <w:rsid w:val="00A071D5"/>
    <w:rsid w:val="00A076E1"/>
    <w:rsid w:val="00A07921"/>
    <w:rsid w:val="00A10629"/>
    <w:rsid w:val="00A110D4"/>
    <w:rsid w:val="00A12371"/>
    <w:rsid w:val="00A13596"/>
    <w:rsid w:val="00A136D5"/>
    <w:rsid w:val="00A13900"/>
    <w:rsid w:val="00A1440C"/>
    <w:rsid w:val="00A15928"/>
    <w:rsid w:val="00A15C5C"/>
    <w:rsid w:val="00A16081"/>
    <w:rsid w:val="00A16646"/>
    <w:rsid w:val="00A16E7D"/>
    <w:rsid w:val="00A1756D"/>
    <w:rsid w:val="00A17F43"/>
    <w:rsid w:val="00A202B8"/>
    <w:rsid w:val="00A2048C"/>
    <w:rsid w:val="00A20C3D"/>
    <w:rsid w:val="00A21A9F"/>
    <w:rsid w:val="00A2222C"/>
    <w:rsid w:val="00A22410"/>
    <w:rsid w:val="00A2413F"/>
    <w:rsid w:val="00A24610"/>
    <w:rsid w:val="00A25909"/>
    <w:rsid w:val="00A25ACF"/>
    <w:rsid w:val="00A25CB9"/>
    <w:rsid w:val="00A26D1B"/>
    <w:rsid w:val="00A304B8"/>
    <w:rsid w:val="00A31314"/>
    <w:rsid w:val="00A320DA"/>
    <w:rsid w:val="00A32106"/>
    <w:rsid w:val="00A32254"/>
    <w:rsid w:val="00A33250"/>
    <w:rsid w:val="00A362CD"/>
    <w:rsid w:val="00A363D5"/>
    <w:rsid w:val="00A3666B"/>
    <w:rsid w:val="00A376F2"/>
    <w:rsid w:val="00A37D0A"/>
    <w:rsid w:val="00A40475"/>
    <w:rsid w:val="00A4120F"/>
    <w:rsid w:val="00A42168"/>
    <w:rsid w:val="00A44388"/>
    <w:rsid w:val="00A45329"/>
    <w:rsid w:val="00A45DD6"/>
    <w:rsid w:val="00A46C3E"/>
    <w:rsid w:val="00A478AB"/>
    <w:rsid w:val="00A47BCB"/>
    <w:rsid w:val="00A5045B"/>
    <w:rsid w:val="00A51D93"/>
    <w:rsid w:val="00A52195"/>
    <w:rsid w:val="00A52327"/>
    <w:rsid w:val="00A52692"/>
    <w:rsid w:val="00A52A74"/>
    <w:rsid w:val="00A52C20"/>
    <w:rsid w:val="00A52C3F"/>
    <w:rsid w:val="00A53AEA"/>
    <w:rsid w:val="00A53F81"/>
    <w:rsid w:val="00A53FCF"/>
    <w:rsid w:val="00A55022"/>
    <w:rsid w:val="00A55256"/>
    <w:rsid w:val="00A55654"/>
    <w:rsid w:val="00A561ED"/>
    <w:rsid w:val="00A56310"/>
    <w:rsid w:val="00A5636C"/>
    <w:rsid w:val="00A5713F"/>
    <w:rsid w:val="00A605F3"/>
    <w:rsid w:val="00A60787"/>
    <w:rsid w:val="00A60FDB"/>
    <w:rsid w:val="00A6151E"/>
    <w:rsid w:val="00A62087"/>
    <w:rsid w:val="00A628D7"/>
    <w:rsid w:val="00A62BC4"/>
    <w:rsid w:val="00A63371"/>
    <w:rsid w:val="00A64752"/>
    <w:rsid w:val="00A64F41"/>
    <w:rsid w:val="00A64F48"/>
    <w:rsid w:val="00A650B9"/>
    <w:rsid w:val="00A655A3"/>
    <w:rsid w:val="00A679A7"/>
    <w:rsid w:val="00A7010F"/>
    <w:rsid w:val="00A70303"/>
    <w:rsid w:val="00A7092D"/>
    <w:rsid w:val="00A7109E"/>
    <w:rsid w:val="00A71FD0"/>
    <w:rsid w:val="00A72096"/>
    <w:rsid w:val="00A74C45"/>
    <w:rsid w:val="00A804A6"/>
    <w:rsid w:val="00A80A35"/>
    <w:rsid w:val="00A80A91"/>
    <w:rsid w:val="00A80C2B"/>
    <w:rsid w:val="00A817F1"/>
    <w:rsid w:val="00A8201D"/>
    <w:rsid w:val="00A820D0"/>
    <w:rsid w:val="00A827F6"/>
    <w:rsid w:val="00A832B0"/>
    <w:rsid w:val="00A835A0"/>
    <w:rsid w:val="00A86992"/>
    <w:rsid w:val="00A87659"/>
    <w:rsid w:val="00A8771C"/>
    <w:rsid w:val="00A90400"/>
    <w:rsid w:val="00A90E88"/>
    <w:rsid w:val="00A913E2"/>
    <w:rsid w:val="00A91717"/>
    <w:rsid w:val="00A92581"/>
    <w:rsid w:val="00A928C1"/>
    <w:rsid w:val="00A94A8F"/>
    <w:rsid w:val="00A95706"/>
    <w:rsid w:val="00A95A95"/>
    <w:rsid w:val="00A96144"/>
    <w:rsid w:val="00A97269"/>
    <w:rsid w:val="00A977B6"/>
    <w:rsid w:val="00A97FF9"/>
    <w:rsid w:val="00AA02EC"/>
    <w:rsid w:val="00AA09D3"/>
    <w:rsid w:val="00AA12DD"/>
    <w:rsid w:val="00AA1DD8"/>
    <w:rsid w:val="00AA2610"/>
    <w:rsid w:val="00AA303F"/>
    <w:rsid w:val="00AA3350"/>
    <w:rsid w:val="00AA37D5"/>
    <w:rsid w:val="00AA5C69"/>
    <w:rsid w:val="00AA5F63"/>
    <w:rsid w:val="00AA6024"/>
    <w:rsid w:val="00AA7033"/>
    <w:rsid w:val="00AA715A"/>
    <w:rsid w:val="00AA74DD"/>
    <w:rsid w:val="00AA7E6E"/>
    <w:rsid w:val="00AB0227"/>
    <w:rsid w:val="00AB042B"/>
    <w:rsid w:val="00AB04D6"/>
    <w:rsid w:val="00AB2207"/>
    <w:rsid w:val="00AB281D"/>
    <w:rsid w:val="00AB3A5B"/>
    <w:rsid w:val="00AB3E08"/>
    <w:rsid w:val="00AB4F8A"/>
    <w:rsid w:val="00AB51B9"/>
    <w:rsid w:val="00AB68E0"/>
    <w:rsid w:val="00AC02E3"/>
    <w:rsid w:val="00AC0AD2"/>
    <w:rsid w:val="00AC0D69"/>
    <w:rsid w:val="00AC1F54"/>
    <w:rsid w:val="00AC213F"/>
    <w:rsid w:val="00AC2763"/>
    <w:rsid w:val="00AC2F2B"/>
    <w:rsid w:val="00AC3573"/>
    <w:rsid w:val="00AC3637"/>
    <w:rsid w:val="00AC3FDE"/>
    <w:rsid w:val="00AC5170"/>
    <w:rsid w:val="00AC58A2"/>
    <w:rsid w:val="00AC5B6A"/>
    <w:rsid w:val="00AC5DEF"/>
    <w:rsid w:val="00AC68A4"/>
    <w:rsid w:val="00AC6FEA"/>
    <w:rsid w:val="00AC751C"/>
    <w:rsid w:val="00AC7ADF"/>
    <w:rsid w:val="00AD1067"/>
    <w:rsid w:val="00AD1A0C"/>
    <w:rsid w:val="00AD1B03"/>
    <w:rsid w:val="00AD1F8F"/>
    <w:rsid w:val="00AD267D"/>
    <w:rsid w:val="00AD2738"/>
    <w:rsid w:val="00AD2782"/>
    <w:rsid w:val="00AD2B13"/>
    <w:rsid w:val="00AD3598"/>
    <w:rsid w:val="00AD386C"/>
    <w:rsid w:val="00AD3EAE"/>
    <w:rsid w:val="00AD48C0"/>
    <w:rsid w:val="00AD4E25"/>
    <w:rsid w:val="00AD57C7"/>
    <w:rsid w:val="00AD5BDF"/>
    <w:rsid w:val="00AD5C64"/>
    <w:rsid w:val="00AD662E"/>
    <w:rsid w:val="00AD69CC"/>
    <w:rsid w:val="00AD7449"/>
    <w:rsid w:val="00AD7ECA"/>
    <w:rsid w:val="00AE0BC6"/>
    <w:rsid w:val="00AE0F59"/>
    <w:rsid w:val="00AE1B0E"/>
    <w:rsid w:val="00AE1FA1"/>
    <w:rsid w:val="00AE20CC"/>
    <w:rsid w:val="00AE22D7"/>
    <w:rsid w:val="00AE2CBB"/>
    <w:rsid w:val="00AE3122"/>
    <w:rsid w:val="00AE3852"/>
    <w:rsid w:val="00AE54F1"/>
    <w:rsid w:val="00AE69CF"/>
    <w:rsid w:val="00AE76A9"/>
    <w:rsid w:val="00AE772C"/>
    <w:rsid w:val="00AF0E01"/>
    <w:rsid w:val="00AF1071"/>
    <w:rsid w:val="00AF1255"/>
    <w:rsid w:val="00AF23B8"/>
    <w:rsid w:val="00AF28E6"/>
    <w:rsid w:val="00AF2F38"/>
    <w:rsid w:val="00AF3B4F"/>
    <w:rsid w:val="00AF3E93"/>
    <w:rsid w:val="00AF4028"/>
    <w:rsid w:val="00AF4274"/>
    <w:rsid w:val="00AF433F"/>
    <w:rsid w:val="00AF448F"/>
    <w:rsid w:val="00AF752F"/>
    <w:rsid w:val="00AF7732"/>
    <w:rsid w:val="00B0011E"/>
    <w:rsid w:val="00B0031B"/>
    <w:rsid w:val="00B00D85"/>
    <w:rsid w:val="00B00FB3"/>
    <w:rsid w:val="00B011C5"/>
    <w:rsid w:val="00B0164A"/>
    <w:rsid w:val="00B01CC2"/>
    <w:rsid w:val="00B02F42"/>
    <w:rsid w:val="00B049B6"/>
    <w:rsid w:val="00B0522E"/>
    <w:rsid w:val="00B06F22"/>
    <w:rsid w:val="00B073FA"/>
    <w:rsid w:val="00B0785C"/>
    <w:rsid w:val="00B1292A"/>
    <w:rsid w:val="00B12ADA"/>
    <w:rsid w:val="00B133AF"/>
    <w:rsid w:val="00B149F2"/>
    <w:rsid w:val="00B1658C"/>
    <w:rsid w:val="00B1659B"/>
    <w:rsid w:val="00B17433"/>
    <w:rsid w:val="00B200E2"/>
    <w:rsid w:val="00B20109"/>
    <w:rsid w:val="00B20272"/>
    <w:rsid w:val="00B20448"/>
    <w:rsid w:val="00B2170A"/>
    <w:rsid w:val="00B218E0"/>
    <w:rsid w:val="00B22BBE"/>
    <w:rsid w:val="00B23463"/>
    <w:rsid w:val="00B24116"/>
    <w:rsid w:val="00B24834"/>
    <w:rsid w:val="00B24C77"/>
    <w:rsid w:val="00B26267"/>
    <w:rsid w:val="00B26639"/>
    <w:rsid w:val="00B27322"/>
    <w:rsid w:val="00B27894"/>
    <w:rsid w:val="00B30B57"/>
    <w:rsid w:val="00B32387"/>
    <w:rsid w:val="00B323EE"/>
    <w:rsid w:val="00B33133"/>
    <w:rsid w:val="00B34377"/>
    <w:rsid w:val="00B34E56"/>
    <w:rsid w:val="00B367C6"/>
    <w:rsid w:val="00B36AD3"/>
    <w:rsid w:val="00B40134"/>
    <w:rsid w:val="00B408FB"/>
    <w:rsid w:val="00B41476"/>
    <w:rsid w:val="00B41725"/>
    <w:rsid w:val="00B43151"/>
    <w:rsid w:val="00B4333E"/>
    <w:rsid w:val="00B43AE5"/>
    <w:rsid w:val="00B43B7D"/>
    <w:rsid w:val="00B444D6"/>
    <w:rsid w:val="00B447F2"/>
    <w:rsid w:val="00B45E02"/>
    <w:rsid w:val="00B46178"/>
    <w:rsid w:val="00B46553"/>
    <w:rsid w:val="00B46833"/>
    <w:rsid w:val="00B4762C"/>
    <w:rsid w:val="00B51702"/>
    <w:rsid w:val="00B518E6"/>
    <w:rsid w:val="00B51B33"/>
    <w:rsid w:val="00B523CB"/>
    <w:rsid w:val="00B5305D"/>
    <w:rsid w:val="00B53699"/>
    <w:rsid w:val="00B551B3"/>
    <w:rsid w:val="00B5523B"/>
    <w:rsid w:val="00B561A9"/>
    <w:rsid w:val="00B572D6"/>
    <w:rsid w:val="00B57734"/>
    <w:rsid w:val="00B60EEC"/>
    <w:rsid w:val="00B61299"/>
    <w:rsid w:val="00B613AD"/>
    <w:rsid w:val="00B618DA"/>
    <w:rsid w:val="00B626B1"/>
    <w:rsid w:val="00B63C51"/>
    <w:rsid w:val="00B648E7"/>
    <w:rsid w:val="00B6736D"/>
    <w:rsid w:val="00B677E2"/>
    <w:rsid w:val="00B70640"/>
    <w:rsid w:val="00B71416"/>
    <w:rsid w:val="00B727C6"/>
    <w:rsid w:val="00B73C5E"/>
    <w:rsid w:val="00B73FD6"/>
    <w:rsid w:val="00B740EE"/>
    <w:rsid w:val="00B74697"/>
    <w:rsid w:val="00B74989"/>
    <w:rsid w:val="00B74A9A"/>
    <w:rsid w:val="00B74B7A"/>
    <w:rsid w:val="00B74D5B"/>
    <w:rsid w:val="00B752EC"/>
    <w:rsid w:val="00B756E6"/>
    <w:rsid w:val="00B7570F"/>
    <w:rsid w:val="00B75FCB"/>
    <w:rsid w:val="00B76493"/>
    <w:rsid w:val="00B76B27"/>
    <w:rsid w:val="00B76B49"/>
    <w:rsid w:val="00B77BD8"/>
    <w:rsid w:val="00B80166"/>
    <w:rsid w:val="00B80D55"/>
    <w:rsid w:val="00B8108F"/>
    <w:rsid w:val="00B81C8B"/>
    <w:rsid w:val="00B831E6"/>
    <w:rsid w:val="00B83BCF"/>
    <w:rsid w:val="00B83CC8"/>
    <w:rsid w:val="00B84113"/>
    <w:rsid w:val="00B84406"/>
    <w:rsid w:val="00B8440A"/>
    <w:rsid w:val="00B84686"/>
    <w:rsid w:val="00B84B2C"/>
    <w:rsid w:val="00B8567C"/>
    <w:rsid w:val="00B866DF"/>
    <w:rsid w:val="00B86E13"/>
    <w:rsid w:val="00B8709D"/>
    <w:rsid w:val="00B90D4C"/>
    <w:rsid w:val="00B90FBD"/>
    <w:rsid w:val="00B91082"/>
    <w:rsid w:val="00B91D48"/>
    <w:rsid w:val="00B93992"/>
    <w:rsid w:val="00B9721B"/>
    <w:rsid w:val="00B97A96"/>
    <w:rsid w:val="00BA05DA"/>
    <w:rsid w:val="00BA0F9A"/>
    <w:rsid w:val="00BA19C6"/>
    <w:rsid w:val="00BA19F8"/>
    <w:rsid w:val="00BA1FF2"/>
    <w:rsid w:val="00BA233C"/>
    <w:rsid w:val="00BA2533"/>
    <w:rsid w:val="00BA3074"/>
    <w:rsid w:val="00BA3A55"/>
    <w:rsid w:val="00BA5553"/>
    <w:rsid w:val="00BA6A5F"/>
    <w:rsid w:val="00BA7A26"/>
    <w:rsid w:val="00BB138D"/>
    <w:rsid w:val="00BB289F"/>
    <w:rsid w:val="00BB29C9"/>
    <w:rsid w:val="00BB2BA4"/>
    <w:rsid w:val="00BB3705"/>
    <w:rsid w:val="00BB3D11"/>
    <w:rsid w:val="00BB4BBA"/>
    <w:rsid w:val="00BB51F4"/>
    <w:rsid w:val="00BB5225"/>
    <w:rsid w:val="00BB65AA"/>
    <w:rsid w:val="00BB6E9C"/>
    <w:rsid w:val="00BB6F77"/>
    <w:rsid w:val="00BB7BA8"/>
    <w:rsid w:val="00BC1A05"/>
    <w:rsid w:val="00BC3528"/>
    <w:rsid w:val="00BC4B15"/>
    <w:rsid w:val="00BC509F"/>
    <w:rsid w:val="00BC5187"/>
    <w:rsid w:val="00BC578A"/>
    <w:rsid w:val="00BC680B"/>
    <w:rsid w:val="00BC6999"/>
    <w:rsid w:val="00BD1098"/>
    <w:rsid w:val="00BD1BF4"/>
    <w:rsid w:val="00BD251B"/>
    <w:rsid w:val="00BD363A"/>
    <w:rsid w:val="00BD3C5F"/>
    <w:rsid w:val="00BD503F"/>
    <w:rsid w:val="00BD5070"/>
    <w:rsid w:val="00BD6CC5"/>
    <w:rsid w:val="00BD7946"/>
    <w:rsid w:val="00BE03B5"/>
    <w:rsid w:val="00BE07D3"/>
    <w:rsid w:val="00BE2333"/>
    <w:rsid w:val="00BE2B5F"/>
    <w:rsid w:val="00BE2D47"/>
    <w:rsid w:val="00BE2D4A"/>
    <w:rsid w:val="00BE30E6"/>
    <w:rsid w:val="00BE31A6"/>
    <w:rsid w:val="00BE57C4"/>
    <w:rsid w:val="00BF2075"/>
    <w:rsid w:val="00BF2441"/>
    <w:rsid w:val="00BF293F"/>
    <w:rsid w:val="00BF3385"/>
    <w:rsid w:val="00BF402B"/>
    <w:rsid w:val="00BF4232"/>
    <w:rsid w:val="00BF4798"/>
    <w:rsid w:val="00BF5353"/>
    <w:rsid w:val="00BF5A42"/>
    <w:rsid w:val="00BF5A83"/>
    <w:rsid w:val="00BF6270"/>
    <w:rsid w:val="00BF6A8F"/>
    <w:rsid w:val="00BF6FD3"/>
    <w:rsid w:val="00BF7BEB"/>
    <w:rsid w:val="00C009F0"/>
    <w:rsid w:val="00C00A95"/>
    <w:rsid w:val="00C0118D"/>
    <w:rsid w:val="00C016DB"/>
    <w:rsid w:val="00C02A81"/>
    <w:rsid w:val="00C02C11"/>
    <w:rsid w:val="00C030F0"/>
    <w:rsid w:val="00C031BB"/>
    <w:rsid w:val="00C03233"/>
    <w:rsid w:val="00C03A13"/>
    <w:rsid w:val="00C04C3F"/>
    <w:rsid w:val="00C04C5C"/>
    <w:rsid w:val="00C04F7E"/>
    <w:rsid w:val="00C0576C"/>
    <w:rsid w:val="00C05E85"/>
    <w:rsid w:val="00C06632"/>
    <w:rsid w:val="00C06B7C"/>
    <w:rsid w:val="00C10084"/>
    <w:rsid w:val="00C11E4A"/>
    <w:rsid w:val="00C120FD"/>
    <w:rsid w:val="00C13894"/>
    <w:rsid w:val="00C14B64"/>
    <w:rsid w:val="00C158B6"/>
    <w:rsid w:val="00C16927"/>
    <w:rsid w:val="00C16F43"/>
    <w:rsid w:val="00C17EB3"/>
    <w:rsid w:val="00C17FCC"/>
    <w:rsid w:val="00C20D79"/>
    <w:rsid w:val="00C21398"/>
    <w:rsid w:val="00C21572"/>
    <w:rsid w:val="00C2183F"/>
    <w:rsid w:val="00C21AF1"/>
    <w:rsid w:val="00C22856"/>
    <w:rsid w:val="00C22D1C"/>
    <w:rsid w:val="00C23799"/>
    <w:rsid w:val="00C23B7B"/>
    <w:rsid w:val="00C249D3"/>
    <w:rsid w:val="00C25071"/>
    <w:rsid w:val="00C25E64"/>
    <w:rsid w:val="00C26B69"/>
    <w:rsid w:val="00C27BED"/>
    <w:rsid w:val="00C27EEB"/>
    <w:rsid w:val="00C32573"/>
    <w:rsid w:val="00C32904"/>
    <w:rsid w:val="00C32DF2"/>
    <w:rsid w:val="00C3364C"/>
    <w:rsid w:val="00C34B6A"/>
    <w:rsid w:val="00C353E6"/>
    <w:rsid w:val="00C35C7E"/>
    <w:rsid w:val="00C36042"/>
    <w:rsid w:val="00C36149"/>
    <w:rsid w:val="00C41DAC"/>
    <w:rsid w:val="00C422DC"/>
    <w:rsid w:val="00C4272C"/>
    <w:rsid w:val="00C427FD"/>
    <w:rsid w:val="00C42BDA"/>
    <w:rsid w:val="00C440AE"/>
    <w:rsid w:val="00C442A6"/>
    <w:rsid w:val="00C44409"/>
    <w:rsid w:val="00C44ED3"/>
    <w:rsid w:val="00C4570E"/>
    <w:rsid w:val="00C45C2D"/>
    <w:rsid w:val="00C464B4"/>
    <w:rsid w:val="00C47726"/>
    <w:rsid w:val="00C502A3"/>
    <w:rsid w:val="00C502F5"/>
    <w:rsid w:val="00C520E3"/>
    <w:rsid w:val="00C533C1"/>
    <w:rsid w:val="00C54581"/>
    <w:rsid w:val="00C55CE2"/>
    <w:rsid w:val="00C56B9C"/>
    <w:rsid w:val="00C57390"/>
    <w:rsid w:val="00C574FE"/>
    <w:rsid w:val="00C60139"/>
    <w:rsid w:val="00C60347"/>
    <w:rsid w:val="00C606D0"/>
    <w:rsid w:val="00C61B4C"/>
    <w:rsid w:val="00C61C4F"/>
    <w:rsid w:val="00C62090"/>
    <w:rsid w:val="00C621B8"/>
    <w:rsid w:val="00C63593"/>
    <w:rsid w:val="00C64525"/>
    <w:rsid w:val="00C64F52"/>
    <w:rsid w:val="00C65336"/>
    <w:rsid w:val="00C6594B"/>
    <w:rsid w:val="00C65C4D"/>
    <w:rsid w:val="00C67012"/>
    <w:rsid w:val="00C67383"/>
    <w:rsid w:val="00C71F74"/>
    <w:rsid w:val="00C72935"/>
    <w:rsid w:val="00C72BBD"/>
    <w:rsid w:val="00C73CD8"/>
    <w:rsid w:val="00C74F37"/>
    <w:rsid w:val="00C7502B"/>
    <w:rsid w:val="00C75889"/>
    <w:rsid w:val="00C758C9"/>
    <w:rsid w:val="00C75912"/>
    <w:rsid w:val="00C75BB9"/>
    <w:rsid w:val="00C76FD3"/>
    <w:rsid w:val="00C771D2"/>
    <w:rsid w:val="00C8019A"/>
    <w:rsid w:val="00C81260"/>
    <w:rsid w:val="00C83978"/>
    <w:rsid w:val="00C8731B"/>
    <w:rsid w:val="00C92C1F"/>
    <w:rsid w:val="00C92FA6"/>
    <w:rsid w:val="00C94399"/>
    <w:rsid w:val="00C944CF"/>
    <w:rsid w:val="00C94CD5"/>
    <w:rsid w:val="00C95433"/>
    <w:rsid w:val="00C97AC0"/>
    <w:rsid w:val="00C97B9C"/>
    <w:rsid w:val="00C97DCD"/>
    <w:rsid w:val="00C97F20"/>
    <w:rsid w:val="00CA02C5"/>
    <w:rsid w:val="00CA0A15"/>
    <w:rsid w:val="00CA179F"/>
    <w:rsid w:val="00CA211E"/>
    <w:rsid w:val="00CA37E5"/>
    <w:rsid w:val="00CA3901"/>
    <w:rsid w:val="00CA3F08"/>
    <w:rsid w:val="00CA415C"/>
    <w:rsid w:val="00CA4243"/>
    <w:rsid w:val="00CA47B7"/>
    <w:rsid w:val="00CA5D23"/>
    <w:rsid w:val="00CA6524"/>
    <w:rsid w:val="00CA69D0"/>
    <w:rsid w:val="00CA6CDD"/>
    <w:rsid w:val="00CA791C"/>
    <w:rsid w:val="00CB128F"/>
    <w:rsid w:val="00CB13D7"/>
    <w:rsid w:val="00CB13DE"/>
    <w:rsid w:val="00CB17F6"/>
    <w:rsid w:val="00CB26F8"/>
    <w:rsid w:val="00CB2B98"/>
    <w:rsid w:val="00CB2BE0"/>
    <w:rsid w:val="00CB3B1C"/>
    <w:rsid w:val="00CB5082"/>
    <w:rsid w:val="00CB50EE"/>
    <w:rsid w:val="00CB5AC0"/>
    <w:rsid w:val="00CB5EA2"/>
    <w:rsid w:val="00CB7B07"/>
    <w:rsid w:val="00CC0F90"/>
    <w:rsid w:val="00CC13C0"/>
    <w:rsid w:val="00CC34A8"/>
    <w:rsid w:val="00CC3855"/>
    <w:rsid w:val="00CC451C"/>
    <w:rsid w:val="00CC4B08"/>
    <w:rsid w:val="00CC5248"/>
    <w:rsid w:val="00CC5773"/>
    <w:rsid w:val="00CC58A1"/>
    <w:rsid w:val="00CC5CE4"/>
    <w:rsid w:val="00CC6028"/>
    <w:rsid w:val="00CC604C"/>
    <w:rsid w:val="00CC704C"/>
    <w:rsid w:val="00CC7434"/>
    <w:rsid w:val="00CC76CF"/>
    <w:rsid w:val="00CC7AFC"/>
    <w:rsid w:val="00CD0550"/>
    <w:rsid w:val="00CD0A66"/>
    <w:rsid w:val="00CD0C3E"/>
    <w:rsid w:val="00CD1658"/>
    <w:rsid w:val="00CD232A"/>
    <w:rsid w:val="00CD2A85"/>
    <w:rsid w:val="00CD3C70"/>
    <w:rsid w:val="00CD3F93"/>
    <w:rsid w:val="00CD44A0"/>
    <w:rsid w:val="00CD4A58"/>
    <w:rsid w:val="00CD61BC"/>
    <w:rsid w:val="00CD6A7C"/>
    <w:rsid w:val="00CD71C6"/>
    <w:rsid w:val="00CD779B"/>
    <w:rsid w:val="00CD7E6A"/>
    <w:rsid w:val="00CE0243"/>
    <w:rsid w:val="00CE30E6"/>
    <w:rsid w:val="00CE39A7"/>
    <w:rsid w:val="00CE3DE8"/>
    <w:rsid w:val="00CE3E50"/>
    <w:rsid w:val="00CE4238"/>
    <w:rsid w:val="00CE51DA"/>
    <w:rsid w:val="00CE53AE"/>
    <w:rsid w:val="00CE5685"/>
    <w:rsid w:val="00CE5706"/>
    <w:rsid w:val="00CE5754"/>
    <w:rsid w:val="00CE6DF3"/>
    <w:rsid w:val="00CF0A3A"/>
    <w:rsid w:val="00CF1553"/>
    <w:rsid w:val="00CF336B"/>
    <w:rsid w:val="00CF3608"/>
    <w:rsid w:val="00CF3B22"/>
    <w:rsid w:val="00CF3CF3"/>
    <w:rsid w:val="00CF3EB1"/>
    <w:rsid w:val="00CF4734"/>
    <w:rsid w:val="00CF49DC"/>
    <w:rsid w:val="00CF5014"/>
    <w:rsid w:val="00CF51DC"/>
    <w:rsid w:val="00CF551B"/>
    <w:rsid w:val="00CF64E2"/>
    <w:rsid w:val="00CF6F3F"/>
    <w:rsid w:val="00CF7904"/>
    <w:rsid w:val="00CF7EF7"/>
    <w:rsid w:val="00CF7F7D"/>
    <w:rsid w:val="00D0034D"/>
    <w:rsid w:val="00D009CA"/>
    <w:rsid w:val="00D01095"/>
    <w:rsid w:val="00D01D45"/>
    <w:rsid w:val="00D02A53"/>
    <w:rsid w:val="00D02C93"/>
    <w:rsid w:val="00D0302C"/>
    <w:rsid w:val="00D0316B"/>
    <w:rsid w:val="00D059DB"/>
    <w:rsid w:val="00D05E8F"/>
    <w:rsid w:val="00D060AC"/>
    <w:rsid w:val="00D068B9"/>
    <w:rsid w:val="00D06AE3"/>
    <w:rsid w:val="00D07223"/>
    <w:rsid w:val="00D10140"/>
    <w:rsid w:val="00D10B20"/>
    <w:rsid w:val="00D10D79"/>
    <w:rsid w:val="00D113EB"/>
    <w:rsid w:val="00D1154D"/>
    <w:rsid w:val="00D1250C"/>
    <w:rsid w:val="00D12F23"/>
    <w:rsid w:val="00D12FE4"/>
    <w:rsid w:val="00D13BCA"/>
    <w:rsid w:val="00D15277"/>
    <w:rsid w:val="00D16039"/>
    <w:rsid w:val="00D1680A"/>
    <w:rsid w:val="00D178C8"/>
    <w:rsid w:val="00D20681"/>
    <w:rsid w:val="00D2098A"/>
    <w:rsid w:val="00D20F57"/>
    <w:rsid w:val="00D2140E"/>
    <w:rsid w:val="00D21C17"/>
    <w:rsid w:val="00D228D5"/>
    <w:rsid w:val="00D2350A"/>
    <w:rsid w:val="00D23F38"/>
    <w:rsid w:val="00D241D4"/>
    <w:rsid w:val="00D24792"/>
    <w:rsid w:val="00D257CD"/>
    <w:rsid w:val="00D25E40"/>
    <w:rsid w:val="00D267D1"/>
    <w:rsid w:val="00D26ADC"/>
    <w:rsid w:val="00D27BB8"/>
    <w:rsid w:val="00D30200"/>
    <w:rsid w:val="00D318CB"/>
    <w:rsid w:val="00D31B1A"/>
    <w:rsid w:val="00D31CFE"/>
    <w:rsid w:val="00D323CB"/>
    <w:rsid w:val="00D3269D"/>
    <w:rsid w:val="00D32F1A"/>
    <w:rsid w:val="00D33954"/>
    <w:rsid w:val="00D3594C"/>
    <w:rsid w:val="00D40F73"/>
    <w:rsid w:val="00D40FC0"/>
    <w:rsid w:val="00D41DE7"/>
    <w:rsid w:val="00D421F7"/>
    <w:rsid w:val="00D42B13"/>
    <w:rsid w:val="00D43C4B"/>
    <w:rsid w:val="00D44192"/>
    <w:rsid w:val="00D44766"/>
    <w:rsid w:val="00D45476"/>
    <w:rsid w:val="00D45861"/>
    <w:rsid w:val="00D46158"/>
    <w:rsid w:val="00D46595"/>
    <w:rsid w:val="00D46B1E"/>
    <w:rsid w:val="00D47090"/>
    <w:rsid w:val="00D47567"/>
    <w:rsid w:val="00D5043D"/>
    <w:rsid w:val="00D51015"/>
    <w:rsid w:val="00D515A4"/>
    <w:rsid w:val="00D51AFD"/>
    <w:rsid w:val="00D51B4E"/>
    <w:rsid w:val="00D51E7A"/>
    <w:rsid w:val="00D529A2"/>
    <w:rsid w:val="00D52E1D"/>
    <w:rsid w:val="00D53BB8"/>
    <w:rsid w:val="00D540E4"/>
    <w:rsid w:val="00D553D5"/>
    <w:rsid w:val="00D563B7"/>
    <w:rsid w:val="00D570AD"/>
    <w:rsid w:val="00D5767A"/>
    <w:rsid w:val="00D577D9"/>
    <w:rsid w:val="00D579A2"/>
    <w:rsid w:val="00D60060"/>
    <w:rsid w:val="00D61334"/>
    <w:rsid w:val="00D62CB8"/>
    <w:rsid w:val="00D62EC5"/>
    <w:rsid w:val="00D6435C"/>
    <w:rsid w:val="00D649AF"/>
    <w:rsid w:val="00D649E4"/>
    <w:rsid w:val="00D651D7"/>
    <w:rsid w:val="00D65584"/>
    <w:rsid w:val="00D65A10"/>
    <w:rsid w:val="00D65FD8"/>
    <w:rsid w:val="00D661AF"/>
    <w:rsid w:val="00D664E3"/>
    <w:rsid w:val="00D67460"/>
    <w:rsid w:val="00D71166"/>
    <w:rsid w:val="00D7164F"/>
    <w:rsid w:val="00D71817"/>
    <w:rsid w:val="00D71C94"/>
    <w:rsid w:val="00D721F6"/>
    <w:rsid w:val="00D748E3"/>
    <w:rsid w:val="00D749A3"/>
    <w:rsid w:val="00D74E55"/>
    <w:rsid w:val="00D750A8"/>
    <w:rsid w:val="00D75B52"/>
    <w:rsid w:val="00D75FBD"/>
    <w:rsid w:val="00D8014C"/>
    <w:rsid w:val="00D80690"/>
    <w:rsid w:val="00D81207"/>
    <w:rsid w:val="00D81A8E"/>
    <w:rsid w:val="00D81D6A"/>
    <w:rsid w:val="00D82D97"/>
    <w:rsid w:val="00D83C46"/>
    <w:rsid w:val="00D83C71"/>
    <w:rsid w:val="00D84E48"/>
    <w:rsid w:val="00D85C6F"/>
    <w:rsid w:val="00D867D3"/>
    <w:rsid w:val="00D86B47"/>
    <w:rsid w:val="00D87876"/>
    <w:rsid w:val="00D90288"/>
    <w:rsid w:val="00D90368"/>
    <w:rsid w:val="00D9139C"/>
    <w:rsid w:val="00D93C54"/>
    <w:rsid w:val="00D941B5"/>
    <w:rsid w:val="00D943EF"/>
    <w:rsid w:val="00D94C6F"/>
    <w:rsid w:val="00D968AC"/>
    <w:rsid w:val="00D96CBF"/>
    <w:rsid w:val="00D96CD2"/>
    <w:rsid w:val="00D96DAF"/>
    <w:rsid w:val="00D96F8C"/>
    <w:rsid w:val="00DA086F"/>
    <w:rsid w:val="00DA1276"/>
    <w:rsid w:val="00DA1612"/>
    <w:rsid w:val="00DA19F1"/>
    <w:rsid w:val="00DA79FC"/>
    <w:rsid w:val="00DA7F30"/>
    <w:rsid w:val="00DB02C3"/>
    <w:rsid w:val="00DB0BA4"/>
    <w:rsid w:val="00DB1B9A"/>
    <w:rsid w:val="00DB1D43"/>
    <w:rsid w:val="00DB25E5"/>
    <w:rsid w:val="00DB2C94"/>
    <w:rsid w:val="00DB300F"/>
    <w:rsid w:val="00DB3797"/>
    <w:rsid w:val="00DB434F"/>
    <w:rsid w:val="00DB565C"/>
    <w:rsid w:val="00DB6807"/>
    <w:rsid w:val="00DB749E"/>
    <w:rsid w:val="00DC1697"/>
    <w:rsid w:val="00DC16EE"/>
    <w:rsid w:val="00DC1795"/>
    <w:rsid w:val="00DC2641"/>
    <w:rsid w:val="00DC3533"/>
    <w:rsid w:val="00DC372F"/>
    <w:rsid w:val="00DC4565"/>
    <w:rsid w:val="00DC4B29"/>
    <w:rsid w:val="00DC4BBA"/>
    <w:rsid w:val="00DC4C40"/>
    <w:rsid w:val="00DC68F6"/>
    <w:rsid w:val="00DC69F3"/>
    <w:rsid w:val="00DC6BD8"/>
    <w:rsid w:val="00DC712F"/>
    <w:rsid w:val="00DD0684"/>
    <w:rsid w:val="00DD076C"/>
    <w:rsid w:val="00DD2681"/>
    <w:rsid w:val="00DD3542"/>
    <w:rsid w:val="00DD370D"/>
    <w:rsid w:val="00DD47D6"/>
    <w:rsid w:val="00DD6255"/>
    <w:rsid w:val="00DD72C3"/>
    <w:rsid w:val="00DE1C0C"/>
    <w:rsid w:val="00DE1C57"/>
    <w:rsid w:val="00DE1E3D"/>
    <w:rsid w:val="00DE27AD"/>
    <w:rsid w:val="00DE3C8F"/>
    <w:rsid w:val="00DE411F"/>
    <w:rsid w:val="00DE5010"/>
    <w:rsid w:val="00DE6B78"/>
    <w:rsid w:val="00DE6EE3"/>
    <w:rsid w:val="00DF00F7"/>
    <w:rsid w:val="00DF0251"/>
    <w:rsid w:val="00DF029E"/>
    <w:rsid w:val="00DF08CE"/>
    <w:rsid w:val="00DF130A"/>
    <w:rsid w:val="00DF1FC9"/>
    <w:rsid w:val="00DF2A18"/>
    <w:rsid w:val="00DF33F0"/>
    <w:rsid w:val="00DF344F"/>
    <w:rsid w:val="00DF3F42"/>
    <w:rsid w:val="00DF472E"/>
    <w:rsid w:val="00DF4A08"/>
    <w:rsid w:val="00DF680E"/>
    <w:rsid w:val="00DF6CDE"/>
    <w:rsid w:val="00DF6D5C"/>
    <w:rsid w:val="00DF6ED2"/>
    <w:rsid w:val="00DF76BB"/>
    <w:rsid w:val="00DF7A9F"/>
    <w:rsid w:val="00E0094B"/>
    <w:rsid w:val="00E00A7D"/>
    <w:rsid w:val="00E00C42"/>
    <w:rsid w:val="00E00F98"/>
    <w:rsid w:val="00E0117F"/>
    <w:rsid w:val="00E01378"/>
    <w:rsid w:val="00E029E4"/>
    <w:rsid w:val="00E0452D"/>
    <w:rsid w:val="00E04C55"/>
    <w:rsid w:val="00E052F8"/>
    <w:rsid w:val="00E0541F"/>
    <w:rsid w:val="00E05ECD"/>
    <w:rsid w:val="00E06769"/>
    <w:rsid w:val="00E07F11"/>
    <w:rsid w:val="00E07FC1"/>
    <w:rsid w:val="00E111A3"/>
    <w:rsid w:val="00E11D52"/>
    <w:rsid w:val="00E11FEC"/>
    <w:rsid w:val="00E12302"/>
    <w:rsid w:val="00E1254D"/>
    <w:rsid w:val="00E1305E"/>
    <w:rsid w:val="00E136EC"/>
    <w:rsid w:val="00E13B67"/>
    <w:rsid w:val="00E13C79"/>
    <w:rsid w:val="00E14266"/>
    <w:rsid w:val="00E1456B"/>
    <w:rsid w:val="00E149B9"/>
    <w:rsid w:val="00E14A11"/>
    <w:rsid w:val="00E14B69"/>
    <w:rsid w:val="00E15550"/>
    <w:rsid w:val="00E15C0E"/>
    <w:rsid w:val="00E178E4"/>
    <w:rsid w:val="00E1799E"/>
    <w:rsid w:val="00E20907"/>
    <w:rsid w:val="00E22A32"/>
    <w:rsid w:val="00E22DCF"/>
    <w:rsid w:val="00E22F09"/>
    <w:rsid w:val="00E23837"/>
    <w:rsid w:val="00E24330"/>
    <w:rsid w:val="00E24DC3"/>
    <w:rsid w:val="00E25E12"/>
    <w:rsid w:val="00E26770"/>
    <w:rsid w:val="00E27BB0"/>
    <w:rsid w:val="00E27CA5"/>
    <w:rsid w:val="00E27FE7"/>
    <w:rsid w:val="00E30147"/>
    <w:rsid w:val="00E31102"/>
    <w:rsid w:val="00E311BE"/>
    <w:rsid w:val="00E315B5"/>
    <w:rsid w:val="00E31F88"/>
    <w:rsid w:val="00E326C1"/>
    <w:rsid w:val="00E34561"/>
    <w:rsid w:val="00E34593"/>
    <w:rsid w:val="00E352BC"/>
    <w:rsid w:val="00E359DB"/>
    <w:rsid w:val="00E370D3"/>
    <w:rsid w:val="00E37D0B"/>
    <w:rsid w:val="00E37F8A"/>
    <w:rsid w:val="00E404DB"/>
    <w:rsid w:val="00E411E4"/>
    <w:rsid w:val="00E43BCA"/>
    <w:rsid w:val="00E44F23"/>
    <w:rsid w:val="00E4569B"/>
    <w:rsid w:val="00E4577C"/>
    <w:rsid w:val="00E45976"/>
    <w:rsid w:val="00E4681E"/>
    <w:rsid w:val="00E46D4B"/>
    <w:rsid w:val="00E5142A"/>
    <w:rsid w:val="00E524FF"/>
    <w:rsid w:val="00E52D58"/>
    <w:rsid w:val="00E53839"/>
    <w:rsid w:val="00E553DE"/>
    <w:rsid w:val="00E55F90"/>
    <w:rsid w:val="00E55FAA"/>
    <w:rsid w:val="00E5664C"/>
    <w:rsid w:val="00E57302"/>
    <w:rsid w:val="00E60B7F"/>
    <w:rsid w:val="00E60D27"/>
    <w:rsid w:val="00E60EE5"/>
    <w:rsid w:val="00E61493"/>
    <w:rsid w:val="00E62520"/>
    <w:rsid w:val="00E629CF"/>
    <w:rsid w:val="00E631F0"/>
    <w:rsid w:val="00E639E8"/>
    <w:rsid w:val="00E6459C"/>
    <w:rsid w:val="00E64856"/>
    <w:rsid w:val="00E64D0F"/>
    <w:rsid w:val="00E66A89"/>
    <w:rsid w:val="00E67F97"/>
    <w:rsid w:val="00E702BB"/>
    <w:rsid w:val="00E7085B"/>
    <w:rsid w:val="00E70953"/>
    <w:rsid w:val="00E71820"/>
    <w:rsid w:val="00E72CD1"/>
    <w:rsid w:val="00E72D97"/>
    <w:rsid w:val="00E73A86"/>
    <w:rsid w:val="00E74641"/>
    <w:rsid w:val="00E75378"/>
    <w:rsid w:val="00E76842"/>
    <w:rsid w:val="00E847CB"/>
    <w:rsid w:val="00E84B4E"/>
    <w:rsid w:val="00E850D1"/>
    <w:rsid w:val="00E86414"/>
    <w:rsid w:val="00E876B6"/>
    <w:rsid w:val="00E87884"/>
    <w:rsid w:val="00E878D5"/>
    <w:rsid w:val="00E904C6"/>
    <w:rsid w:val="00E90CB7"/>
    <w:rsid w:val="00E91058"/>
    <w:rsid w:val="00E91627"/>
    <w:rsid w:val="00E920AE"/>
    <w:rsid w:val="00E92BC1"/>
    <w:rsid w:val="00E956FE"/>
    <w:rsid w:val="00E95AA0"/>
    <w:rsid w:val="00E95FB2"/>
    <w:rsid w:val="00E96639"/>
    <w:rsid w:val="00E978CE"/>
    <w:rsid w:val="00EA0A5C"/>
    <w:rsid w:val="00EA0DDB"/>
    <w:rsid w:val="00EA1D65"/>
    <w:rsid w:val="00EA2873"/>
    <w:rsid w:val="00EA28BC"/>
    <w:rsid w:val="00EA2FE2"/>
    <w:rsid w:val="00EA3724"/>
    <w:rsid w:val="00EA3913"/>
    <w:rsid w:val="00EA513D"/>
    <w:rsid w:val="00EA688C"/>
    <w:rsid w:val="00EA7412"/>
    <w:rsid w:val="00EB0332"/>
    <w:rsid w:val="00EB0DB5"/>
    <w:rsid w:val="00EB0E01"/>
    <w:rsid w:val="00EB1018"/>
    <w:rsid w:val="00EB2743"/>
    <w:rsid w:val="00EB28A9"/>
    <w:rsid w:val="00EB2D01"/>
    <w:rsid w:val="00EB3E11"/>
    <w:rsid w:val="00EB5789"/>
    <w:rsid w:val="00EB6BDC"/>
    <w:rsid w:val="00EB7397"/>
    <w:rsid w:val="00EB7526"/>
    <w:rsid w:val="00EB7941"/>
    <w:rsid w:val="00EC0266"/>
    <w:rsid w:val="00EC07A6"/>
    <w:rsid w:val="00EC0C66"/>
    <w:rsid w:val="00EC13DF"/>
    <w:rsid w:val="00EC1D3E"/>
    <w:rsid w:val="00EC3D02"/>
    <w:rsid w:val="00EC48F9"/>
    <w:rsid w:val="00EC4CBD"/>
    <w:rsid w:val="00EC539D"/>
    <w:rsid w:val="00EC5975"/>
    <w:rsid w:val="00EC6279"/>
    <w:rsid w:val="00EC6618"/>
    <w:rsid w:val="00EC66B6"/>
    <w:rsid w:val="00EC7E4E"/>
    <w:rsid w:val="00ED179C"/>
    <w:rsid w:val="00ED3272"/>
    <w:rsid w:val="00ED3687"/>
    <w:rsid w:val="00ED38E9"/>
    <w:rsid w:val="00ED3CAA"/>
    <w:rsid w:val="00ED43EE"/>
    <w:rsid w:val="00ED45CC"/>
    <w:rsid w:val="00ED4792"/>
    <w:rsid w:val="00ED47DB"/>
    <w:rsid w:val="00ED5B2D"/>
    <w:rsid w:val="00ED621E"/>
    <w:rsid w:val="00ED657F"/>
    <w:rsid w:val="00ED73E4"/>
    <w:rsid w:val="00EE03D9"/>
    <w:rsid w:val="00EE0667"/>
    <w:rsid w:val="00EE1213"/>
    <w:rsid w:val="00EE1915"/>
    <w:rsid w:val="00EE217B"/>
    <w:rsid w:val="00EE2C26"/>
    <w:rsid w:val="00EE338A"/>
    <w:rsid w:val="00EE3DF2"/>
    <w:rsid w:val="00EE53C5"/>
    <w:rsid w:val="00EE5C2B"/>
    <w:rsid w:val="00EE7966"/>
    <w:rsid w:val="00EF14AC"/>
    <w:rsid w:val="00EF3B62"/>
    <w:rsid w:val="00EF413E"/>
    <w:rsid w:val="00EF59AB"/>
    <w:rsid w:val="00EF6B10"/>
    <w:rsid w:val="00EF70EE"/>
    <w:rsid w:val="00EF733B"/>
    <w:rsid w:val="00F004E5"/>
    <w:rsid w:val="00F00EC7"/>
    <w:rsid w:val="00F03930"/>
    <w:rsid w:val="00F04392"/>
    <w:rsid w:val="00F0451A"/>
    <w:rsid w:val="00F0580B"/>
    <w:rsid w:val="00F05BD6"/>
    <w:rsid w:val="00F05FC7"/>
    <w:rsid w:val="00F07C0E"/>
    <w:rsid w:val="00F1380A"/>
    <w:rsid w:val="00F13BEF"/>
    <w:rsid w:val="00F1468F"/>
    <w:rsid w:val="00F14DD9"/>
    <w:rsid w:val="00F1515B"/>
    <w:rsid w:val="00F15456"/>
    <w:rsid w:val="00F173B8"/>
    <w:rsid w:val="00F2125B"/>
    <w:rsid w:val="00F22629"/>
    <w:rsid w:val="00F23C51"/>
    <w:rsid w:val="00F240B7"/>
    <w:rsid w:val="00F24692"/>
    <w:rsid w:val="00F251C4"/>
    <w:rsid w:val="00F25578"/>
    <w:rsid w:val="00F25C39"/>
    <w:rsid w:val="00F27063"/>
    <w:rsid w:val="00F300B9"/>
    <w:rsid w:val="00F3076A"/>
    <w:rsid w:val="00F307AE"/>
    <w:rsid w:val="00F30B92"/>
    <w:rsid w:val="00F30ED6"/>
    <w:rsid w:val="00F325EB"/>
    <w:rsid w:val="00F32668"/>
    <w:rsid w:val="00F32A08"/>
    <w:rsid w:val="00F32C2A"/>
    <w:rsid w:val="00F32EF7"/>
    <w:rsid w:val="00F330F0"/>
    <w:rsid w:val="00F3397B"/>
    <w:rsid w:val="00F33C09"/>
    <w:rsid w:val="00F3543E"/>
    <w:rsid w:val="00F357E9"/>
    <w:rsid w:val="00F359DD"/>
    <w:rsid w:val="00F35DBD"/>
    <w:rsid w:val="00F35E4A"/>
    <w:rsid w:val="00F367DB"/>
    <w:rsid w:val="00F36E46"/>
    <w:rsid w:val="00F40743"/>
    <w:rsid w:val="00F41B41"/>
    <w:rsid w:val="00F41BBD"/>
    <w:rsid w:val="00F43033"/>
    <w:rsid w:val="00F43260"/>
    <w:rsid w:val="00F44709"/>
    <w:rsid w:val="00F44BBA"/>
    <w:rsid w:val="00F457D1"/>
    <w:rsid w:val="00F458D5"/>
    <w:rsid w:val="00F47C8B"/>
    <w:rsid w:val="00F47E58"/>
    <w:rsid w:val="00F50BD6"/>
    <w:rsid w:val="00F50E20"/>
    <w:rsid w:val="00F51079"/>
    <w:rsid w:val="00F51DEE"/>
    <w:rsid w:val="00F52988"/>
    <w:rsid w:val="00F52D4B"/>
    <w:rsid w:val="00F53878"/>
    <w:rsid w:val="00F549FD"/>
    <w:rsid w:val="00F54AB6"/>
    <w:rsid w:val="00F56F70"/>
    <w:rsid w:val="00F5730C"/>
    <w:rsid w:val="00F60114"/>
    <w:rsid w:val="00F61532"/>
    <w:rsid w:val="00F630C1"/>
    <w:rsid w:val="00F63228"/>
    <w:rsid w:val="00F635E4"/>
    <w:rsid w:val="00F6524F"/>
    <w:rsid w:val="00F658D1"/>
    <w:rsid w:val="00F6624D"/>
    <w:rsid w:val="00F66B49"/>
    <w:rsid w:val="00F67736"/>
    <w:rsid w:val="00F70717"/>
    <w:rsid w:val="00F7158E"/>
    <w:rsid w:val="00F71A1A"/>
    <w:rsid w:val="00F72F30"/>
    <w:rsid w:val="00F744CE"/>
    <w:rsid w:val="00F749FC"/>
    <w:rsid w:val="00F7515A"/>
    <w:rsid w:val="00F751A3"/>
    <w:rsid w:val="00F75C60"/>
    <w:rsid w:val="00F7617E"/>
    <w:rsid w:val="00F768CA"/>
    <w:rsid w:val="00F76DD2"/>
    <w:rsid w:val="00F801FA"/>
    <w:rsid w:val="00F805D4"/>
    <w:rsid w:val="00F83DA4"/>
    <w:rsid w:val="00F8417A"/>
    <w:rsid w:val="00F84781"/>
    <w:rsid w:val="00F865B3"/>
    <w:rsid w:val="00F8698F"/>
    <w:rsid w:val="00F920A9"/>
    <w:rsid w:val="00F929EA"/>
    <w:rsid w:val="00F934D1"/>
    <w:rsid w:val="00F93F6C"/>
    <w:rsid w:val="00F93FD5"/>
    <w:rsid w:val="00F942B3"/>
    <w:rsid w:val="00F94CE8"/>
    <w:rsid w:val="00F94D2A"/>
    <w:rsid w:val="00F95CFB"/>
    <w:rsid w:val="00F96E97"/>
    <w:rsid w:val="00F97AF3"/>
    <w:rsid w:val="00F97D5C"/>
    <w:rsid w:val="00FA05C3"/>
    <w:rsid w:val="00FA0AC2"/>
    <w:rsid w:val="00FA0E1D"/>
    <w:rsid w:val="00FA23E6"/>
    <w:rsid w:val="00FA2C7A"/>
    <w:rsid w:val="00FA352D"/>
    <w:rsid w:val="00FA3E75"/>
    <w:rsid w:val="00FA46BA"/>
    <w:rsid w:val="00FA47DD"/>
    <w:rsid w:val="00FA5A62"/>
    <w:rsid w:val="00FA60E3"/>
    <w:rsid w:val="00FA6945"/>
    <w:rsid w:val="00FA6FC4"/>
    <w:rsid w:val="00FA78D5"/>
    <w:rsid w:val="00FB0270"/>
    <w:rsid w:val="00FB1872"/>
    <w:rsid w:val="00FB1B5E"/>
    <w:rsid w:val="00FB2941"/>
    <w:rsid w:val="00FB30A1"/>
    <w:rsid w:val="00FB4015"/>
    <w:rsid w:val="00FB47F5"/>
    <w:rsid w:val="00FB53C9"/>
    <w:rsid w:val="00FB6C31"/>
    <w:rsid w:val="00FB7903"/>
    <w:rsid w:val="00FC201F"/>
    <w:rsid w:val="00FC2B5B"/>
    <w:rsid w:val="00FC3C63"/>
    <w:rsid w:val="00FC3DF2"/>
    <w:rsid w:val="00FC42CC"/>
    <w:rsid w:val="00FC5254"/>
    <w:rsid w:val="00FC57DF"/>
    <w:rsid w:val="00FC586A"/>
    <w:rsid w:val="00FD0108"/>
    <w:rsid w:val="00FD0FBE"/>
    <w:rsid w:val="00FD1EC9"/>
    <w:rsid w:val="00FD31D2"/>
    <w:rsid w:val="00FD3EFA"/>
    <w:rsid w:val="00FD50FD"/>
    <w:rsid w:val="00FD5176"/>
    <w:rsid w:val="00FD5E92"/>
    <w:rsid w:val="00FD62A9"/>
    <w:rsid w:val="00FD6ABA"/>
    <w:rsid w:val="00FD6C9B"/>
    <w:rsid w:val="00FD76B9"/>
    <w:rsid w:val="00FD7C72"/>
    <w:rsid w:val="00FE07AD"/>
    <w:rsid w:val="00FE0B46"/>
    <w:rsid w:val="00FE0BA1"/>
    <w:rsid w:val="00FE1D40"/>
    <w:rsid w:val="00FE29C4"/>
    <w:rsid w:val="00FE333B"/>
    <w:rsid w:val="00FE3D3C"/>
    <w:rsid w:val="00FE52B8"/>
    <w:rsid w:val="00FE57F2"/>
    <w:rsid w:val="00FE5FA8"/>
    <w:rsid w:val="00FE73DE"/>
    <w:rsid w:val="00FE79B6"/>
    <w:rsid w:val="00FF0816"/>
    <w:rsid w:val="00FF0A24"/>
    <w:rsid w:val="00FF121F"/>
    <w:rsid w:val="00FF1D15"/>
    <w:rsid w:val="00FF3380"/>
    <w:rsid w:val="00FF391C"/>
    <w:rsid w:val="00FF3FA0"/>
    <w:rsid w:val="00FF4CF0"/>
    <w:rsid w:val="00FF4E9C"/>
    <w:rsid w:val="00FF603F"/>
    <w:rsid w:val="00FF6383"/>
    <w:rsid w:val="00FF6606"/>
    <w:rsid w:val="00FF6638"/>
    <w:rsid w:val="00FF67E6"/>
    <w:rsid w:val="00FF6F9D"/>
    <w:rsid w:val="00FF7BC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3" w:uiPriority="0"/>
    <w:lsdException w:name="Body Text Indent 2" w:uiPriority="0"/>
    <w:lsdException w:name="Body Text Indent 3" w:uiPriority="0"/>
    <w:lsdException w:name="Strong" w:semiHidden="0" w:uiPriority="22" w:unhideWhenUsed="0"/>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iPriority="21" w:unhideWhenUsed="0"/>
    <w:lsdException w:name="Subtle Reference" w:semiHidden="0" w:unhideWhenUsed="0"/>
    <w:lsdException w:name="Intense Reference" w:semiHidden="0"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2D35D6"/>
    <w:pPr>
      <w:spacing w:line="276" w:lineRule="auto"/>
      <w:jc w:val="both"/>
    </w:pPr>
    <w:rPr>
      <w:rFonts w:ascii="Times New Roman" w:hAnsi="Times New Roman"/>
      <w:noProof/>
      <w:sz w:val="24"/>
      <w:szCs w:val="24"/>
      <w:lang w:eastAsia="en-US" w:bidi="en-US"/>
    </w:rPr>
  </w:style>
  <w:style w:type="paragraph" w:styleId="Nadpis1">
    <w:name w:val="heading 1"/>
    <w:basedOn w:val="Normln"/>
    <w:next w:val="Nadpis2"/>
    <w:link w:val="Nadpis1Char"/>
    <w:uiPriority w:val="99"/>
    <w:qFormat/>
    <w:rsid w:val="00AC5170"/>
    <w:pPr>
      <w:keepNext/>
      <w:numPr>
        <w:numId w:val="64"/>
      </w:numPr>
      <w:spacing w:before="360" w:after="60"/>
      <w:outlineLvl w:val="0"/>
    </w:pPr>
    <w:rPr>
      <w:rFonts w:cs="Arial"/>
      <w:b/>
      <w:bCs/>
      <w:kern w:val="32"/>
      <w:sz w:val="28"/>
      <w:szCs w:val="32"/>
    </w:rPr>
  </w:style>
  <w:style w:type="paragraph" w:styleId="Nadpis2">
    <w:name w:val="heading 2"/>
    <w:aliases w:val="Heading 2 Firm,Heading 2 Firm1"/>
    <w:basedOn w:val="Nadpis1"/>
    <w:link w:val="Nadpis2Char"/>
    <w:uiPriority w:val="99"/>
    <w:unhideWhenUsed/>
    <w:qFormat/>
    <w:rsid w:val="00C67383"/>
    <w:pPr>
      <w:numPr>
        <w:ilvl w:val="1"/>
      </w:numPr>
      <w:spacing w:before="240"/>
      <w:ind w:left="578" w:hanging="578"/>
      <w:outlineLvl w:val="1"/>
    </w:pPr>
    <w:rPr>
      <w:bCs w:val="0"/>
      <w:iCs/>
      <w:sz w:val="24"/>
      <w:szCs w:val="28"/>
    </w:rPr>
  </w:style>
  <w:style w:type="paragraph" w:styleId="Nadpis3">
    <w:name w:val="heading 3"/>
    <w:basedOn w:val="Normln"/>
    <w:next w:val="Normln"/>
    <w:link w:val="Nadpis3Char"/>
    <w:uiPriority w:val="99"/>
    <w:unhideWhenUsed/>
    <w:qFormat/>
    <w:rsid w:val="00C67383"/>
    <w:pPr>
      <w:keepNext/>
      <w:numPr>
        <w:ilvl w:val="2"/>
        <w:numId w:val="64"/>
      </w:numPr>
      <w:spacing w:before="120" w:after="60"/>
      <w:outlineLvl w:val="2"/>
    </w:pPr>
    <w:rPr>
      <w:rFonts w:cs="Arial"/>
      <w:b/>
      <w:bCs/>
      <w:i/>
      <w:szCs w:val="26"/>
    </w:rPr>
  </w:style>
  <w:style w:type="paragraph" w:styleId="Nadpis4">
    <w:name w:val="heading 4"/>
    <w:basedOn w:val="Normln"/>
    <w:next w:val="Normln"/>
    <w:link w:val="Nadpis4Char"/>
    <w:uiPriority w:val="99"/>
    <w:unhideWhenUsed/>
    <w:rsid w:val="00BE2B5F"/>
    <w:pPr>
      <w:keepNext/>
      <w:numPr>
        <w:ilvl w:val="3"/>
        <w:numId w:val="64"/>
      </w:numPr>
      <w:spacing w:before="240" w:after="60"/>
      <w:outlineLvl w:val="3"/>
    </w:pPr>
    <w:rPr>
      <w:bCs/>
      <w:sz w:val="28"/>
      <w:szCs w:val="28"/>
    </w:rPr>
  </w:style>
  <w:style w:type="paragraph" w:styleId="Nadpis5">
    <w:name w:val="heading 5"/>
    <w:basedOn w:val="Normln"/>
    <w:next w:val="Normln"/>
    <w:link w:val="Nadpis5Char"/>
    <w:uiPriority w:val="99"/>
    <w:unhideWhenUsed/>
    <w:rsid w:val="00BE2B5F"/>
    <w:pPr>
      <w:numPr>
        <w:ilvl w:val="4"/>
        <w:numId w:val="64"/>
      </w:numPr>
      <w:spacing w:before="240" w:after="60"/>
      <w:outlineLvl w:val="4"/>
    </w:pPr>
    <w:rPr>
      <w:bCs/>
      <w:i/>
      <w:iCs/>
      <w:sz w:val="26"/>
      <w:szCs w:val="26"/>
    </w:rPr>
  </w:style>
  <w:style w:type="paragraph" w:styleId="Nadpis6">
    <w:name w:val="heading 6"/>
    <w:basedOn w:val="Normln"/>
    <w:next w:val="Normln"/>
    <w:link w:val="Nadpis6Char"/>
    <w:uiPriority w:val="9"/>
    <w:unhideWhenUsed/>
    <w:rsid w:val="00BE2B5F"/>
    <w:pPr>
      <w:numPr>
        <w:ilvl w:val="5"/>
        <w:numId w:val="64"/>
      </w:numPr>
      <w:spacing w:before="240" w:after="60"/>
      <w:outlineLvl w:val="5"/>
    </w:pPr>
    <w:rPr>
      <w:bCs/>
      <w:szCs w:val="22"/>
    </w:rPr>
  </w:style>
  <w:style w:type="paragraph" w:styleId="Nadpis7">
    <w:name w:val="heading 7"/>
    <w:basedOn w:val="Normln"/>
    <w:next w:val="Normln"/>
    <w:link w:val="Nadpis7Char"/>
    <w:uiPriority w:val="9"/>
    <w:unhideWhenUsed/>
    <w:rsid w:val="00BE2B5F"/>
    <w:pPr>
      <w:numPr>
        <w:ilvl w:val="6"/>
        <w:numId w:val="64"/>
      </w:numPr>
      <w:spacing w:before="240" w:after="60"/>
      <w:outlineLvl w:val="6"/>
    </w:pPr>
  </w:style>
  <w:style w:type="paragraph" w:styleId="Nadpis8">
    <w:name w:val="heading 8"/>
    <w:basedOn w:val="Normln"/>
    <w:next w:val="Normln"/>
    <w:link w:val="Nadpis8Char"/>
    <w:uiPriority w:val="9"/>
    <w:unhideWhenUsed/>
    <w:rsid w:val="00BE2B5F"/>
    <w:pPr>
      <w:numPr>
        <w:ilvl w:val="7"/>
        <w:numId w:val="64"/>
      </w:numPr>
      <w:spacing w:before="240" w:after="60"/>
      <w:outlineLvl w:val="7"/>
    </w:pPr>
    <w:rPr>
      <w:i/>
      <w:iCs/>
    </w:rPr>
  </w:style>
  <w:style w:type="paragraph" w:styleId="Nadpis9">
    <w:name w:val="heading 9"/>
    <w:basedOn w:val="Normln"/>
    <w:next w:val="Normln"/>
    <w:link w:val="Nadpis9Char"/>
    <w:uiPriority w:val="9"/>
    <w:unhideWhenUsed/>
    <w:rsid w:val="00BE2B5F"/>
    <w:pPr>
      <w:numPr>
        <w:ilvl w:val="8"/>
        <w:numId w:val="64"/>
      </w:numPr>
      <w:spacing w:before="240" w:after="60"/>
      <w:outlineLvl w:val="8"/>
    </w:pPr>
    <w:rPr>
      <w:rFonts w:ascii="Cambria" w:hAnsi="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aliases w:val="Heading 2 Firm Char,Heading 2 Firm1 Char"/>
    <w:basedOn w:val="Standardnpsmoodstavce"/>
    <w:link w:val="Nadpis2"/>
    <w:uiPriority w:val="99"/>
    <w:rsid w:val="00C67383"/>
    <w:rPr>
      <w:rFonts w:ascii="Times New Roman" w:hAnsi="Times New Roman" w:cs="Arial"/>
      <w:b/>
      <w:iCs/>
      <w:noProof/>
      <w:kern w:val="32"/>
      <w:sz w:val="24"/>
      <w:szCs w:val="28"/>
      <w:lang w:eastAsia="en-US" w:bidi="en-US"/>
    </w:rPr>
  </w:style>
  <w:style w:type="character" w:customStyle="1" w:styleId="Nadpis1Char">
    <w:name w:val="Nadpis 1 Char"/>
    <w:basedOn w:val="Standardnpsmoodstavce"/>
    <w:link w:val="Nadpis1"/>
    <w:uiPriority w:val="99"/>
    <w:rsid w:val="00AC5170"/>
    <w:rPr>
      <w:rFonts w:ascii="Times New Roman" w:hAnsi="Times New Roman" w:cs="Arial"/>
      <w:b/>
      <w:bCs/>
      <w:noProof/>
      <w:kern w:val="32"/>
      <w:sz w:val="28"/>
      <w:szCs w:val="32"/>
      <w:lang w:eastAsia="en-US" w:bidi="en-US"/>
    </w:rPr>
  </w:style>
  <w:style w:type="character" w:customStyle="1" w:styleId="Nadpis3Char">
    <w:name w:val="Nadpis 3 Char"/>
    <w:basedOn w:val="Standardnpsmoodstavce"/>
    <w:link w:val="Nadpis3"/>
    <w:uiPriority w:val="99"/>
    <w:rsid w:val="00C67383"/>
    <w:rPr>
      <w:rFonts w:ascii="Times New Roman" w:hAnsi="Times New Roman" w:cs="Arial"/>
      <w:b/>
      <w:bCs/>
      <w:i/>
      <w:noProof/>
      <w:sz w:val="24"/>
      <w:szCs w:val="26"/>
      <w:lang w:eastAsia="en-US" w:bidi="en-US"/>
    </w:rPr>
  </w:style>
  <w:style w:type="character" w:customStyle="1" w:styleId="Nadpis4Char">
    <w:name w:val="Nadpis 4 Char"/>
    <w:basedOn w:val="Standardnpsmoodstavce"/>
    <w:link w:val="Nadpis4"/>
    <w:uiPriority w:val="99"/>
    <w:rsid w:val="00BE2B5F"/>
    <w:rPr>
      <w:rFonts w:ascii="Times New Roman" w:hAnsi="Times New Roman"/>
      <w:bCs/>
      <w:noProof/>
      <w:sz w:val="28"/>
      <w:szCs w:val="28"/>
      <w:lang w:eastAsia="en-US" w:bidi="en-US"/>
    </w:rPr>
  </w:style>
  <w:style w:type="character" w:customStyle="1" w:styleId="Nadpis5Char">
    <w:name w:val="Nadpis 5 Char"/>
    <w:basedOn w:val="Standardnpsmoodstavce"/>
    <w:link w:val="Nadpis5"/>
    <w:uiPriority w:val="99"/>
    <w:rsid w:val="00BE2B5F"/>
    <w:rPr>
      <w:rFonts w:ascii="Times New Roman" w:hAnsi="Times New Roman"/>
      <w:bCs/>
      <w:i/>
      <w:iCs/>
      <w:noProof/>
      <w:sz w:val="26"/>
      <w:szCs w:val="26"/>
      <w:lang w:eastAsia="en-US" w:bidi="en-US"/>
    </w:rPr>
  </w:style>
  <w:style w:type="character" w:customStyle="1" w:styleId="Nadpis6Char">
    <w:name w:val="Nadpis 6 Char"/>
    <w:basedOn w:val="Standardnpsmoodstavce"/>
    <w:link w:val="Nadpis6"/>
    <w:uiPriority w:val="9"/>
    <w:rsid w:val="00BE2B5F"/>
    <w:rPr>
      <w:rFonts w:ascii="Times New Roman" w:hAnsi="Times New Roman"/>
      <w:bCs/>
      <w:noProof/>
      <w:sz w:val="24"/>
      <w:szCs w:val="22"/>
      <w:lang w:eastAsia="en-US" w:bidi="en-US"/>
    </w:rPr>
  </w:style>
  <w:style w:type="character" w:customStyle="1" w:styleId="Nadpis7Char">
    <w:name w:val="Nadpis 7 Char"/>
    <w:basedOn w:val="Standardnpsmoodstavce"/>
    <w:link w:val="Nadpis7"/>
    <w:uiPriority w:val="9"/>
    <w:rsid w:val="00BE2B5F"/>
    <w:rPr>
      <w:rFonts w:ascii="Times New Roman" w:hAnsi="Times New Roman"/>
      <w:noProof/>
      <w:sz w:val="24"/>
      <w:szCs w:val="24"/>
      <w:lang w:eastAsia="en-US" w:bidi="en-US"/>
    </w:rPr>
  </w:style>
  <w:style w:type="character" w:customStyle="1" w:styleId="Nadpis8Char">
    <w:name w:val="Nadpis 8 Char"/>
    <w:basedOn w:val="Standardnpsmoodstavce"/>
    <w:link w:val="Nadpis8"/>
    <w:uiPriority w:val="9"/>
    <w:rsid w:val="00BE2B5F"/>
    <w:rPr>
      <w:rFonts w:ascii="Times New Roman" w:hAnsi="Times New Roman"/>
      <w:i/>
      <w:iCs/>
      <w:noProof/>
      <w:sz w:val="24"/>
      <w:szCs w:val="24"/>
      <w:lang w:eastAsia="en-US" w:bidi="en-US"/>
    </w:rPr>
  </w:style>
  <w:style w:type="character" w:customStyle="1" w:styleId="Nadpis9Char">
    <w:name w:val="Nadpis 9 Char"/>
    <w:basedOn w:val="Standardnpsmoodstavce"/>
    <w:link w:val="Nadpis9"/>
    <w:uiPriority w:val="9"/>
    <w:rsid w:val="00BE2B5F"/>
    <w:rPr>
      <w:rFonts w:ascii="Cambria" w:hAnsi="Cambria"/>
      <w:noProof/>
      <w:sz w:val="24"/>
      <w:szCs w:val="22"/>
      <w:lang w:eastAsia="en-US" w:bidi="en-US"/>
    </w:rPr>
  </w:style>
  <w:style w:type="character" w:styleId="Zvraznn">
    <w:name w:val="Emphasis"/>
    <w:basedOn w:val="Standardnpsmoodstavce"/>
    <w:uiPriority w:val="20"/>
    <w:qFormat/>
    <w:rsid w:val="007E7FD0"/>
    <w:rPr>
      <w:rFonts w:ascii="Arial" w:hAnsi="Arial"/>
      <w:b/>
      <w:i/>
      <w:iCs/>
      <w:sz w:val="22"/>
    </w:rPr>
  </w:style>
  <w:style w:type="paragraph" w:styleId="Titulek">
    <w:name w:val="caption"/>
    <w:basedOn w:val="Normln"/>
    <w:next w:val="Normln"/>
    <w:link w:val="TitulekChar"/>
    <w:uiPriority w:val="99"/>
    <w:unhideWhenUsed/>
    <w:qFormat/>
    <w:rsid w:val="00743CDF"/>
    <w:pPr>
      <w:keepNext/>
      <w:spacing w:before="240"/>
      <w:contextualSpacing/>
    </w:pPr>
    <w:rPr>
      <w:b/>
      <w:spacing w:val="10"/>
      <w:sz w:val="18"/>
      <w:szCs w:val="18"/>
    </w:rPr>
  </w:style>
  <w:style w:type="paragraph" w:styleId="Nzev">
    <w:name w:val="Title"/>
    <w:basedOn w:val="Normln"/>
    <w:next w:val="Normln"/>
    <w:link w:val="NzevChar"/>
    <w:uiPriority w:val="10"/>
    <w:qFormat/>
    <w:rsid w:val="009F6DCD"/>
    <w:pPr>
      <w:spacing w:before="240" w:after="60"/>
      <w:jc w:val="center"/>
      <w:outlineLvl w:val="0"/>
    </w:pPr>
    <w:rPr>
      <w:b/>
      <w:bCs/>
      <w:kern w:val="28"/>
      <w:sz w:val="32"/>
      <w:szCs w:val="32"/>
    </w:rPr>
  </w:style>
  <w:style w:type="character" w:customStyle="1" w:styleId="NzevChar">
    <w:name w:val="Název Char"/>
    <w:basedOn w:val="Standardnpsmoodstavce"/>
    <w:link w:val="Nzev"/>
    <w:uiPriority w:val="10"/>
    <w:rsid w:val="009F6DCD"/>
    <w:rPr>
      <w:rFonts w:ascii="Times New Roman" w:hAnsi="Times New Roman"/>
      <w:b/>
      <w:bCs/>
      <w:noProof/>
      <w:kern w:val="28"/>
      <w:sz w:val="32"/>
      <w:szCs w:val="32"/>
      <w:lang w:eastAsia="en-US" w:bidi="en-US"/>
    </w:rPr>
  </w:style>
  <w:style w:type="paragraph" w:styleId="Podtitul">
    <w:name w:val="Subtitle"/>
    <w:basedOn w:val="Normln"/>
    <w:next w:val="Normln"/>
    <w:link w:val="PodtitulChar"/>
    <w:uiPriority w:val="11"/>
    <w:rsid w:val="00BE2B5F"/>
    <w:pPr>
      <w:spacing w:after="60"/>
      <w:jc w:val="center"/>
      <w:outlineLvl w:val="1"/>
    </w:pPr>
    <w:rPr>
      <w:rFonts w:ascii="Cambria" w:hAnsi="Cambria"/>
    </w:rPr>
  </w:style>
  <w:style w:type="character" w:customStyle="1" w:styleId="PodtitulChar">
    <w:name w:val="Podtitul Char"/>
    <w:basedOn w:val="Standardnpsmoodstavce"/>
    <w:link w:val="Podtitul"/>
    <w:uiPriority w:val="11"/>
    <w:rsid w:val="00BE2B5F"/>
    <w:rPr>
      <w:rFonts w:ascii="Cambria" w:hAnsi="Cambria"/>
      <w:noProof/>
      <w:sz w:val="22"/>
      <w:szCs w:val="24"/>
      <w:lang w:eastAsia="en-US" w:bidi="en-US"/>
    </w:rPr>
  </w:style>
  <w:style w:type="character" w:styleId="Siln">
    <w:name w:val="Strong"/>
    <w:basedOn w:val="Standardnpsmoodstavce"/>
    <w:uiPriority w:val="22"/>
    <w:rsid w:val="00BE2B5F"/>
    <w:rPr>
      <w:b/>
      <w:bCs/>
    </w:rPr>
  </w:style>
  <w:style w:type="paragraph" w:styleId="Bezmezer">
    <w:name w:val="No Spacing"/>
    <w:basedOn w:val="Normln"/>
    <w:link w:val="BezmezerChar"/>
    <w:uiPriority w:val="1"/>
    <w:rsid w:val="00BE2B5F"/>
    <w:rPr>
      <w:szCs w:val="32"/>
    </w:rPr>
  </w:style>
  <w:style w:type="character" w:customStyle="1" w:styleId="BezmezerChar">
    <w:name w:val="Bez mezer Char"/>
    <w:basedOn w:val="Standardnpsmoodstavce"/>
    <w:link w:val="Bezmezer"/>
    <w:uiPriority w:val="1"/>
    <w:rsid w:val="00BE2B5F"/>
    <w:rPr>
      <w:sz w:val="24"/>
      <w:szCs w:val="32"/>
    </w:rPr>
  </w:style>
  <w:style w:type="paragraph" w:styleId="Odstavecseseznamem">
    <w:name w:val="List Paragraph"/>
    <w:basedOn w:val="Normln"/>
    <w:link w:val="OdstavecseseznamemChar"/>
    <w:uiPriority w:val="34"/>
    <w:qFormat/>
    <w:rsid w:val="00BE2B5F"/>
    <w:pPr>
      <w:ind w:left="720"/>
      <w:contextualSpacing/>
    </w:pPr>
  </w:style>
  <w:style w:type="character" w:customStyle="1" w:styleId="OdstavecseseznamemChar">
    <w:name w:val="Odstavec se seznamem Char"/>
    <w:basedOn w:val="Standardnpsmoodstavce"/>
    <w:link w:val="Odstavecseseznamem"/>
    <w:uiPriority w:val="99"/>
    <w:rsid w:val="000C329D"/>
    <w:rPr>
      <w:rFonts w:ascii="Times New Roman" w:hAnsi="Times New Roman"/>
      <w:noProof/>
      <w:sz w:val="24"/>
      <w:szCs w:val="24"/>
      <w:lang w:val="cs-CZ"/>
    </w:rPr>
  </w:style>
  <w:style w:type="paragraph" w:customStyle="1" w:styleId="Citace1">
    <w:name w:val="Citace1"/>
    <w:basedOn w:val="Normln"/>
    <w:next w:val="Normln"/>
    <w:link w:val="CitaceChar"/>
    <w:uiPriority w:val="29"/>
    <w:rsid w:val="00BE2B5F"/>
    <w:rPr>
      <w:i/>
    </w:rPr>
  </w:style>
  <w:style w:type="character" w:customStyle="1" w:styleId="CitaceChar">
    <w:name w:val="Citace Char"/>
    <w:basedOn w:val="Standardnpsmoodstavce"/>
    <w:link w:val="Citace1"/>
    <w:uiPriority w:val="29"/>
    <w:rsid w:val="00BE2B5F"/>
    <w:rPr>
      <w:i/>
      <w:sz w:val="24"/>
      <w:szCs w:val="24"/>
    </w:rPr>
  </w:style>
  <w:style w:type="paragraph" w:customStyle="1" w:styleId="Citaceintenzivn1">
    <w:name w:val="Citace – intenzivní1"/>
    <w:basedOn w:val="Normln"/>
    <w:next w:val="Normln"/>
    <w:link w:val="CitaceintenzivnChar"/>
    <w:uiPriority w:val="30"/>
    <w:rsid w:val="00BE2B5F"/>
    <w:pPr>
      <w:ind w:left="720" w:right="720"/>
    </w:pPr>
    <w:rPr>
      <w:i/>
      <w:szCs w:val="22"/>
    </w:rPr>
  </w:style>
  <w:style w:type="character" w:customStyle="1" w:styleId="CitaceintenzivnChar">
    <w:name w:val="Citace – intenzivní Char"/>
    <w:basedOn w:val="Standardnpsmoodstavce"/>
    <w:link w:val="Citaceintenzivn1"/>
    <w:uiPriority w:val="30"/>
    <w:rsid w:val="00BE2B5F"/>
    <w:rPr>
      <w:b/>
      <w:i/>
      <w:sz w:val="24"/>
    </w:rPr>
  </w:style>
  <w:style w:type="character" w:styleId="Zdraznnjemn">
    <w:name w:val="Subtle Emphasis"/>
    <w:uiPriority w:val="99"/>
    <w:rsid w:val="00BE2B5F"/>
    <w:rPr>
      <w:i/>
      <w:color w:val="5A5A5A"/>
    </w:rPr>
  </w:style>
  <w:style w:type="character" w:styleId="Zdraznnintenzivn">
    <w:name w:val="Intense Emphasis"/>
    <w:basedOn w:val="Standardnpsmoodstavce"/>
    <w:uiPriority w:val="21"/>
    <w:rsid w:val="00BE2B5F"/>
    <w:rPr>
      <w:b/>
      <w:i/>
      <w:sz w:val="24"/>
      <w:szCs w:val="24"/>
      <w:u w:val="single"/>
    </w:rPr>
  </w:style>
  <w:style w:type="character" w:styleId="Odkazjemn">
    <w:name w:val="Subtle Reference"/>
    <w:basedOn w:val="Standardnpsmoodstavce"/>
    <w:uiPriority w:val="99"/>
    <w:rsid w:val="00BE2B5F"/>
    <w:rPr>
      <w:sz w:val="24"/>
      <w:szCs w:val="24"/>
      <w:u w:val="single"/>
    </w:rPr>
  </w:style>
  <w:style w:type="character" w:styleId="Odkazintenzivn">
    <w:name w:val="Intense Reference"/>
    <w:basedOn w:val="Standardnpsmoodstavce"/>
    <w:uiPriority w:val="99"/>
    <w:rsid w:val="00BE2B5F"/>
    <w:rPr>
      <w:b/>
      <w:sz w:val="24"/>
      <w:u w:val="single"/>
    </w:rPr>
  </w:style>
  <w:style w:type="character" w:styleId="Nzevknihy">
    <w:name w:val="Book Title"/>
    <w:basedOn w:val="Standardnpsmoodstavce"/>
    <w:uiPriority w:val="33"/>
    <w:rsid w:val="00BE2B5F"/>
    <w:rPr>
      <w:rFonts w:ascii="Cambria" w:eastAsia="Times New Roman" w:hAnsi="Cambria"/>
      <w:b/>
      <w:i/>
      <w:sz w:val="24"/>
      <w:szCs w:val="24"/>
    </w:rPr>
  </w:style>
  <w:style w:type="paragraph" w:styleId="Nadpisobsahu">
    <w:name w:val="TOC Heading"/>
    <w:basedOn w:val="Nadpis1"/>
    <w:next w:val="Normln"/>
    <w:uiPriority w:val="39"/>
    <w:unhideWhenUsed/>
    <w:qFormat/>
    <w:rsid w:val="00BE2B5F"/>
    <w:pPr>
      <w:outlineLvl w:val="9"/>
    </w:pPr>
  </w:style>
  <w:style w:type="character" w:styleId="Odkaznakoment">
    <w:name w:val="annotation reference"/>
    <w:aliases w:val="Značka poznámky"/>
    <w:basedOn w:val="Standardnpsmoodstavce"/>
    <w:uiPriority w:val="99"/>
    <w:unhideWhenUsed/>
    <w:rsid w:val="003C1EA7"/>
    <w:rPr>
      <w:sz w:val="16"/>
      <w:szCs w:val="16"/>
    </w:rPr>
  </w:style>
  <w:style w:type="paragraph" w:styleId="Textkomente">
    <w:name w:val="annotation text"/>
    <w:aliases w:val="Text poznámky"/>
    <w:basedOn w:val="Normln"/>
    <w:link w:val="TextkomenteChar"/>
    <w:uiPriority w:val="99"/>
    <w:unhideWhenUsed/>
    <w:rsid w:val="003C1EA7"/>
    <w:rPr>
      <w:sz w:val="20"/>
      <w:szCs w:val="20"/>
    </w:rPr>
  </w:style>
  <w:style w:type="character" w:customStyle="1" w:styleId="TextkomenteChar">
    <w:name w:val="Text komentáře Char"/>
    <w:aliases w:val="Text poznámky Char"/>
    <w:basedOn w:val="Standardnpsmoodstavce"/>
    <w:link w:val="Textkomente"/>
    <w:uiPriority w:val="99"/>
    <w:rsid w:val="003C1EA7"/>
    <w:rPr>
      <w:rFonts w:ascii="Times New Roman" w:hAnsi="Times New Roman"/>
      <w:b/>
      <w:sz w:val="20"/>
      <w:szCs w:val="20"/>
    </w:rPr>
  </w:style>
  <w:style w:type="paragraph" w:styleId="Pedmtkomente">
    <w:name w:val="annotation subject"/>
    <w:basedOn w:val="Textkomente"/>
    <w:next w:val="Textkomente"/>
    <w:link w:val="PedmtkomenteChar"/>
    <w:uiPriority w:val="99"/>
    <w:semiHidden/>
    <w:unhideWhenUsed/>
    <w:rsid w:val="003C1EA7"/>
    <w:rPr>
      <w:bCs/>
    </w:rPr>
  </w:style>
  <w:style w:type="character" w:customStyle="1" w:styleId="PedmtkomenteChar">
    <w:name w:val="Předmět komentáře Char"/>
    <w:basedOn w:val="TextkomenteChar"/>
    <w:link w:val="Pedmtkomente"/>
    <w:uiPriority w:val="99"/>
    <w:semiHidden/>
    <w:rsid w:val="003C1EA7"/>
    <w:rPr>
      <w:rFonts w:ascii="Times New Roman" w:hAnsi="Times New Roman"/>
      <w:b w:val="0"/>
      <w:bCs/>
      <w:sz w:val="20"/>
      <w:szCs w:val="20"/>
    </w:rPr>
  </w:style>
  <w:style w:type="paragraph" w:styleId="Textbubliny">
    <w:name w:val="Balloon Text"/>
    <w:basedOn w:val="Normln"/>
    <w:link w:val="TextbublinyChar"/>
    <w:uiPriority w:val="99"/>
    <w:unhideWhenUsed/>
    <w:rsid w:val="003C1EA7"/>
    <w:rPr>
      <w:rFonts w:ascii="Tahoma" w:hAnsi="Tahoma" w:cs="Tahoma"/>
      <w:sz w:val="16"/>
      <w:szCs w:val="16"/>
    </w:rPr>
  </w:style>
  <w:style w:type="character" w:customStyle="1" w:styleId="TextbublinyChar">
    <w:name w:val="Text bubliny Char"/>
    <w:basedOn w:val="Standardnpsmoodstavce"/>
    <w:link w:val="Textbubliny"/>
    <w:uiPriority w:val="99"/>
    <w:semiHidden/>
    <w:rsid w:val="003C1EA7"/>
    <w:rPr>
      <w:rFonts w:ascii="Tahoma" w:hAnsi="Tahoma" w:cs="Tahoma"/>
      <w:b/>
      <w:sz w:val="16"/>
      <w:szCs w:val="16"/>
    </w:rPr>
  </w:style>
  <w:style w:type="paragraph" w:styleId="Zhlav">
    <w:name w:val="header"/>
    <w:basedOn w:val="Normln"/>
    <w:link w:val="ZhlavChar"/>
    <w:uiPriority w:val="99"/>
    <w:unhideWhenUsed/>
    <w:rsid w:val="00DF00F7"/>
    <w:pPr>
      <w:tabs>
        <w:tab w:val="center" w:pos="4536"/>
        <w:tab w:val="right" w:pos="9072"/>
      </w:tabs>
      <w:spacing w:line="240" w:lineRule="auto"/>
    </w:pPr>
  </w:style>
  <w:style w:type="character" w:customStyle="1" w:styleId="ZhlavChar">
    <w:name w:val="Záhlaví Char"/>
    <w:basedOn w:val="Standardnpsmoodstavce"/>
    <w:link w:val="Zhlav"/>
    <w:uiPriority w:val="99"/>
    <w:rsid w:val="00DF00F7"/>
    <w:rPr>
      <w:rFonts w:ascii="Times New Roman" w:hAnsi="Times New Roman"/>
      <w:sz w:val="24"/>
      <w:szCs w:val="24"/>
    </w:rPr>
  </w:style>
  <w:style w:type="paragraph" w:styleId="Zpat">
    <w:name w:val="footer"/>
    <w:basedOn w:val="Normln"/>
    <w:link w:val="ZpatChar"/>
    <w:uiPriority w:val="99"/>
    <w:unhideWhenUsed/>
    <w:rsid w:val="00DF00F7"/>
    <w:pPr>
      <w:tabs>
        <w:tab w:val="center" w:pos="4536"/>
        <w:tab w:val="right" w:pos="9072"/>
      </w:tabs>
      <w:spacing w:line="240" w:lineRule="auto"/>
    </w:pPr>
  </w:style>
  <w:style w:type="character" w:customStyle="1" w:styleId="ZpatChar">
    <w:name w:val="Zápatí Char"/>
    <w:basedOn w:val="Standardnpsmoodstavce"/>
    <w:link w:val="Zpat"/>
    <w:uiPriority w:val="99"/>
    <w:rsid w:val="00DF00F7"/>
    <w:rPr>
      <w:rFonts w:ascii="Times New Roman" w:hAnsi="Times New Roman"/>
      <w:sz w:val="24"/>
      <w:szCs w:val="24"/>
    </w:rPr>
  </w:style>
  <w:style w:type="paragraph" w:customStyle="1" w:styleId="Normln-tun">
    <w:name w:val="Normální - tučné"/>
    <w:basedOn w:val="Normln"/>
    <w:uiPriority w:val="99"/>
    <w:qFormat/>
    <w:rsid w:val="008C2A42"/>
    <w:pPr>
      <w:keepNext/>
      <w:spacing w:before="240" w:after="120"/>
    </w:pPr>
    <w:rPr>
      <w:b/>
      <w:szCs w:val="22"/>
    </w:rPr>
  </w:style>
  <w:style w:type="paragraph" w:customStyle="1" w:styleId="Zkon-podkapitola">
    <w:name w:val="Zákon-podkapitola"/>
    <w:basedOn w:val="Normln"/>
    <w:uiPriority w:val="99"/>
    <w:rsid w:val="00153E74"/>
    <w:pPr>
      <w:tabs>
        <w:tab w:val="num" w:pos="-180"/>
      </w:tabs>
      <w:spacing w:line="240" w:lineRule="auto"/>
      <w:ind w:left="-180" w:right="-648" w:hanging="360"/>
      <w:contextualSpacing/>
    </w:pPr>
    <w:rPr>
      <w:rFonts w:cs="Arial"/>
      <w:szCs w:val="18"/>
      <w:lang w:eastAsia="cs-CZ" w:bidi="ar-SA"/>
    </w:rPr>
  </w:style>
  <w:style w:type="paragraph" w:styleId="Revize">
    <w:name w:val="Revision"/>
    <w:hidden/>
    <w:uiPriority w:val="99"/>
    <w:semiHidden/>
    <w:rsid w:val="002471FC"/>
    <w:rPr>
      <w:rFonts w:ascii="Times New Roman" w:hAnsi="Times New Roman"/>
      <w:noProof/>
      <w:sz w:val="24"/>
      <w:szCs w:val="24"/>
      <w:lang w:eastAsia="en-US" w:bidi="en-US"/>
    </w:rPr>
  </w:style>
  <w:style w:type="paragraph" w:styleId="Normlnweb">
    <w:name w:val="Normal (Web)"/>
    <w:basedOn w:val="Normln"/>
    <w:link w:val="NormlnwebChar"/>
    <w:uiPriority w:val="99"/>
    <w:unhideWhenUsed/>
    <w:rsid w:val="00BB3D11"/>
    <w:pPr>
      <w:spacing w:before="100" w:beforeAutospacing="1" w:after="100" w:afterAutospacing="1" w:line="240" w:lineRule="auto"/>
      <w:jc w:val="left"/>
    </w:pPr>
    <w:rPr>
      <w:noProof w:val="0"/>
      <w:lang w:eastAsia="cs-CZ" w:bidi="ar-SA"/>
    </w:rPr>
  </w:style>
  <w:style w:type="character" w:styleId="Hypertextovodkaz">
    <w:name w:val="Hyperlink"/>
    <w:basedOn w:val="Standardnpsmoodstavce"/>
    <w:uiPriority w:val="99"/>
    <w:unhideWhenUsed/>
    <w:rsid w:val="00BB3D11"/>
    <w:rPr>
      <w:color w:val="0000FF"/>
      <w:u w:val="single"/>
    </w:rPr>
  </w:style>
  <w:style w:type="paragraph" w:styleId="Citt">
    <w:name w:val="Quote"/>
    <w:basedOn w:val="Normln"/>
    <w:next w:val="Normln"/>
    <w:link w:val="CittChar"/>
    <w:uiPriority w:val="29"/>
    <w:rsid w:val="00324860"/>
    <w:rPr>
      <w:i/>
      <w:iCs/>
      <w:noProof w:val="0"/>
      <w:lang w:bidi="ar-SA"/>
    </w:rPr>
  </w:style>
  <w:style w:type="character" w:customStyle="1" w:styleId="CittChar">
    <w:name w:val="Citát Char"/>
    <w:basedOn w:val="Standardnpsmoodstavce"/>
    <w:link w:val="Citt"/>
    <w:uiPriority w:val="29"/>
    <w:rsid w:val="00324860"/>
    <w:rPr>
      <w:rFonts w:ascii="Times New Roman" w:hAnsi="Times New Roman"/>
      <w:i/>
      <w:iCs/>
      <w:sz w:val="24"/>
      <w:szCs w:val="24"/>
      <w:lang w:eastAsia="en-US"/>
    </w:rPr>
  </w:style>
  <w:style w:type="paragraph" w:styleId="Vrazncitt">
    <w:name w:val="Intense Quote"/>
    <w:basedOn w:val="Normln"/>
    <w:next w:val="Normln"/>
    <w:link w:val="VrazncittChar"/>
    <w:uiPriority w:val="99"/>
    <w:rsid w:val="00324860"/>
    <w:pPr>
      <w:ind w:left="720" w:right="720"/>
    </w:pPr>
    <w:rPr>
      <w:i/>
      <w:iCs/>
      <w:noProof w:val="0"/>
      <w:lang w:bidi="ar-SA"/>
    </w:rPr>
  </w:style>
  <w:style w:type="character" w:customStyle="1" w:styleId="VrazncittChar">
    <w:name w:val="Výrazný citát Char"/>
    <w:basedOn w:val="Standardnpsmoodstavce"/>
    <w:link w:val="Vrazncitt"/>
    <w:uiPriority w:val="99"/>
    <w:rsid w:val="00324860"/>
    <w:rPr>
      <w:rFonts w:ascii="Times New Roman" w:hAnsi="Times New Roman"/>
      <w:i/>
      <w:iCs/>
      <w:sz w:val="24"/>
      <w:szCs w:val="24"/>
      <w:lang w:eastAsia="en-US"/>
    </w:rPr>
  </w:style>
  <w:style w:type="paragraph" w:customStyle="1" w:styleId="Styl-NormlnsodrkouVlevo189cmPedsazen063cm">
    <w:name w:val="Styl - Normální s odrážkou + Vlevo:  189 cm Předsazení:  063 cm"/>
    <w:basedOn w:val="Normln"/>
    <w:uiPriority w:val="99"/>
    <w:rsid w:val="00324860"/>
    <w:pPr>
      <w:numPr>
        <w:numId w:val="29"/>
      </w:numPr>
    </w:pPr>
    <w:rPr>
      <w:noProof w:val="0"/>
      <w:lang w:bidi="ar-SA"/>
    </w:rPr>
  </w:style>
  <w:style w:type="character" w:customStyle="1" w:styleId="st">
    <w:name w:val="st"/>
    <w:basedOn w:val="Standardnpsmoodstavce"/>
    <w:rsid w:val="00324860"/>
  </w:style>
  <w:style w:type="paragraph" w:customStyle="1" w:styleId="Quote1">
    <w:name w:val="Quote1"/>
    <w:basedOn w:val="Normln"/>
    <w:next w:val="Normln"/>
    <w:link w:val="QuoteChar"/>
    <w:rsid w:val="003C2085"/>
    <w:pPr>
      <w:spacing w:line="240" w:lineRule="auto"/>
    </w:pPr>
    <w:rPr>
      <w:rFonts w:ascii="Garamond" w:hAnsi="Garamond"/>
      <w:i/>
      <w:iCs/>
      <w:noProof w:val="0"/>
      <w:color w:val="000000"/>
      <w:sz w:val="20"/>
      <w:szCs w:val="20"/>
      <w:lang w:eastAsia="cs-CZ" w:bidi="ar-SA"/>
    </w:rPr>
  </w:style>
  <w:style w:type="character" w:customStyle="1" w:styleId="QuoteChar">
    <w:name w:val="Quote Char"/>
    <w:link w:val="Quote1"/>
    <w:locked/>
    <w:rsid w:val="003C2085"/>
    <w:rPr>
      <w:rFonts w:ascii="Garamond" w:hAnsi="Garamond"/>
      <w:i/>
      <w:iCs/>
      <w:color w:val="000000"/>
    </w:rPr>
  </w:style>
  <w:style w:type="paragraph" w:customStyle="1" w:styleId="Text-Normaln">
    <w:name w:val="Text - Normalní"/>
    <w:basedOn w:val="Normln"/>
    <w:link w:val="Text-NormalnChar"/>
    <w:rsid w:val="003C2085"/>
    <w:pPr>
      <w:spacing w:before="120" w:after="120" w:line="240" w:lineRule="auto"/>
    </w:pPr>
    <w:rPr>
      <w:rFonts w:ascii="Garamond" w:eastAsia="Calibri" w:hAnsi="Garamond"/>
      <w:noProof w:val="0"/>
      <w:szCs w:val="22"/>
      <w:lang w:bidi="ar-SA"/>
    </w:rPr>
  </w:style>
  <w:style w:type="paragraph" w:customStyle="1" w:styleId="Odraky1">
    <w:name w:val="Odražky (1)"/>
    <w:basedOn w:val="Odstavecseseznamem"/>
    <w:link w:val="Odraky1Char"/>
    <w:rsid w:val="003C2085"/>
    <w:pPr>
      <w:numPr>
        <w:numId w:val="38"/>
      </w:numPr>
      <w:spacing w:before="120" w:after="120" w:line="240" w:lineRule="auto"/>
    </w:pPr>
    <w:rPr>
      <w:rFonts w:ascii="Garamond" w:eastAsia="Calibri" w:hAnsi="Garamond"/>
      <w:noProof w:val="0"/>
      <w:szCs w:val="22"/>
      <w:lang w:bidi="ar-SA"/>
    </w:rPr>
  </w:style>
  <w:style w:type="character" w:customStyle="1" w:styleId="Text-NormalnChar">
    <w:name w:val="Text - Normalní Char"/>
    <w:basedOn w:val="Standardnpsmoodstavce"/>
    <w:link w:val="Text-Normaln"/>
    <w:rsid w:val="003C2085"/>
    <w:rPr>
      <w:rFonts w:ascii="Garamond" w:eastAsia="Calibri" w:hAnsi="Garamond"/>
      <w:sz w:val="24"/>
      <w:szCs w:val="22"/>
      <w:lang w:eastAsia="en-US"/>
    </w:rPr>
  </w:style>
  <w:style w:type="character" w:customStyle="1" w:styleId="Odraky1Char">
    <w:name w:val="Odražky (1) Char"/>
    <w:basedOn w:val="OdstavecseseznamemChar"/>
    <w:link w:val="Odraky1"/>
    <w:rsid w:val="003C2085"/>
    <w:rPr>
      <w:rFonts w:ascii="Garamond" w:eastAsia="Calibri" w:hAnsi="Garamond"/>
      <w:noProof/>
      <w:sz w:val="24"/>
      <w:szCs w:val="22"/>
      <w:lang w:val="cs-CZ" w:eastAsia="en-US"/>
    </w:rPr>
  </w:style>
  <w:style w:type="paragraph" w:customStyle="1" w:styleId="Zdroj1">
    <w:name w:val="Zdroj (1)"/>
    <w:basedOn w:val="Normln"/>
    <w:link w:val="Zdroj1Char"/>
    <w:rsid w:val="003C2085"/>
    <w:pPr>
      <w:spacing w:before="120" w:after="120" w:line="240" w:lineRule="auto"/>
    </w:pPr>
    <w:rPr>
      <w:rFonts w:ascii="Garamond" w:eastAsia="Calibri" w:hAnsi="Garamond"/>
      <w:i/>
      <w:noProof w:val="0"/>
      <w:szCs w:val="22"/>
      <w:lang w:bidi="ar-SA"/>
    </w:rPr>
  </w:style>
  <w:style w:type="paragraph" w:customStyle="1" w:styleId="Nadpis2a">
    <w:name w:val="Nadpis (2a)"/>
    <w:basedOn w:val="Nadpis2"/>
    <w:link w:val="Nadpis2aChar"/>
    <w:rsid w:val="00434A2F"/>
    <w:pPr>
      <w:keepNext w:val="0"/>
      <w:numPr>
        <w:ilvl w:val="0"/>
        <w:numId w:val="76"/>
      </w:numPr>
      <w:spacing w:before="120" w:after="120" w:line="240" w:lineRule="auto"/>
    </w:pPr>
    <w:rPr>
      <w:rFonts w:ascii="Cambria" w:eastAsia="Calibri" w:hAnsi="Cambria"/>
      <w:bCs/>
      <w:iCs w:val="0"/>
      <w:noProof w:val="0"/>
      <w:kern w:val="0"/>
      <w:szCs w:val="24"/>
      <w:u w:val="single"/>
      <w:lang w:bidi="ar-SA"/>
    </w:rPr>
  </w:style>
  <w:style w:type="character" w:customStyle="1" w:styleId="Zdroj1Char">
    <w:name w:val="Zdroj (1) Char"/>
    <w:basedOn w:val="Standardnpsmoodstavce"/>
    <w:link w:val="Zdroj1"/>
    <w:rsid w:val="003C2085"/>
    <w:rPr>
      <w:rFonts w:ascii="Garamond" w:eastAsia="Calibri" w:hAnsi="Garamond"/>
      <w:i/>
      <w:sz w:val="22"/>
      <w:szCs w:val="22"/>
      <w:lang w:eastAsia="en-US"/>
    </w:rPr>
  </w:style>
  <w:style w:type="character" w:customStyle="1" w:styleId="Nadpis2aChar">
    <w:name w:val="Nadpis (2a) Char"/>
    <w:basedOn w:val="Standardnpsmoodstavce"/>
    <w:link w:val="Nadpis2a"/>
    <w:rsid w:val="00434A2F"/>
    <w:rPr>
      <w:rFonts w:ascii="Cambria" w:eastAsia="Calibri" w:hAnsi="Cambria" w:cs="Arial"/>
      <w:b/>
      <w:bCs/>
      <w:sz w:val="24"/>
      <w:szCs w:val="24"/>
      <w:u w:val="single"/>
      <w:lang w:eastAsia="en-US"/>
    </w:rPr>
  </w:style>
  <w:style w:type="character" w:customStyle="1" w:styleId="TitulekChar">
    <w:name w:val="Titulek Char"/>
    <w:basedOn w:val="Standardnpsmoodstavce"/>
    <w:link w:val="Titulek"/>
    <w:uiPriority w:val="99"/>
    <w:rsid w:val="00743CDF"/>
    <w:rPr>
      <w:rFonts w:ascii="Arial" w:hAnsi="Arial"/>
      <w:b/>
      <w:noProof/>
      <w:spacing w:val="10"/>
      <w:sz w:val="18"/>
      <w:szCs w:val="18"/>
      <w:lang w:eastAsia="en-US" w:bidi="en-US"/>
    </w:rPr>
  </w:style>
  <w:style w:type="character" w:styleId="Zstupntext">
    <w:name w:val="Placeholder Text"/>
    <w:basedOn w:val="Standardnpsmoodstavce"/>
    <w:uiPriority w:val="99"/>
    <w:semiHidden/>
    <w:rsid w:val="006415EE"/>
    <w:rPr>
      <w:color w:val="808080"/>
    </w:rPr>
  </w:style>
  <w:style w:type="character" w:styleId="CittHTML">
    <w:name w:val="HTML Cite"/>
    <w:basedOn w:val="Standardnpsmoodstavce"/>
    <w:uiPriority w:val="99"/>
    <w:semiHidden/>
    <w:unhideWhenUsed/>
    <w:rsid w:val="006415EE"/>
    <w:rPr>
      <w:i/>
      <w:iCs/>
    </w:rPr>
  </w:style>
  <w:style w:type="character" w:styleId="Sledovanodkaz">
    <w:name w:val="FollowedHyperlink"/>
    <w:basedOn w:val="Standardnpsmoodstavce"/>
    <w:uiPriority w:val="99"/>
    <w:unhideWhenUsed/>
    <w:rsid w:val="006415EE"/>
    <w:rPr>
      <w:color w:val="800080"/>
      <w:u w:val="single"/>
    </w:rPr>
  </w:style>
  <w:style w:type="paragraph" w:styleId="Textpoznpodarou">
    <w:name w:val="footnote text"/>
    <w:basedOn w:val="Normln"/>
    <w:link w:val="TextpoznpodarouChar1"/>
    <w:uiPriority w:val="99"/>
    <w:rsid w:val="00404DDA"/>
    <w:pPr>
      <w:spacing w:line="240" w:lineRule="auto"/>
    </w:pPr>
    <w:rPr>
      <w:noProof w:val="0"/>
      <w:sz w:val="20"/>
      <w:szCs w:val="20"/>
      <w:lang w:eastAsia="cs-CZ" w:bidi="ar-SA"/>
    </w:rPr>
  </w:style>
  <w:style w:type="character" w:customStyle="1" w:styleId="TextpoznpodarouChar">
    <w:name w:val="Text pozn. pod čarou Char"/>
    <w:basedOn w:val="Standardnpsmoodstavce"/>
    <w:uiPriority w:val="99"/>
    <w:semiHidden/>
    <w:rsid w:val="006415EE"/>
    <w:rPr>
      <w:rFonts w:ascii="Times New Roman" w:hAnsi="Times New Roman"/>
      <w:noProof/>
      <w:lang w:eastAsia="en-US" w:bidi="en-US"/>
    </w:rPr>
  </w:style>
  <w:style w:type="character" w:styleId="Znakapoznpodarou">
    <w:name w:val="footnote reference"/>
    <w:basedOn w:val="Standardnpsmoodstavce"/>
    <w:uiPriority w:val="99"/>
    <w:rsid w:val="006415EE"/>
    <w:rPr>
      <w:vertAlign w:val="superscript"/>
    </w:rPr>
  </w:style>
  <w:style w:type="paragraph" w:styleId="Rejstk1">
    <w:name w:val="index 1"/>
    <w:basedOn w:val="Normln"/>
    <w:next w:val="Normln"/>
    <w:autoRedefine/>
    <w:uiPriority w:val="99"/>
    <w:unhideWhenUsed/>
    <w:rsid w:val="006415EE"/>
    <w:pPr>
      <w:spacing w:before="120" w:line="240" w:lineRule="auto"/>
      <w:ind w:left="220" w:hanging="220"/>
    </w:pPr>
    <w:rPr>
      <w:rFonts w:ascii="Garamond" w:eastAsia="Calibri" w:hAnsi="Garamond"/>
      <w:noProof w:val="0"/>
      <w:szCs w:val="22"/>
      <w:lang w:bidi="ar-SA"/>
    </w:rPr>
  </w:style>
  <w:style w:type="paragraph" w:styleId="Obsah1">
    <w:name w:val="toc 1"/>
    <w:basedOn w:val="Normln"/>
    <w:next w:val="Normln"/>
    <w:autoRedefine/>
    <w:uiPriority w:val="39"/>
    <w:unhideWhenUsed/>
    <w:qFormat/>
    <w:rsid w:val="006415EE"/>
    <w:pPr>
      <w:spacing w:before="120" w:after="120"/>
      <w:jc w:val="left"/>
    </w:pPr>
    <w:rPr>
      <w:rFonts w:asciiTheme="minorHAnsi" w:hAnsiTheme="minorHAnsi"/>
      <w:b/>
      <w:bCs/>
      <w:caps/>
      <w:sz w:val="20"/>
      <w:szCs w:val="20"/>
    </w:rPr>
  </w:style>
  <w:style w:type="paragraph" w:styleId="Obsah2">
    <w:name w:val="toc 2"/>
    <w:basedOn w:val="Normln"/>
    <w:next w:val="Normln"/>
    <w:autoRedefine/>
    <w:uiPriority w:val="39"/>
    <w:unhideWhenUsed/>
    <w:qFormat/>
    <w:rsid w:val="006415EE"/>
    <w:pPr>
      <w:ind w:left="240"/>
      <w:jc w:val="left"/>
    </w:pPr>
    <w:rPr>
      <w:rFonts w:asciiTheme="minorHAnsi" w:hAnsiTheme="minorHAnsi"/>
      <w:smallCaps/>
      <w:sz w:val="20"/>
      <w:szCs w:val="20"/>
    </w:rPr>
  </w:style>
  <w:style w:type="paragraph" w:styleId="Obsah3">
    <w:name w:val="toc 3"/>
    <w:basedOn w:val="Normln"/>
    <w:next w:val="Normln"/>
    <w:autoRedefine/>
    <w:uiPriority w:val="39"/>
    <w:unhideWhenUsed/>
    <w:qFormat/>
    <w:rsid w:val="006415EE"/>
    <w:pPr>
      <w:ind w:left="480"/>
      <w:jc w:val="left"/>
    </w:pPr>
    <w:rPr>
      <w:rFonts w:asciiTheme="minorHAnsi" w:hAnsiTheme="minorHAnsi"/>
      <w:i/>
      <w:iCs/>
      <w:sz w:val="20"/>
      <w:szCs w:val="20"/>
    </w:rPr>
  </w:style>
  <w:style w:type="paragraph" w:styleId="Seznamobrzk">
    <w:name w:val="table of figures"/>
    <w:basedOn w:val="Normln"/>
    <w:next w:val="Normln"/>
    <w:uiPriority w:val="99"/>
    <w:unhideWhenUsed/>
    <w:rsid w:val="006415EE"/>
    <w:pPr>
      <w:spacing w:before="120" w:line="240" w:lineRule="auto"/>
    </w:pPr>
    <w:rPr>
      <w:rFonts w:ascii="Garamond" w:eastAsia="Calibri" w:hAnsi="Garamond"/>
      <w:noProof w:val="0"/>
      <w:szCs w:val="22"/>
      <w:lang w:bidi="ar-SA"/>
    </w:rPr>
  </w:style>
  <w:style w:type="paragraph" w:styleId="Zkladntext3">
    <w:name w:val="Body Text 3"/>
    <w:basedOn w:val="Normln"/>
    <w:link w:val="Zkladntext3Char"/>
    <w:rsid w:val="006415EE"/>
    <w:pPr>
      <w:spacing w:before="120" w:after="120" w:line="240" w:lineRule="auto"/>
    </w:pPr>
    <w:rPr>
      <w:noProof w:val="0"/>
      <w:sz w:val="16"/>
      <w:szCs w:val="16"/>
      <w:lang w:eastAsia="cs-CZ" w:bidi="ar-SA"/>
    </w:rPr>
  </w:style>
  <w:style w:type="character" w:customStyle="1" w:styleId="Zkladntext3Char">
    <w:name w:val="Základní text 3 Char"/>
    <w:basedOn w:val="Standardnpsmoodstavce"/>
    <w:link w:val="Zkladntext3"/>
    <w:rsid w:val="006415EE"/>
    <w:rPr>
      <w:rFonts w:ascii="Times New Roman" w:hAnsi="Times New Roman"/>
      <w:sz w:val="16"/>
      <w:szCs w:val="16"/>
    </w:rPr>
  </w:style>
  <w:style w:type="paragraph" w:customStyle="1" w:styleId="bn">
    <w:name w:val="běžný"/>
    <w:basedOn w:val="Normln"/>
    <w:rsid w:val="006415EE"/>
    <w:pPr>
      <w:autoSpaceDE w:val="0"/>
      <w:autoSpaceDN w:val="0"/>
      <w:adjustRightInd w:val="0"/>
      <w:spacing w:before="120" w:after="120" w:line="240" w:lineRule="auto"/>
    </w:pPr>
    <w:rPr>
      <w:noProof w:val="0"/>
      <w:lang w:eastAsia="cs-CZ" w:bidi="ar-SA"/>
    </w:rPr>
  </w:style>
  <w:style w:type="paragraph" w:customStyle="1" w:styleId="MDSR">
    <w:name w:val="MDS ČR"/>
    <w:rsid w:val="006415EE"/>
    <w:pPr>
      <w:suppressAutoHyphens/>
      <w:overflowPunct w:val="0"/>
      <w:autoSpaceDE w:val="0"/>
      <w:autoSpaceDN w:val="0"/>
      <w:adjustRightInd w:val="0"/>
      <w:spacing w:before="120"/>
      <w:ind w:firstLine="567"/>
      <w:jc w:val="both"/>
      <w:textAlignment w:val="baseline"/>
    </w:pPr>
    <w:rPr>
      <w:rFonts w:ascii="Times New Roman" w:hAnsi="Times New Roman"/>
      <w:sz w:val="24"/>
    </w:rPr>
  </w:style>
  <w:style w:type="character" w:customStyle="1" w:styleId="CitaceChar1">
    <w:name w:val="Citace Char1"/>
    <w:basedOn w:val="Standardnpsmoodstavce"/>
    <w:uiPriority w:val="29"/>
    <w:rsid w:val="006415EE"/>
    <w:rPr>
      <w:rFonts w:ascii="Times New Roman" w:eastAsia="Times New Roman" w:hAnsi="Times New Roman"/>
      <w:i/>
      <w:iCs/>
      <w:color w:val="000000"/>
      <w:sz w:val="24"/>
    </w:rPr>
  </w:style>
  <w:style w:type="table" w:customStyle="1" w:styleId="Svtlstnovn1">
    <w:name w:val="Světlé stínování1"/>
    <w:basedOn w:val="Normlntabulka"/>
    <w:uiPriority w:val="60"/>
    <w:rsid w:val="006415EE"/>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ozloendokumentu">
    <w:name w:val="Document Map"/>
    <w:basedOn w:val="Normln"/>
    <w:link w:val="RozloendokumentuChar"/>
    <w:semiHidden/>
    <w:rsid w:val="006415EE"/>
    <w:pPr>
      <w:shd w:val="clear" w:color="auto" w:fill="000080"/>
      <w:spacing w:before="120" w:after="120" w:line="240" w:lineRule="auto"/>
    </w:pPr>
    <w:rPr>
      <w:rFonts w:ascii="Tahoma" w:eastAsia="Calibri" w:hAnsi="Tahoma" w:cs="Tahoma"/>
      <w:noProof w:val="0"/>
      <w:sz w:val="20"/>
      <w:szCs w:val="20"/>
      <w:lang w:bidi="ar-SA"/>
    </w:rPr>
  </w:style>
  <w:style w:type="character" w:customStyle="1" w:styleId="RozloendokumentuChar">
    <w:name w:val="Rozložení dokumentu Char"/>
    <w:basedOn w:val="Standardnpsmoodstavce"/>
    <w:link w:val="Rozloendokumentu"/>
    <w:semiHidden/>
    <w:rsid w:val="006415EE"/>
    <w:rPr>
      <w:rFonts w:ascii="Tahoma" w:eastAsia="Calibri" w:hAnsi="Tahoma" w:cs="Tahoma"/>
      <w:shd w:val="clear" w:color="auto" w:fill="000080"/>
      <w:lang w:eastAsia="en-US"/>
    </w:rPr>
  </w:style>
  <w:style w:type="paragraph" w:styleId="Zkladntext">
    <w:name w:val="Body Text"/>
    <w:basedOn w:val="Normln"/>
    <w:link w:val="ZkladntextChar"/>
    <w:unhideWhenUsed/>
    <w:rsid w:val="006415EE"/>
    <w:pPr>
      <w:spacing w:before="120" w:after="120" w:line="240" w:lineRule="auto"/>
    </w:pPr>
    <w:rPr>
      <w:rFonts w:ascii="Garamond" w:eastAsia="Calibri" w:hAnsi="Garamond"/>
      <w:noProof w:val="0"/>
      <w:szCs w:val="22"/>
      <w:lang w:bidi="ar-SA"/>
    </w:rPr>
  </w:style>
  <w:style w:type="character" w:customStyle="1" w:styleId="ZkladntextChar">
    <w:name w:val="Základní text Char"/>
    <w:basedOn w:val="Standardnpsmoodstavce"/>
    <w:link w:val="Zkladntext"/>
    <w:rsid w:val="006415EE"/>
    <w:rPr>
      <w:rFonts w:ascii="Garamond" w:eastAsia="Calibri" w:hAnsi="Garamond"/>
      <w:sz w:val="24"/>
      <w:szCs w:val="22"/>
      <w:lang w:eastAsia="en-US"/>
    </w:rPr>
  </w:style>
  <w:style w:type="character" w:customStyle="1" w:styleId="longtext">
    <w:name w:val="long_text"/>
    <w:basedOn w:val="Standardnpsmoodstavce"/>
    <w:rsid w:val="006415EE"/>
  </w:style>
  <w:style w:type="character" w:customStyle="1" w:styleId="TextpoznpodarouChar1">
    <w:name w:val="Text pozn. pod čarou Char1"/>
    <w:basedOn w:val="Standardnpsmoodstavce"/>
    <w:link w:val="Textpoznpodarou"/>
    <w:uiPriority w:val="99"/>
    <w:rsid w:val="00404DDA"/>
    <w:rPr>
      <w:rFonts w:ascii="Times New Roman" w:hAnsi="Times New Roman"/>
    </w:rPr>
  </w:style>
  <w:style w:type="paragraph" w:customStyle="1" w:styleId="Odstavecseseznamem1">
    <w:name w:val="Odstavec se seznamem1"/>
    <w:basedOn w:val="Normln"/>
    <w:uiPriority w:val="34"/>
    <w:rsid w:val="006415EE"/>
    <w:pPr>
      <w:numPr>
        <w:numId w:val="45"/>
      </w:numPr>
      <w:spacing w:before="120" w:after="120" w:line="240" w:lineRule="auto"/>
      <w:ind w:left="567" w:hanging="567"/>
      <w:contextualSpacing/>
    </w:pPr>
    <w:rPr>
      <w:rFonts w:ascii="Garamond" w:eastAsia="Calibri" w:hAnsi="Garamond"/>
      <w:noProof w:val="0"/>
      <w:szCs w:val="22"/>
      <w:lang w:bidi="ar-SA"/>
    </w:rPr>
  </w:style>
  <w:style w:type="character" w:customStyle="1" w:styleId="Zstupntext1">
    <w:name w:val="Zástupný text1"/>
    <w:basedOn w:val="Standardnpsmoodstavce"/>
    <w:uiPriority w:val="99"/>
    <w:semiHidden/>
    <w:rsid w:val="006415EE"/>
    <w:rPr>
      <w:color w:val="808080"/>
    </w:rPr>
  </w:style>
  <w:style w:type="paragraph" w:customStyle="1" w:styleId="Nadpisobsahu1">
    <w:name w:val="Nadpis obsahu1"/>
    <w:basedOn w:val="Nadpis1"/>
    <w:next w:val="Normln"/>
    <w:uiPriority w:val="39"/>
    <w:rsid w:val="006415EE"/>
    <w:pPr>
      <w:keepNext w:val="0"/>
      <w:widowControl w:val="0"/>
      <w:spacing w:before="120" w:after="120" w:line="240" w:lineRule="auto"/>
      <w:outlineLvl w:val="9"/>
    </w:pPr>
    <w:rPr>
      <w:rFonts w:ascii="Cambria" w:hAnsi="Cambria"/>
      <w:noProof w:val="0"/>
      <w:color w:val="B6B002"/>
      <w:kern w:val="0"/>
      <w:szCs w:val="28"/>
      <w:lang w:bidi="ar-SA"/>
    </w:rPr>
  </w:style>
  <w:style w:type="paragraph" w:customStyle="1" w:styleId="Revize1">
    <w:name w:val="Revize1"/>
    <w:hidden/>
    <w:uiPriority w:val="99"/>
    <w:semiHidden/>
    <w:rsid w:val="006415EE"/>
    <w:rPr>
      <w:rFonts w:ascii="Garamond" w:eastAsia="Calibri" w:hAnsi="Garamond"/>
      <w:sz w:val="24"/>
      <w:szCs w:val="22"/>
      <w:lang w:eastAsia="en-US"/>
    </w:rPr>
  </w:style>
  <w:style w:type="numbering" w:customStyle="1" w:styleId="NoList1">
    <w:name w:val="No List1"/>
    <w:next w:val="Bezseznamu"/>
    <w:semiHidden/>
    <w:rsid w:val="006415EE"/>
  </w:style>
  <w:style w:type="paragraph" w:customStyle="1" w:styleId="beznytext">
    <w:name w:val="bezny_text"/>
    <w:basedOn w:val="Normln"/>
    <w:rsid w:val="006415EE"/>
    <w:pPr>
      <w:spacing w:before="100" w:beforeAutospacing="1" w:after="100" w:afterAutospacing="1" w:line="240" w:lineRule="auto"/>
    </w:pPr>
    <w:rPr>
      <w:rFonts w:eastAsia="MS Mincho"/>
      <w:noProof w:val="0"/>
      <w:shd w:val="clear" w:color="auto" w:fill="FFFFFF"/>
      <w:lang w:eastAsia="ja-JP" w:bidi="ar-SA"/>
    </w:rPr>
  </w:style>
  <w:style w:type="paragraph" w:styleId="z-Konecformule">
    <w:name w:val="HTML Bottom of Form"/>
    <w:basedOn w:val="Normln"/>
    <w:next w:val="Normln"/>
    <w:link w:val="z-KonecformuleChar"/>
    <w:hidden/>
    <w:uiPriority w:val="99"/>
    <w:unhideWhenUsed/>
    <w:rsid w:val="006415EE"/>
    <w:pPr>
      <w:pBdr>
        <w:top w:val="single" w:sz="6" w:space="1" w:color="auto"/>
      </w:pBdr>
      <w:spacing w:before="120" w:after="120" w:line="240" w:lineRule="auto"/>
      <w:jc w:val="center"/>
    </w:pPr>
    <w:rPr>
      <w:rFonts w:cs="Arial"/>
      <w:noProof w:val="0"/>
      <w:vanish/>
      <w:sz w:val="16"/>
      <w:szCs w:val="16"/>
      <w:shd w:val="clear" w:color="auto" w:fill="FFFFFF"/>
      <w:lang w:val="en-US" w:bidi="ar-SA"/>
    </w:rPr>
  </w:style>
  <w:style w:type="character" w:customStyle="1" w:styleId="z-KonecformuleChar">
    <w:name w:val="z-Konec formuláře Char"/>
    <w:basedOn w:val="Standardnpsmoodstavce"/>
    <w:link w:val="z-Konecformule"/>
    <w:uiPriority w:val="99"/>
    <w:rsid w:val="006415EE"/>
    <w:rPr>
      <w:rFonts w:ascii="Arial" w:hAnsi="Arial" w:cs="Arial"/>
      <w:vanish/>
      <w:sz w:val="16"/>
      <w:szCs w:val="16"/>
      <w:lang w:val="en-US" w:eastAsia="en-US"/>
    </w:rPr>
  </w:style>
  <w:style w:type="table" w:styleId="Mkatabulky">
    <w:name w:val="Table Grid"/>
    <w:basedOn w:val="Normlntabulka"/>
    <w:uiPriority w:val="59"/>
    <w:rsid w:val="006415E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1">
    <w:name w:val="styl1"/>
    <w:basedOn w:val="Standardnpsmoodstavce"/>
    <w:rsid w:val="006415EE"/>
    <w:rPr>
      <w:sz w:val="14"/>
      <w:szCs w:val="14"/>
    </w:rPr>
  </w:style>
  <w:style w:type="character" w:customStyle="1" w:styleId="longtext1">
    <w:name w:val="long_text1"/>
    <w:basedOn w:val="Standardnpsmoodstavce"/>
    <w:rsid w:val="006415EE"/>
    <w:rPr>
      <w:sz w:val="20"/>
      <w:szCs w:val="20"/>
    </w:rPr>
  </w:style>
  <w:style w:type="paragraph" w:customStyle="1" w:styleId="poduct020301blit">
    <w:name w:val="poduct_020301_blit"/>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mt30">
    <w:name w:val="mt30"/>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mt20">
    <w:name w:val="mt20"/>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title41">
    <w:name w:val="title4_1"/>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tcentermt10">
    <w:name w:val="tcenter mt10"/>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title41mt10">
    <w:name w:val="title4_1mt10"/>
    <w:basedOn w:val="Normln"/>
    <w:rsid w:val="006415EE"/>
    <w:pPr>
      <w:spacing w:before="100" w:beforeAutospacing="1" w:after="100" w:afterAutospacing="1" w:line="240" w:lineRule="auto"/>
      <w:jc w:val="left"/>
    </w:pPr>
    <w:rPr>
      <w:rFonts w:eastAsia="MS Mincho"/>
      <w:noProof w:val="0"/>
      <w:lang w:eastAsia="ja-JP" w:bidi="ar-SA"/>
    </w:rPr>
  </w:style>
  <w:style w:type="character" w:customStyle="1" w:styleId="TextbublinyChar1">
    <w:name w:val="Text bubliny Char1"/>
    <w:basedOn w:val="Standardnpsmoodstavce"/>
    <w:uiPriority w:val="99"/>
    <w:rsid w:val="006415EE"/>
    <w:rPr>
      <w:rFonts w:ascii="Tahoma" w:hAnsi="Tahoma" w:cs="Tahoma"/>
      <w:sz w:val="16"/>
      <w:szCs w:val="16"/>
      <w:lang w:eastAsia="en-US"/>
    </w:rPr>
  </w:style>
  <w:style w:type="character" w:customStyle="1" w:styleId="A4">
    <w:name w:val="A4"/>
    <w:uiPriority w:val="99"/>
    <w:rsid w:val="006415EE"/>
    <w:rPr>
      <w:rFonts w:cs="H-Helvetica"/>
      <w:color w:val="000000"/>
      <w:sz w:val="18"/>
      <w:szCs w:val="18"/>
    </w:rPr>
  </w:style>
  <w:style w:type="character" w:customStyle="1" w:styleId="Nadpis1Char1">
    <w:name w:val="Nadpis 1 Char1"/>
    <w:basedOn w:val="Standardnpsmoodstavce"/>
    <w:uiPriority w:val="9"/>
    <w:rsid w:val="006415EE"/>
    <w:rPr>
      <w:rFonts w:ascii="Cambria" w:eastAsia="Times New Roman" w:hAnsi="Cambria"/>
      <w:b/>
      <w:bCs/>
      <w:color w:val="B6B002"/>
      <w:sz w:val="28"/>
      <w:szCs w:val="28"/>
    </w:rPr>
  </w:style>
  <w:style w:type="paragraph" w:customStyle="1" w:styleId="Default">
    <w:name w:val="Default"/>
    <w:link w:val="DefaultChar"/>
    <w:rsid w:val="006415EE"/>
    <w:pPr>
      <w:autoSpaceDE w:val="0"/>
      <w:autoSpaceDN w:val="0"/>
      <w:adjustRightInd w:val="0"/>
    </w:pPr>
    <w:rPr>
      <w:rFonts w:eastAsia="MS Mincho" w:cs="Calibri"/>
      <w:color w:val="000000"/>
      <w:sz w:val="24"/>
      <w:szCs w:val="24"/>
      <w:lang w:eastAsia="en-US"/>
    </w:rPr>
  </w:style>
  <w:style w:type="paragraph" w:customStyle="1" w:styleId="pagehdr">
    <w:name w:val="pagehdr"/>
    <w:basedOn w:val="Normln"/>
    <w:rsid w:val="006415EE"/>
    <w:pPr>
      <w:spacing w:before="100" w:beforeAutospacing="1" w:after="100" w:afterAutospacing="1" w:line="240" w:lineRule="auto"/>
      <w:jc w:val="left"/>
    </w:pPr>
    <w:rPr>
      <w:rFonts w:cs="Arial"/>
      <w:b/>
      <w:bCs/>
      <w:noProof w:val="0"/>
      <w:color w:val="456994"/>
      <w:sz w:val="20"/>
      <w:szCs w:val="20"/>
      <w:lang w:val="en-US" w:bidi="ar-SA"/>
    </w:rPr>
  </w:style>
  <w:style w:type="character" w:customStyle="1" w:styleId="titles21">
    <w:name w:val="titles21"/>
    <w:basedOn w:val="Standardnpsmoodstavce"/>
    <w:rsid w:val="006415EE"/>
    <w:rPr>
      <w:rFonts w:ascii="Verdana" w:hAnsi="Verdana" w:hint="default"/>
      <w:b/>
      <w:bCs/>
      <w:color w:val="073770"/>
      <w:sz w:val="15"/>
      <w:szCs w:val="15"/>
    </w:rPr>
  </w:style>
  <w:style w:type="character" w:customStyle="1" w:styleId="style341">
    <w:name w:val="style341"/>
    <w:basedOn w:val="Standardnpsmoodstavce"/>
    <w:rsid w:val="006415EE"/>
    <w:rPr>
      <w:color w:val="006600"/>
    </w:rPr>
  </w:style>
  <w:style w:type="character" w:customStyle="1" w:styleId="style251">
    <w:name w:val="style251"/>
    <w:basedOn w:val="Standardnpsmoodstavce"/>
    <w:rsid w:val="006415EE"/>
    <w:rPr>
      <w:b/>
      <w:bCs/>
      <w:color w:val="993300"/>
      <w:sz w:val="15"/>
      <w:szCs w:val="15"/>
    </w:rPr>
  </w:style>
  <w:style w:type="character" w:customStyle="1" w:styleId="style231">
    <w:name w:val="style231"/>
    <w:basedOn w:val="Standardnpsmoodstavce"/>
    <w:rsid w:val="006415EE"/>
    <w:rPr>
      <w:color w:val="000000"/>
      <w:sz w:val="15"/>
      <w:szCs w:val="15"/>
    </w:rPr>
  </w:style>
  <w:style w:type="character" w:customStyle="1" w:styleId="style27">
    <w:name w:val="style27"/>
    <w:basedOn w:val="Standardnpsmoodstavce"/>
    <w:rsid w:val="006415EE"/>
  </w:style>
  <w:style w:type="table" w:customStyle="1" w:styleId="TableGrid1">
    <w:name w:val="Table Grid1"/>
    <w:basedOn w:val="Normlntabulka"/>
    <w:next w:val="Mkatabulky"/>
    <w:rsid w:val="006415E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6415EE"/>
    <w:pPr>
      <w:spacing w:line="240" w:lineRule="auto"/>
      <w:jc w:val="left"/>
    </w:pPr>
    <w:rPr>
      <w:noProof w:val="0"/>
      <w:sz w:val="20"/>
      <w:szCs w:val="20"/>
      <w:lang w:val="en-US" w:bidi="ar-SA"/>
    </w:rPr>
  </w:style>
  <w:style w:type="numbering" w:customStyle="1" w:styleId="NoList2">
    <w:name w:val="No List2"/>
    <w:next w:val="Bezseznamu"/>
    <w:uiPriority w:val="99"/>
    <w:semiHidden/>
    <w:unhideWhenUsed/>
    <w:rsid w:val="006415EE"/>
  </w:style>
  <w:style w:type="character" w:styleId="slostrnky">
    <w:name w:val="page number"/>
    <w:basedOn w:val="Standardnpsmoodstavce"/>
    <w:semiHidden/>
    <w:rsid w:val="006415EE"/>
  </w:style>
  <w:style w:type="paragraph" w:customStyle="1" w:styleId="nadp">
    <w:name w:val="nadp"/>
    <w:basedOn w:val="Zkladntext"/>
    <w:rsid w:val="006415EE"/>
  </w:style>
  <w:style w:type="paragraph" w:customStyle="1" w:styleId="text">
    <w:name w:val="text"/>
    <w:basedOn w:val="Normln"/>
    <w:rsid w:val="006415EE"/>
    <w:pPr>
      <w:spacing w:before="100" w:beforeAutospacing="1" w:after="100" w:afterAutospacing="1" w:line="240" w:lineRule="auto"/>
    </w:pPr>
    <w:rPr>
      <w:rFonts w:ascii="Verdana" w:eastAsia="Arial Unicode MS" w:hAnsi="Verdana" w:cs="Arial Unicode MS"/>
      <w:noProof w:val="0"/>
      <w:color w:val="000000"/>
      <w:szCs w:val="22"/>
      <w:lang w:eastAsia="cs-CZ" w:bidi="ar-SA"/>
    </w:rPr>
  </w:style>
  <w:style w:type="paragraph" w:customStyle="1" w:styleId="textleft">
    <w:name w:val="text_left"/>
    <w:basedOn w:val="Normln"/>
    <w:rsid w:val="006415EE"/>
    <w:pPr>
      <w:spacing w:before="100" w:beforeAutospacing="1" w:after="100" w:afterAutospacing="1" w:line="240" w:lineRule="auto"/>
      <w:textAlignment w:val="top"/>
    </w:pPr>
    <w:rPr>
      <w:rFonts w:ascii="Verdana" w:eastAsia="Arial Unicode MS" w:hAnsi="Verdana" w:cs="Arial Unicode MS"/>
      <w:noProof w:val="0"/>
      <w:color w:val="000000"/>
      <w:sz w:val="20"/>
      <w:szCs w:val="20"/>
      <w:lang w:eastAsia="cs-CZ" w:bidi="ar-SA"/>
    </w:rPr>
  </w:style>
  <w:style w:type="paragraph" w:styleId="Zkladntext2">
    <w:name w:val="Body Text 2"/>
    <w:basedOn w:val="Normln"/>
    <w:link w:val="Zkladntext2Char"/>
    <w:uiPriority w:val="99"/>
    <w:rsid w:val="006415EE"/>
    <w:pPr>
      <w:spacing w:before="120" w:after="120" w:line="240" w:lineRule="auto"/>
    </w:pPr>
    <w:rPr>
      <w:rFonts w:cs="Arial"/>
      <w:noProof w:val="0"/>
      <w:sz w:val="20"/>
      <w:lang w:val="en-US" w:eastAsia="cs-CZ" w:bidi="ar-SA"/>
    </w:rPr>
  </w:style>
  <w:style w:type="character" w:customStyle="1" w:styleId="Zkladntext2Char">
    <w:name w:val="Základní text 2 Char"/>
    <w:basedOn w:val="Standardnpsmoodstavce"/>
    <w:link w:val="Zkladntext2"/>
    <w:uiPriority w:val="99"/>
    <w:rsid w:val="006415EE"/>
    <w:rPr>
      <w:rFonts w:ascii="Arial" w:hAnsi="Arial" w:cs="Arial"/>
      <w:szCs w:val="24"/>
      <w:lang w:val="en-US"/>
    </w:rPr>
  </w:style>
  <w:style w:type="paragraph" w:customStyle="1" w:styleId="04dot">
    <w:name w:val="04 dot"/>
    <w:basedOn w:val="Normln"/>
    <w:rsid w:val="006415EE"/>
    <w:pPr>
      <w:spacing w:after="120" w:line="240" w:lineRule="auto"/>
    </w:pPr>
    <w:rPr>
      <w:noProof w:val="0"/>
      <w:sz w:val="20"/>
      <w:szCs w:val="20"/>
      <w:lang w:eastAsia="cs-CZ" w:bidi="ar-SA"/>
    </w:rPr>
  </w:style>
  <w:style w:type="paragraph" w:customStyle="1" w:styleId="Nadpis2Heading2FirmHeading2Firm1">
    <w:name w:val="Nadpis 2;Heading 2 Firm;Heading 2 Firm1"/>
    <w:basedOn w:val="Normln"/>
    <w:rsid w:val="006415EE"/>
    <w:pPr>
      <w:spacing w:after="120" w:line="240" w:lineRule="auto"/>
    </w:pPr>
    <w:rPr>
      <w:noProof w:val="0"/>
      <w:sz w:val="20"/>
      <w:szCs w:val="20"/>
      <w:lang w:eastAsia="cs-CZ" w:bidi="ar-SA"/>
    </w:rPr>
  </w:style>
  <w:style w:type="paragraph" w:customStyle="1" w:styleId="normalodsazene">
    <w:name w:val="normalodsazene"/>
    <w:basedOn w:val="Normln"/>
    <w:rsid w:val="006415EE"/>
    <w:pPr>
      <w:spacing w:before="100" w:beforeAutospacing="1" w:after="100" w:afterAutospacing="1" w:line="240" w:lineRule="auto"/>
      <w:ind w:firstLine="480"/>
    </w:pPr>
    <w:rPr>
      <w:rFonts w:ascii="MS Sans Serif" w:hAnsi="MS Sans Serif"/>
      <w:noProof w:val="0"/>
      <w:snapToGrid w:val="0"/>
      <w:color w:val="343434"/>
      <w:sz w:val="15"/>
      <w:szCs w:val="15"/>
      <w:lang w:eastAsia="cs-CZ" w:bidi="ar-SA"/>
    </w:rPr>
  </w:style>
  <w:style w:type="paragraph" w:customStyle="1" w:styleId="pskom">
    <w:name w:val="pskom"/>
    <w:basedOn w:val="Normln"/>
    <w:rsid w:val="006415EE"/>
    <w:pPr>
      <w:spacing w:before="100" w:beforeAutospacing="1" w:after="100" w:afterAutospacing="1" w:line="240" w:lineRule="auto"/>
    </w:pPr>
    <w:rPr>
      <w:rFonts w:ascii="Verdana" w:hAnsi="Verdana"/>
      <w:i/>
      <w:iCs/>
      <w:noProof w:val="0"/>
      <w:snapToGrid w:val="0"/>
      <w:color w:val="343434"/>
      <w:lang w:eastAsia="cs-CZ" w:bidi="ar-SA"/>
    </w:rPr>
  </w:style>
  <w:style w:type="paragraph" w:customStyle="1" w:styleId="Textbodu">
    <w:name w:val="Text bodu"/>
    <w:basedOn w:val="Normln"/>
    <w:rsid w:val="006415EE"/>
    <w:pPr>
      <w:numPr>
        <w:ilvl w:val="2"/>
        <w:numId w:val="39"/>
      </w:numPr>
      <w:spacing w:after="120" w:line="240" w:lineRule="auto"/>
      <w:outlineLvl w:val="8"/>
    </w:pPr>
    <w:rPr>
      <w:noProof w:val="0"/>
      <w:szCs w:val="20"/>
      <w:lang w:eastAsia="cs-CZ" w:bidi="ar-SA"/>
    </w:rPr>
  </w:style>
  <w:style w:type="paragraph" w:customStyle="1" w:styleId="Textpsmene">
    <w:name w:val="Text písmene"/>
    <w:basedOn w:val="Normln"/>
    <w:rsid w:val="006415EE"/>
    <w:pPr>
      <w:numPr>
        <w:ilvl w:val="1"/>
        <w:numId w:val="39"/>
      </w:numPr>
      <w:spacing w:after="120" w:line="240" w:lineRule="auto"/>
      <w:outlineLvl w:val="7"/>
    </w:pPr>
    <w:rPr>
      <w:noProof w:val="0"/>
      <w:szCs w:val="20"/>
      <w:lang w:eastAsia="cs-CZ" w:bidi="ar-SA"/>
    </w:rPr>
  </w:style>
  <w:style w:type="paragraph" w:customStyle="1" w:styleId="Textodstavce">
    <w:name w:val="Text odstavce"/>
    <w:basedOn w:val="Normln"/>
    <w:rsid w:val="006415EE"/>
    <w:pPr>
      <w:numPr>
        <w:numId w:val="39"/>
      </w:numPr>
      <w:tabs>
        <w:tab w:val="left" w:pos="851"/>
      </w:tabs>
      <w:spacing w:before="120" w:after="120" w:line="240" w:lineRule="auto"/>
      <w:outlineLvl w:val="6"/>
    </w:pPr>
    <w:rPr>
      <w:noProof w:val="0"/>
      <w:szCs w:val="20"/>
      <w:lang w:eastAsia="cs-CZ" w:bidi="ar-SA"/>
    </w:rPr>
  </w:style>
  <w:style w:type="paragraph" w:customStyle="1" w:styleId="Nadpis-11">
    <w:name w:val="Nadpis-1.1"/>
    <w:basedOn w:val="Normln"/>
    <w:rsid w:val="006415EE"/>
    <w:pPr>
      <w:keepNext/>
      <w:numPr>
        <w:ilvl w:val="1"/>
        <w:numId w:val="40"/>
      </w:numPr>
      <w:spacing w:before="360" w:after="120" w:line="240" w:lineRule="auto"/>
    </w:pPr>
    <w:rPr>
      <w:b/>
      <w:noProof w:val="0"/>
      <w:lang w:eastAsia="cs-CZ" w:bidi="ar-SA"/>
    </w:rPr>
  </w:style>
  <w:style w:type="paragraph" w:customStyle="1" w:styleId="StylTunZarovnatdoblokuPed6b">
    <w:name w:val="Styl Tučné Zarovnat do bloku Před:  6 b."/>
    <w:basedOn w:val="Normln"/>
    <w:rsid w:val="006415EE"/>
    <w:pPr>
      <w:spacing w:before="120" w:after="120" w:line="240" w:lineRule="auto"/>
    </w:pPr>
    <w:rPr>
      <w:b/>
      <w:bCs/>
      <w:noProof w:val="0"/>
      <w:szCs w:val="20"/>
      <w:u w:val="single"/>
      <w:lang w:eastAsia="cs-CZ" w:bidi="ar-SA"/>
    </w:rPr>
  </w:style>
  <w:style w:type="paragraph" w:customStyle="1" w:styleId="StylTunKurzvaZarovnatdoblokuPed6b">
    <w:name w:val="Styl Tučné Kurzíva Zarovnat do bloku Před:  6 b."/>
    <w:basedOn w:val="Normln"/>
    <w:rsid w:val="006415EE"/>
    <w:pPr>
      <w:spacing w:before="120" w:after="120" w:line="240" w:lineRule="auto"/>
    </w:pPr>
    <w:rPr>
      <w:bCs/>
      <w:i/>
      <w:iCs/>
      <w:noProof w:val="0"/>
      <w:szCs w:val="20"/>
      <w:u w:val="single"/>
      <w:lang w:eastAsia="cs-CZ" w:bidi="ar-SA"/>
    </w:rPr>
  </w:style>
  <w:style w:type="paragraph" w:customStyle="1" w:styleId="poznamkadole">
    <w:name w:val="poznamkadole"/>
    <w:basedOn w:val="Normln"/>
    <w:rsid w:val="006415EE"/>
    <w:pPr>
      <w:spacing w:before="100" w:beforeAutospacing="1" w:after="100" w:afterAutospacing="1" w:line="240" w:lineRule="auto"/>
    </w:pPr>
    <w:rPr>
      <w:rFonts w:ascii="Arial Unicode MS" w:eastAsia="Arial Unicode MS" w:hAnsi="Arial Unicode MS" w:cs="Arial Unicode MS"/>
      <w:noProof w:val="0"/>
      <w:sz w:val="17"/>
      <w:szCs w:val="17"/>
      <w:lang w:eastAsia="cs-CZ" w:bidi="ar-SA"/>
    </w:rPr>
  </w:style>
  <w:style w:type="paragraph" w:styleId="Datum">
    <w:name w:val="Date"/>
    <w:basedOn w:val="Normln"/>
    <w:link w:val="DatumChar"/>
    <w:semiHidden/>
    <w:rsid w:val="006415EE"/>
    <w:pPr>
      <w:spacing w:before="100" w:beforeAutospacing="1" w:after="100" w:afterAutospacing="1" w:line="240" w:lineRule="auto"/>
    </w:pPr>
    <w:rPr>
      <w:rFonts w:ascii="Arial Unicode MS" w:eastAsia="Arial Unicode MS" w:hAnsi="Arial Unicode MS" w:cs="Arial Unicode MS"/>
      <w:noProof w:val="0"/>
      <w:lang w:eastAsia="cs-CZ" w:bidi="ar-SA"/>
    </w:rPr>
  </w:style>
  <w:style w:type="character" w:customStyle="1" w:styleId="DatumChar">
    <w:name w:val="Datum Char"/>
    <w:basedOn w:val="Standardnpsmoodstavce"/>
    <w:link w:val="Datum"/>
    <w:semiHidden/>
    <w:rsid w:val="006415EE"/>
    <w:rPr>
      <w:rFonts w:ascii="Arial Unicode MS" w:eastAsia="Arial Unicode MS" w:hAnsi="Arial Unicode MS" w:cs="Arial Unicode MS"/>
      <w:sz w:val="24"/>
      <w:szCs w:val="24"/>
    </w:rPr>
  </w:style>
  <w:style w:type="paragraph" w:customStyle="1" w:styleId="perex">
    <w:name w:val="perex"/>
    <w:basedOn w:val="Normln"/>
    <w:rsid w:val="006415EE"/>
    <w:pPr>
      <w:spacing w:before="100" w:beforeAutospacing="1" w:after="100" w:afterAutospacing="1" w:line="240" w:lineRule="auto"/>
    </w:pPr>
    <w:rPr>
      <w:rFonts w:ascii="Arial Unicode MS" w:eastAsia="Arial Unicode MS" w:hAnsi="Arial Unicode MS" w:cs="Arial Unicode MS"/>
      <w:noProof w:val="0"/>
      <w:lang w:eastAsia="cs-CZ" w:bidi="ar-SA"/>
    </w:rPr>
  </w:style>
  <w:style w:type="paragraph" w:customStyle="1" w:styleId="tdhlavickal">
    <w:name w:val="tdhlavickal"/>
    <w:basedOn w:val="Normln"/>
    <w:rsid w:val="006415EE"/>
    <w:pPr>
      <w:spacing w:before="100" w:beforeAutospacing="1" w:after="100" w:afterAutospacing="1" w:line="240" w:lineRule="auto"/>
    </w:pPr>
    <w:rPr>
      <w:rFonts w:ascii="Arial Unicode MS" w:eastAsia="Arial Unicode MS" w:hAnsi="Arial Unicode MS" w:cs="Arial Unicode MS"/>
      <w:b/>
      <w:bCs/>
      <w:noProof w:val="0"/>
      <w:sz w:val="18"/>
      <w:szCs w:val="18"/>
      <w:lang w:eastAsia="cs-CZ" w:bidi="ar-SA"/>
    </w:rPr>
  </w:style>
  <w:style w:type="paragraph" w:customStyle="1" w:styleId="tdhlavickat">
    <w:name w:val="tdhlavickat"/>
    <w:basedOn w:val="Normln"/>
    <w:rsid w:val="006415EE"/>
    <w:pPr>
      <w:shd w:val="clear" w:color="auto" w:fill="999999"/>
      <w:spacing w:before="100" w:beforeAutospacing="1" w:after="100" w:afterAutospacing="1" w:line="240" w:lineRule="auto"/>
      <w:jc w:val="center"/>
    </w:pPr>
    <w:rPr>
      <w:rFonts w:ascii="Arial Unicode MS" w:eastAsia="Arial Unicode MS" w:hAnsi="Arial Unicode MS" w:cs="Arial Unicode MS"/>
      <w:b/>
      <w:bCs/>
      <w:noProof w:val="0"/>
      <w:sz w:val="18"/>
      <w:szCs w:val="18"/>
      <w:lang w:eastAsia="cs-CZ" w:bidi="ar-SA"/>
    </w:rPr>
  </w:style>
  <w:style w:type="paragraph" w:customStyle="1" w:styleId="textnorm">
    <w:name w:val="textnorm"/>
    <w:basedOn w:val="Normln"/>
    <w:rsid w:val="006415EE"/>
    <w:pPr>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radektmava">
    <w:name w:val="radektmava"/>
    <w:basedOn w:val="Normln"/>
    <w:rsid w:val="006415EE"/>
    <w:pPr>
      <w:shd w:val="clear" w:color="auto" w:fill="CCCCCC"/>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tdzluta">
    <w:name w:val="tdzluta"/>
    <w:basedOn w:val="Normln"/>
    <w:rsid w:val="006415EE"/>
    <w:pPr>
      <w:shd w:val="clear" w:color="auto" w:fill="FFFF00"/>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textcervena">
    <w:name w:val="textcervena"/>
    <w:basedOn w:val="Normln"/>
    <w:rsid w:val="006415EE"/>
    <w:pPr>
      <w:spacing w:before="100" w:beforeAutospacing="1" w:after="100" w:afterAutospacing="1" w:line="240" w:lineRule="auto"/>
    </w:pPr>
    <w:rPr>
      <w:rFonts w:ascii="Arial Unicode MS" w:eastAsia="Arial Unicode MS" w:hAnsi="Arial Unicode MS" w:cs="Arial Unicode MS"/>
      <w:noProof w:val="0"/>
      <w:color w:val="FF0000"/>
      <w:sz w:val="18"/>
      <w:szCs w:val="18"/>
      <w:lang w:eastAsia="cs-CZ" w:bidi="ar-SA"/>
    </w:rPr>
  </w:style>
  <w:style w:type="paragraph" w:customStyle="1" w:styleId="poznamkanahore">
    <w:name w:val="poznamkanahore"/>
    <w:basedOn w:val="Normln"/>
    <w:rsid w:val="006415EE"/>
    <w:pPr>
      <w:spacing w:before="100" w:beforeAutospacing="1" w:after="100" w:afterAutospacing="1" w:line="240" w:lineRule="auto"/>
    </w:pPr>
    <w:rPr>
      <w:rFonts w:ascii="Arial Unicode MS" w:eastAsia="Arial Unicode MS" w:hAnsi="Arial Unicode MS" w:cs="Arial Unicode MS"/>
      <w:i/>
      <w:iCs/>
      <w:noProof w:val="0"/>
      <w:sz w:val="18"/>
      <w:szCs w:val="18"/>
      <w:lang w:eastAsia="cs-CZ" w:bidi="ar-SA"/>
    </w:rPr>
  </w:style>
  <w:style w:type="paragraph" w:customStyle="1" w:styleId="index">
    <w:name w:val="index"/>
    <w:basedOn w:val="Normln"/>
    <w:rsid w:val="006415EE"/>
    <w:pPr>
      <w:spacing w:before="100" w:beforeAutospacing="1" w:after="100" w:afterAutospacing="1" w:line="240" w:lineRule="auto"/>
    </w:pPr>
    <w:rPr>
      <w:rFonts w:ascii="Arial Unicode MS" w:eastAsia="Arial Unicode MS" w:hAnsi="Arial Unicode MS" w:cs="Arial Unicode MS"/>
      <w:noProof w:val="0"/>
      <w:sz w:val="21"/>
      <w:szCs w:val="21"/>
      <w:lang w:eastAsia="cs-CZ" w:bidi="ar-SA"/>
    </w:rPr>
  </w:style>
  <w:style w:type="paragraph" w:customStyle="1" w:styleId="navigace">
    <w:name w:val="navigace"/>
    <w:basedOn w:val="Normln"/>
    <w:rsid w:val="006415EE"/>
    <w:pPr>
      <w:spacing w:before="100" w:beforeAutospacing="1" w:after="100" w:afterAutospacing="1" w:line="240" w:lineRule="auto"/>
      <w:jc w:val="right"/>
    </w:pPr>
    <w:rPr>
      <w:rFonts w:ascii="Arial Unicode MS" w:eastAsia="Arial Unicode MS" w:hAnsi="Arial Unicode MS" w:cs="Arial Unicode MS"/>
      <w:b/>
      <w:bCs/>
      <w:noProof w:val="0"/>
      <w:sz w:val="17"/>
      <w:szCs w:val="17"/>
      <w:lang w:eastAsia="cs-CZ" w:bidi="ar-SA"/>
    </w:rPr>
  </w:style>
  <w:style w:type="paragraph" w:customStyle="1" w:styleId="textcerny">
    <w:name w:val="text_cerny"/>
    <w:basedOn w:val="Normln"/>
    <w:rsid w:val="006415EE"/>
    <w:pPr>
      <w:spacing w:before="100" w:beforeAutospacing="1" w:after="100" w:afterAutospacing="1" w:line="240" w:lineRule="auto"/>
    </w:pPr>
    <w:rPr>
      <w:rFonts w:ascii="Verdana" w:eastAsia="Arial Unicode MS" w:hAnsi="Verdana" w:cs="Arial Unicode MS"/>
      <w:noProof w:val="0"/>
      <w:color w:val="000000"/>
      <w:sz w:val="17"/>
      <w:szCs w:val="17"/>
      <w:lang w:eastAsia="cs-CZ" w:bidi="ar-SA"/>
    </w:rPr>
  </w:style>
  <w:style w:type="character" w:customStyle="1" w:styleId="a">
    <w:name w:val="a"/>
    <w:basedOn w:val="Standardnpsmoodstavce"/>
    <w:rsid w:val="006415EE"/>
  </w:style>
  <w:style w:type="character" w:customStyle="1" w:styleId="bbtext">
    <w:name w:val="bbtext"/>
    <w:basedOn w:val="Standardnpsmoodstavce"/>
    <w:rsid w:val="006415EE"/>
  </w:style>
  <w:style w:type="paragraph" w:customStyle="1" w:styleId="Normlntun">
    <w:name w:val="Normální tučný"/>
    <w:basedOn w:val="Normln"/>
    <w:qFormat/>
    <w:rsid w:val="00EB3E11"/>
    <w:pPr>
      <w:keepNext/>
      <w:spacing w:before="120" w:after="120" w:line="240" w:lineRule="auto"/>
    </w:pPr>
    <w:rPr>
      <w:b/>
      <w:bCs/>
      <w:noProof w:val="0"/>
      <w:szCs w:val="20"/>
      <w:lang w:eastAsia="cs-CZ" w:bidi="ar-SA"/>
    </w:rPr>
  </w:style>
  <w:style w:type="paragraph" w:customStyle="1" w:styleId="Normlnkurzva">
    <w:name w:val="Normální kurzíva"/>
    <w:basedOn w:val="Normln"/>
    <w:rsid w:val="006415EE"/>
    <w:pPr>
      <w:spacing w:before="120" w:after="120" w:line="240" w:lineRule="auto"/>
    </w:pPr>
    <w:rPr>
      <w:i/>
      <w:iCs/>
      <w:noProof w:val="0"/>
      <w:sz w:val="20"/>
      <w:szCs w:val="20"/>
      <w:lang w:eastAsia="cs-CZ" w:bidi="ar-SA"/>
    </w:rPr>
  </w:style>
  <w:style w:type="paragraph" w:customStyle="1" w:styleId="Source">
    <w:name w:val="Source"/>
    <w:basedOn w:val="Normln"/>
    <w:rsid w:val="006415EE"/>
    <w:pPr>
      <w:spacing w:before="120" w:after="120" w:line="240" w:lineRule="auto"/>
    </w:pPr>
    <w:rPr>
      <w:noProof w:val="0"/>
      <w:sz w:val="16"/>
      <w:szCs w:val="20"/>
      <w:lang w:eastAsia="cs-CZ" w:bidi="ar-SA"/>
    </w:rPr>
  </w:style>
  <w:style w:type="paragraph" w:styleId="Zkladntextodsazen">
    <w:name w:val="Body Text Indent"/>
    <w:basedOn w:val="Normln"/>
    <w:link w:val="ZkladntextodsazenChar"/>
    <w:semiHidden/>
    <w:rsid w:val="006415EE"/>
    <w:pPr>
      <w:spacing w:after="120" w:line="240" w:lineRule="auto"/>
      <w:ind w:left="4248" w:hanging="4245"/>
    </w:pPr>
    <w:rPr>
      <w:rFonts w:cs="Arial"/>
      <w:noProof w:val="0"/>
      <w:sz w:val="20"/>
      <w:lang w:eastAsia="cs-CZ" w:bidi="ar-SA"/>
    </w:rPr>
  </w:style>
  <w:style w:type="character" w:customStyle="1" w:styleId="ZkladntextodsazenChar">
    <w:name w:val="Základní text odsazený Char"/>
    <w:basedOn w:val="Standardnpsmoodstavce"/>
    <w:link w:val="Zkladntextodsazen"/>
    <w:semiHidden/>
    <w:rsid w:val="006415EE"/>
    <w:rPr>
      <w:rFonts w:ascii="Arial" w:hAnsi="Arial" w:cs="Arial"/>
      <w:szCs w:val="24"/>
    </w:rPr>
  </w:style>
  <w:style w:type="paragraph" w:customStyle="1" w:styleId="Normlnsmezerou">
    <w:name w:val="Normální s mezerou"/>
    <w:basedOn w:val="Normln"/>
    <w:rsid w:val="006415EE"/>
    <w:pPr>
      <w:widowControl w:val="0"/>
      <w:autoSpaceDE w:val="0"/>
      <w:autoSpaceDN w:val="0"/>
      <w:adjustRightInd w:val="0"/>
      <w:spacing w:before="60" w:after="60" w:line="240" w:lineRule="auto"/>
      <w:ind w:firstLine="709"/>
    </w:pPr>
    <w:rPr>
      <w:rFonts w:cs="Arial"/>
      <w:noProof w:val="0"/>
      <w:lang w:eastAsia="cs-CZ" w:bidi="ar-SA"/>
    </w:rPr>
  </w:style>
  <w:style w:type="paragraph" w:styleId="Zkladntextodsazen3">
    <w:name w:val="Body Text Indent 3"/>
    <w:basedOn w:val="Normln"/>
    <w:link w:val="Zkladntextodsazen3Char"/>
    <w:semiHidden/>
    <w:rsid w:val="006415EE"/>
    <w:pPr>
      <w:spacing w:after="120" w:line="240" w:lineRule="auto"/>
      <w:ind w:left="60"/>
    </w:pPr>
    <w:rPr>
      <w:noProof w:val="0"/>
      <w:szCs w:val="20"/>
      <w:lang w:val="en-US" w:eastAsia="cs-CZ" w:bidi="ar-SA"/>
    </w:rPr>
  </w:style>
  <w:style w:type="character" w:customStyle="1" w:styleId="Zkladntextodsazen3Char">
    <w:name w:val="Základní text odsazený 3 Char"/>
    <w:basedOn w:val="Standardnpsmoodstavce"/>
    <w:link w:val="Zkladntextodsazen3"/>
    <w:semiHidden/>
    <w:rsid w:val="006415EE"/>
    <w:rPr>
      <w:rFonts w:ascii="Times New Roman" w:hAnsi="Times New Roman"/>
      <w:sz w:val="22"/>
      <w:lang w:val="en-US"/>
    </w:rPr>
  </w:style>
  <w:style w:type="paragraph" w:customStyle="1" w:styleId="Nadpes">
    <w:name w:val="Nadpes"/>
    <w:basedOn w:val="Nadpis2"/>
    <w:rsid w:val="006415EE"/>
    <w:pPr>
      <w:widowControl w:val="0"/>
      <w:numPr>
        <w:numId w:val="41"/>
      </w:numPr>
      <w:tabs>
        <w:tab w:val="center" w:pos="1134"/>
      </w:tabs>
      <w:autoSpaceDE w:val="0"/>
      <w:autoSpaceDN w:val="0"/>
      <w:adjustRightInd w:val="0"/>
      <w:spacing w:before="360" w:after="120" w:line="240" w:lineRule="auto"/>
    </w:pPr>
    <w:rPr>
      <w:bCs/>
      <w:iCs w:val="0"/>
      <w:noProof w:val="0"/>
      <w:color w:val="808000"/>
      <w:kern w:val="0"/>
      <w:sz w:val="28"/>
      <w:szCs w:val="24"/>
      <w:lang w:val="en-US" w:eastAsia="cs-CZ" w:bidi="ar-SA"/>
    </w:rPr>
  </w:style>
  <w:style w:type="paragraph" w:customStyle="1" w:styleId="Nadpepes">
    <w:name w:val="Nadpepes"/>
    <w:basedOn w:val="Nadpis2"/>
    <w:rsid w:val="006415EE"/>
    <w:pPr>
      <w:widowControl w:val="0"/>
      <w:tabs>
        <w:tab w:val="num" w:pos="360"/>
        <w:tab w:val="center" w:pos="1134"/>
      </w:tabs>
      <w:autoSpaceDE w:val="0"/>
      <w:autoSpaceDN w:val="0"/>
      <w:adjustRightInd w:val="0"/>
      <w:spacing w:before="360" w:after="120" w:line="240" w:lineRule="auto"/>
    </w:pPr>
    <w:rPr>
      <w:bCs/>
      <w:i/>
      <w:noProof w:val="0"/>
      <w:color w:val="808000"/>
      <w:kern w:val="0"/>
      <w:sz w:val="26"/>
      <w:szCs w:val="24"/>
      <w:lang w:val="en-US" w:eastAsia="cs-CZ" w:bidi="ar-SA"/>
    </w:rPr>
  </w:style>
  <w:style w:type="paragraph" w:customStyle="1" w:styleId="Nadpepepes">
    <w:name w:val="Nadpepepes"/>
    <w:basedOn w:val="Nadpis4"/>
    <w:rsid w:val="006415EE"/>
    <w:pPr>
      <w:numPr>
        <w:ilvl w:val="2"/>
        <w:numId w:val="41"/>
      </w:numPr>
      <w:tabs>
        <w:tab w:val="center" w:pos="4536"/>
        <w:tab w:val="left" w:pos="8306"/>
        <w:tab w:val="right" w:pos="10206"/>
      </w:tabs>
      <w:spacing w:after="0" w:line="240" w:lineRule="auto"/>
    </w:pPr>
    <w:rPr>
      <w:b/>
      <w:noProof w:val="0"/>
      <w:color w:val="808000"/>
      <w:sz w:val="22"/>
      <w:szCs w:val="20"/>
      <w:lang w:val="en-US" w:eastAsia="cs-CZ" w:bidi="ar-SA"/>
    </w:rPr>
  </w:style>
  <w:style w:type="paragraph" w:customStyle="1" w:styleId="Pedmtkomente1">
    <w:name w:val="Předmět komentáře1"/>
    <w:basedOn w:val="Textkomente"/>
    <w:next w:val="Textkomente"/>
    <w:semiHidden/>
    <w:rsid w:val="006415EE"/>
    <w:pPr>
      <w:spacing w:line="240" w:lineRule="auto"/>
      <w:jc w:val="left"/>
    </w:pPr>
    <w:rPr>
      <w:b/>
      <w:bCs/>
      <w:noProof w:val="0"/>
      <w:lang w:val="en-US" w:bidi="ar-SA"/>
    </w:rPr>
  </w:style>
  <w:style w:type="paragraph" w:customStyle="1" w:styleId="Textbubliny1">
    <w:name w:val="Text bubliny1"/>
    <w:basedOn w:val="Normln"/>
    <w:semiHidden/>
    <w:rsid w:val="006415EE"/>
    <w:pPr>
      <w:spacing w:line="240" w:lineRule="auto"/>
      <w:jc w:val="left"/>
    </w:pPr>
    <w:rPr>
      <w:rFonts w:ascii="Tahoma" w:hAnsi="Tahoma" w:cs="Tahoma"/>
      <w:noProof w:val="0"/>
      <w:sz w:val="16"/>
      <w:szCs w:val="16"/>
      <w:lang w:val="en-US" w:bidi="ar-SA"/>
    </w:rPr>
  </w:style>
  <w:style w:type="paragraph" w:styleId="Obsah4">
    <w:name w:val="toc 4"/>
    <w:basedOn w:val="Normln"/>
    <w:next w:val="Normln"/>
    <w:autoRedefine/>
    <w:uiPriority w:val="39"/>
    <w:rsid w:val="006415EE"/>
    <w:pPr>
      <w:ind w:left="720"/>
      <w:jc w:val="left"/>
    </w:pPr>
    <w:rPr>
      <w:rFonts w:asciiTheme="minorHAnsi" w:hAnsiTheme="minorHAnsi"/>
      <w:sz w:val="18"/>
      <w:szCs w:val="18"/>
    </w:rPr>
  </w:style>
  <w:style w:type="paragraph" w:styleId="Obsah5">
    <w:name w:val="toc 5"/>
    <w:basedOn w:val="Normln"/>
    <w:next w:val="Normln"/>
    <w:autoRedefine/>
    <w:uiPriority w:val="39"/>
    <w:rsid w:val="006415EE"/>
    <w:pPr>
      <w:ind w:left="960"/>
      <w:jc w:val="left"/>
    </w:pPr>
    <w:rPr>
      <w:rFonts w:asciiTheme="minorHAnsi" w:hAnsiTheme="minorHAnsi"/>
      <w:sz w:val="18"/>
      <w:szCs w:val="18"/>
    </w:rPr>
  </w:style>
  <w:style w:type="paragraph" w:styleId="Obsah6">
    <w:name w:val="toc 6"/>
    <w:basedOn w:val="Normln"/>
    <w:next w:val="Normln"/>
    <w:autoRedefine/>
    <w:uiPriority w:val="39"/>
    <w:rsid w:val="006415EE"/>
    <w:pPr>
      <w:ind w:left="1200"/>
      <w:jc w:val="left"/>
    </w:pPr>
    <w:rPr>
      <w:rFonts w:asciiTheme="minorHAnsi" w:hAnsiTheme="minorHAnsi"/>
      <w:sz w:val="18"/>
      <w:szCs w:val="18"/>
    </w:rPr>
  </w:style>
  <w:style w:type="paragraph" w:styleId="Obsah7">
    <w:name w:val="toc 7"/>
    <w:basedOn w:val="Normln"/>
    <w:next w:val="Normln"/>
    <w:autoRedefine/>
    <w:uiPriority w:val="39"/>
    <w:rsid w:val="006415EE"/>
    <w:pPr>
      <w:ind w:left="1440"/>
      <w:jc w:val="left"/>
    </w:pPr>
    <w:rPr>
      <w:rFonts w:asciiTheme="minorHAnsi" w:hAnsiTheme="minorHAnsi"/>
      <w:sz w:val="18"/>
      <w:szCs w:val="18"/>
    </w:rPr>
  </w:style>
  <w:style w:type="paragraph" w:styleId="Obsah8">
    <w:name w:val="toc 8"/>
    <w:basedOn w:val="Normln"/>
    <w:next w:val="Normln"/>
    <w:autoRedefine/>
    <w:uiPriority w:val="39"/>
    <w:rsid w:val="006415EE"/>
    <w:pPr>
      <w:ind w:left="1680"/>
      <w:jc w:val="left"/>
    </w:pPr>
    <w:rPr>
      <w:rFonts w:asciiTheme="minorHAnsi" w:hAnsiTheme="minorHAnsi"/>
      <w:sz w:val="18"/>
      <w:szCs w:val="18"/>
    </w:rPr>
  </w:style>
  <w:style w:type="paragraph" w:styleId="Obsah9">
    <w:name w:val="toc 9"/>
    <w:basedOn w:val="Normln"/>
    <w:next w:val="Normln"/>
    <w:autoRedefine/>
    <w:uiPriority w:val="39"/>
    <w:rsid w:val="006415EE"/>
    <w:pPr>
      <w:ind w:left="1920"/>
      <w:jc w:val="left"/>
    </w:pPr>
    <w:rPr>
      <w:rFonts w:asciiTheme="minorHAnsi" w:hAnsiTheme="minorHAnsi"/>
      <w:sz w:val="18"/>
      <w:szCs w:val="18"/>
    </w:rPr>
  </w:style>
  <w:style w:type="paragraph" w:customStyle="1" w:styleId="Nadpis2Heading2FirmHeading2Firm13">
    <w:name w:val="Nadpis 2;Heading 2 Firm;Heading 2 Firm13"/>
    <w:basedOn w:val="Normln"/>
    <w:rsid w:val="006415EE"/>
    <w:pPr>
      <w:spacing w:after="120" w:line="240" w:lineRule="auto"/>
    </w:pPr>
    <w:rPr>
      <w:noProof w:val="0"/>
      <w:sz w:val="20"/>
      <w:szCs w:val="20"/>
      <w:lang w:eastAsia="cs-CZ" w:bidi="ar-SA"/>
    </w:rPr>
  </w:style>
  <w:style w:type="paragraph" w:customStyle="1" w:styleId="Nadpis2Heading2FirmHeading2Firm12">
    <w:name w:val="Nadpis 2;Heading 2 Firm;Heading 2 Firm12"/>
    <w:basedOn w:val="Normln"/>
    <w:rsid w:val="006415EE"/>
    <w:pPr>
      <w:spacing w:after="120" w:line="240" w:lineRule="auto"/>
    </w:pPr>
    <w:rPr>
      <w:noProof w:val="0"/>
      <w:sz w:val="20"/>
      <w:szCs w:val="20"/>
      <w:lang w:eastAsia="cs-CZ" w:bidi="ar-SA"/>
    </w:rPr>
  </w:style>
  <w:style w:type="paragraph" w:customStyle="1" w:styleId="Nadpis2Heading2FirmHeading2Firm11">
    <w:name w:val="Nadpis 2;Heading 2 Firm;Heading 2 Firm11"/>
    <w:basedOn w:val="Normln"/>
    <w:rsid w:val="006415EE"/>
    <w:pPr>
      <w:spacing w:after="120" w:line="240" w:lineRule="auto"/>
    </w:pPr>
    <w:rPr>
      <w:noProof w:val="0"/>
      <w:sz w:val="20"/>
      <w:szCs w:val="20"/>
      <w:lang w:eastAsia="cs-CZ" w:bidi="ar-SA"/>
    </w:rPr>
  </w:style>
  <w:style w:type="character" w:customStyle="1" w:styleId="SourceChar">
    <w:name w:val="Source Char"/>
    <w:basedOn w:val="Standardnpsmoodstavce"/>
    <w:rsid w:val="006415EE"/>
    <w:rPr>
      <w:sz w:val="16"/>
      <w:lang w:val="en-GB" w:eastAsia="cs-CZ" w:bidi="ar-SA"/>
    </w:rPr>
  </w:style>
  <w:style w:type="paragraph" w:customStyle="1" w:styleId="font5">
    <w:name w:val="font5"/>
    <w:basedOn w:val="Normln"/>
    <w:rsid w:val="006415EE"/>
    <w:pPr>
      <w:spacing w:before="100" w:beforeAutospacing="1" w:after="100" w:afterAutospacing="1" w:line="240" w:lineRule="auto"/>
      <w:jc w:val="left"/>
    </w:pPr>
    <w:rPr>
      <w:rFonts w:ascii="Tahoma" w:eastAsia="Arial Unicode MS" w:hAnsi="Tahoma" w:cs="Tahoma"/>
      <w:noProof w:val="0"/>
      <w:color w:val="000000"/>
      <w:sz w:val="16"/>
      <w:szCs w:val="16"/>
      <w:lang w:eastAsia="cs-CZ" w:bidi="ar-SA"/>
    </w:rPr>
  </w:style>
  <w:style w:type="paragraph" w:customStyle="1" w:styleId="font6">
    <w:name w:val="font6"/>
    <w:basedOn w:val="Normln"/>
    <w:rsid w:val="006415EE"/>
    <w:pPr>
      <w:spacing w:before="100" w:beforeAutospacing="1" w:after="100" w:afterAutospacing="1" w:line="240" w:lineRule="auto"/>
      <w:jc w:val="left"/>
    </w:pPr>
    <w:rPr>
      <w:rFonts w:ascii="Tahoma" w:eastAsia="Arial Unicode MS" w:hAnsi="Tahoma" w:cs="Tahoma"/>
      <w:b/>
      <w:bCs/>
      <w:noProof w:val="0"/>
      <w:color w:val="000000"/>
      <w:sz w:val="16"/>
      <w:szCs w:val="16"/>
      <w:lang w:eastAsia="cs-CZ" w:bidi="ar-SA"/>
    </w:rPr>
  </w:style>
  <w:style w:type="paragraph" w:customStyle="1" w:styleId="xl24">
    <w:name w:val="xl24"/>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25">
    <w:name w:val="xl25"/>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26">
    <w:name w:val="xl26"/>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27">
    <w:name w:val="xl27"/>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28">
    <w:name w:val="xl28"/>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29">
    <w:name w:val="xl29"/>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0">
    <w:name w:val="xl30"/>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1">
    <w:name w:val="xl31"/>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2">
    <w:name w:val="xl32"/>
    <w:basedOn w:val="Normln"/>
    <w:rsid w:val="006415EE"/>
    <w:pPr>
      <w:pBdr>
        <w:top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3">
    <w:name w:val="xl33"/>
    <w:basedOn w:val="Normln"/>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5">
    <w:name w:val="xl35"/>
    <w:basedOn w:val="Normln"/>
    <w:rsid w:val="006415EE"/>
    <w:pP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36">
    <w:name w:val="xl36"/>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7">
    <w:name w:val="xl37"/>
    <w:basedOn w:val="Normln"/>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38">
    <w:name w:val="xl38"/>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9">
    <w:name w:val="xl39"/>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0">
    <w:name w:val="xl40"/>
    <w:basedOn w:val="Normln"/>
    <w:rsid w:val="006415EE"/>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41">
    <w:name w:val="xl41"/>
    <w:basedOn w:val="Normln"/>
    <w:rsid w:val="006415EE"/>
    <w:pP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42">
    <w:name w:val="xl42"/>
    <w:basedOn w:val="Normln"/>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43">
    <w:name w:val="xl43"/>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4">
    <w:name w:val="xl44"/>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5">
    <w:name w:val="xl45"/>
    <w:basedOn w:val="Normln"/>
    <w:rsid w:val="006415E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6">
    <w:name w:val="xl46"/>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7">
    <w:name w:val="xl47"/>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8">
    <w:name w:val="xl48"/>
    <w:basedOn w:val="Normln"/>
    <w:rsid w:val="006415E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49">
    <w:name w:val="xl49"/>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0">
    <w:name w:val="xl50"/>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51">
    <w:name w:val="xl51"/>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52">
    <w:name w:val="xl52"/>
    <w:basedOn w:val="Normln"/>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3">
    <w:name w:val="xl53"/>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4">
    <w:name w:val="xl54"/>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5">
    <w:name w:val="xl55"/>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6">
    <w:name w:val="xl56"/>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57">
    <w:name w:val="xl57"/>
    <w:basedOn w:val="Normln"/>
    <w:rsid w:val="006415E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58">
    <w:name w:val="xl58"/>
    <w:basedOn w:val="Normln"/>
    <w:rsid w:val="006415E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59">
    <w:name w:val="xl59"/>
    <w:basedOn w:val="Normln"/>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60">
    <w:name w:val="xl60"/>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61">
    <w:name w:val="xl61"/>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2">
    <w:name w:val="xl62"/>
    <w:basedOn w:val="Normln"/>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3">
    <w:name w:val="xl63"/>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4">
    <w:name w:val="xl64"/>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5">
    <w:name w:val="xl65"/>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6">
    <w:name w:val="xl66"/>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7">
    <w:name w:val="xl67"/>
    <w:basedOn w:val="Normln"/>
    <w:rsid w:val="006415E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8">
    <w:name w:val="xl68"/>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9">
    <w:name w:val="xl69"/>
    <w:basedOn w:val="Normln"/>
    <w:rsid w:val="006415E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0">
    <w:name w:val="xl70"/>
    <w:basedOn w:val="Normln"/>
    <w:rsid w:val="006415EE"/>
    <w:pPr>
      <w:pBdr>
        <w:top w:val="single" w:sz="4" w:space="0" w:color="auto"/>
        <w:lef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1">
    <w:name w:val="xl71"/>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72">
    <w:name w:val="xl72"/>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73">
    <w:name w:val="xl73"/>
    <w:basedOn w:val="Normln"/>
    <w:rsid w:val="006415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4">
    <w:name w:val="xl74"/>
    <w:basedOn w:val="Normln"/>
    <w:rsid w:val="006415E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5">
    <w:name w:val="xl75"/>
    <w:basedOn w:val="Normln"/>
    <w:rsid w:val="006415E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76">
    <w:name w:val="xl76"/>
    <w:basedOn w:val="Normln"/>
    <w:rsid w:val="006415EE"/>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7">
    <w:name w:val="xl77"/>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8">
    <w:name w:val="xl78"/>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9">
    <w:name w:val="xl79"/>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80">
    <w:name w:val="xl80"/>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81">
    <w:name w:val="xl81"/>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82">
    <w:name w:val="xl82"/>
    <w:basedOn w:val="Normln"/>
    <w:rsid w:val="006415EE"/>
    <w:pPr>
      <w:pBdr>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3">
    <w:name w:val="xl83"/>
    <w:basedOn w:val="Normln"/>
    <w:rsid w:val="006415EE"/>
    <w:pPr>
      <w:pBdr>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4">
    <w:name w:val="xl84"/>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5">
    <w:name w:val="xl85"/>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6">
    <w:name w:val="xl86"/>
    <w:basedOn w:val="Normln"/>
    <w:rsid w:val="006415EE"/>
    <w:pPr>
      <w:pBdr>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7">
    <w:name w:val="xl87"/>
    <w:basedOn w:val="Normln"/>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8">
    <w:name w:val="xl88"/>
    <w:basedOn w:val="Normln"/>
    <w:rsid w:val="006415EE"/>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9">
    <w:name w:val="xl89"/>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0">
    <w:name w:val="xl90"/>
    <w:basedOn w:val="Normln"/>
    <w:rsid w:val="006415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1">
    <w:name w:val="xl91"/>
    <w:basedOn w:val="Normln"/>
    <w:rsid w:val="006415EE"/>
    <w:pPr>
      <w:pBdr>
        <w:lef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2">
    <w:name w:val="xl92"/>
    <w:basedOn w:val="Normln"/>
    <w:rsid w:val="006415EE"/>
    <w:pPr>
      <w:pBdr>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3">
    <w:name w:val="xl93"/>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94">
    <w:name w:val="xl94"/>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95">
    <w:name w:val="xl95"/>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6">
    <w:name w:val="xl96"/>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7">
    <w:name w:val="xl97"/>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8">
    <w:name w:val="xl98"/>
    <w:basedOn w:val="Normln"/>
    <w:rsid w:val="006415EE"/>
    <w:pPr>
      <w:pBdr>
        <w:top w:val="single" w:sz="8"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9">
    <w:name w:val="xl99"/>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0">
    <w:name w:val="xl100"/>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1">
    <w:name w:val="xl101"/>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2">
    <w:name w:val="xl102"/>
    <w:basedOn w:val="Normln"/>
    <w:rsid w:val="006415EE"/>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03">
    <w:name w:val="xl103"/>
    <w:basedOn w:val="Normln"/>
    <w:rsid w:val="006415EE"/>
    <w:pPr>
      <w:pBdr>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4">
    <w:name w:val="xl104"/>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5">
    <w:name w:val="xl105"/>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06">
    <w:name w:val="xl106"/>
    <w:basedOn w:val="Normln"/>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07">
    <w:name w:val="xl107"/>
    <w:basedOn w:val="Normln"/>
    <w:rsid w:val="006415E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8">
    <w:name w:val="xl108"/>
    <w:basedOn w:val="Normln"/>
    <w:rsid w:val="006415EE"/>
    <w:pPr>
      <w:pBdr>
        <w:top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9">
    <w:name w:val="xl109"/>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0">
    <w:name w:val="xl110"/>
    <w:basedOn w:val="Normln"/>
    <w:rsid w:val="006415EE"/>
    <w:pPr>
      <w:pBdr>
        <w:top w:val="single" w:sz="8"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1">
    <w:name w:val="xl111"/>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color w:val="FF0000"/>
      <w:lang w:eastAsia="cs-CZ" w:bidi="ar-SA"/>
    </w:rPr>
  </w:style>
  <w:style w:type="paragraph" w:customStyle="1" w:styleId="xl112">
    <w:name w:val="xl112"/>
    <w:basedOn w:val="Normln"/>
    <w:rsid w:val="006415EE"/>
    <w:pPr>
      <w:pBdr>
        <w:top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3">
    <w:name w:val="xl113"/>
    <w:basedOn w:val="Normln"/>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4">
    <w:name w:val="xl114"/>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15">
    <w:name w:val="xl115"/>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16">
    <w:name w:val="xl116"/>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noProof w:val="0"/>
      <w:lang w:eastAsia="cs-CZ" w:bidi="ar-SA"/>
    </w:rPr>
  </w:style>
  <w:style w:type="paragraph" w:customStyle="1" w:styleId="xl117">
    <w:name w:val="xl117"/>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noProof w:val="0"/>
      <w:lang w:eastAsia="cs-CZ" w:bidi="ar-SA"/>
    </w:rPr>
  </w:style>
  <w:style w:type="paragraph" w:customStyle="1" w:styleId="xl118">
    <w:name w:val="xl118"/>
    <w:basedOn w:val="Normln"/>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9">
    <w:name w:val="xl119"/>
    <w:basedOn w:val="Normln"/>
    <w:rsid w:val="006415EE"/>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120">
    <w:name w:val="xl120"/>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21">
    <w:name w:val="xl121"/>
    <w:basedOn w:val="Normln"/>
    <w:rsid w:val="006415EE"/>
    <w:pPr>
      <w:pBdr>
        <w:top w:val="single" w:sz="8"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2">
    <w:name w:val="xl122"/>
    <w:basedOn w:val="Normln"/>
    <w:rsid w:val="006415EE"/>
    <w:pPr>
      <w:pBdr>
        <w:top w:val="single" w:sz="4" w:space="0" w:color="auto"/>
        <w:lef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23">
    <w:name w:val="xl123"/>
    <w:basedOn w:val="Normln"/>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4">
    <w:name w:val="xl124"/>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25">
    <w:name w:val="xl125"/>
    <w:basedOn w:val="Normln"/>
    <w:rsid w:val="006415EE"/>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6">
    <w:name w:val="xl126"/>
    <w:basedOn w:val="Normln"/>
    <w:rsid w:val="006415EE"/>
    <w:pPr>
      <w:pBdr>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7">
    <w:name w:val="xl127"/>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28">
    <w:name w:val="xl128"/>
    <w:basedOn w:val="Normln"/>
    <w:rsid w:val="006415EE"/>
    <w:pPr>
      <w:pBdr>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9">
    <w:name w:val="xl129"/>
    <w:basedOn w:val="Normln"/>
    <w:rsid w:val="006415EE"/>
    <w:pPr>
      <w:pBdr>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30">
    <w:name w:val="xl130"/>
    <w:basedOn w:val="Normln"/>
    <w:rsid w:val="006415EE"/>
    <w:pPr>
      <w:pBdr>
        <w:lef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1">
    <w:name w:val="xl131"/>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2">
    <w:name w:val="xl132"/>
    <w:basedOn w:val="Normln"/>
    <w:rsid w:val="006415EE"/>
    <w:pPr>
      <w:pBdr>
        <w:top w:val="single" w:sz="4" w:space="0" w:color="auto"/>
        <w:left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3">
    <w:name w:val="xl133"/>
    <w:basedOn w:val="Normln"/>
    <w:rsid w:val="006415EE"/>
    <w:pPr>
      <w:pBdr>
        <w:top w:val="single" w:sz="8"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34">
    <w:name w:val="xl134"/>
    <w:basedOn w:val="Normln"/>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35">
    <w:name w:val="xl135"/>
    <w:basedOn w:val="Normln"/>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36">
    <w:name w:val="xl136"/>
    <w:basedOn w:val="Normln"/>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7">
    <w:name w:val="xl137"/>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8">
    <w:name w:val="xl138"/>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9">
    <w:name w:val="xl139"/>
    <w:basedOn w:val="Normln"/>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0">
    <w:name w:val="xl140"/>
    <w:basedOn w:val="Normln"/>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41">
    <w:name w:val="xl141"/>
    <w:basedOn w:val="Normln"/>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2">
    <w:name w:val="xl142"/>
    <w:basedOn w:val="Normln"/>
    <w:rsid w:val="006415EE"/>
    <w:pPr>
      <w:pBdr>
        <w:top w:val="single" w:sz="8" w:space="0" w:color="auto"/>
        <w:bottom w:val="single" w:sz="8" w:space="0" w:color="auto"/>
        <w:right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3">
    <w:name w:val="xl143"/>
    <w:basedOn w:val="Normln"/>
    <w:rsid w:val="006415EE"/>
    <w:pPr>
      <w:pBdr>
        <w:top w:val="single" w:sz="8" w:space="0" w:color="auto"/>
        <w:left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b/>
      <w:bCs/>
      <w:noProof w:val="0"/>
      <w:color w:val="FFFFFF"/>
      <w:lang w:eastAsia="cs-CZ" w:bidi="ar-SA"/>
    </w:rPr>
  </w:style>
  <w:style w:type="paragraph" w:customStyle="1" w:styleId="xl144">
    <w:name w:val="xl144"/>
    <w:basedOn w:val="Normln"/>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5">
    <w:name w:val="xl145"/>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6">
    <w:name w:val="xl146"/>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7">
    <w:name w:val="xl147"/>
    <w:basedOn w:val="Normln"/>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34">
    <w:name w:val="xl34"/>
    <w:basedOn w:val="Normln"/>
    <w:rsid w:val="006415EE"/>
    <w:pPr>
      <w:pBdr>
        <w:top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8">
    <w:name w:val="xl148"/>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9">
    <w:name w:val="xl149"/>
    <w:basedOn w:val="Normln"/>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character" w:customStyle="1" w:styleId="cun1">
    <w:name w:val="cun1"/>
    <w:basedOn w:val="Standardnpsmoodstavce"/>
    <w:rsid w:val="006415EE"/>
    <w:rPr>
      <w:sz w:val="16"/>
      <w:szCs w:val="16"/>
    </w:rPr>
  </w:style>
  <w:style w:type="character" w:customStyle="1" w:styleId="cu1">
    <w:name w:val="cu1"/>
    <w:basedOn w:val="Standardnpsmoodstavce"/>
    <w:rsid w:val="006415EE"/>
    <w:rPr>
      <w:i/>
      <w:iCs/>
      <w:sz w:val="16"/>
      <w:szCs w:val="16"/>
    </w:rPr>
  </w:style>
  <w:style w:type="paragraph" w:customStyle="1" w:styleId="source0">
    <w:name w:val="source"/>
    <w:basedOn w:val="Normln"/>
    <w:rsid w:val="006415EE"/>
    <w:pPr>
      <w:spacing w:line="240" w:lineRule="auto"/>
    </w:pPr>
    <w:rPr>
      <w:noProof w:val="0"/>
      <w:sz w:val="16"/>
      <w:lang w:val="en-US" w:eastAsia="cs-CZ" w:bidi="ar-SA"/>
    </w:rPr>
  </w:style>
  <w:style w:type="paragraph" w:customStyle="1" w:styleId="center">
    <w:name w:val="center"/>
    <w:basedOn w:val="Normln"/>
    <w:rsid w:val="006415EE"/>
    <w:pP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character" w:customStyle="1" w:styleId="vtwelve1">
    <w:name w:val="vtwelve1"/>
    <w:basedOn w:val="Standardnpsmoodstavce"/>
    <w:rsid w:val="006415EE"/>
    <w:rPr>
      <w:rFonts w:ascii="Verdana" w:hAnsi="Verdana" w:hint="default"/>
      <w:sz w:val="18"/>
      <w:szCs w:val="18"/>
    </w:rPr>
  </w:style>
  <w:style w:type="numbering" w:customStyle="1" w:styleId="NoList3">
    <w:name w:val="No List3"/>
    <w:next w:val="Bezseznamu"/>
    <w:uiPriority w:val="99"/>
    <w:semiHidden/>
    <w:unhideWhenUsed/>
    <w:rsid w:val="006415EE"/>
  </w:style>
  <w:style w:type="character" w:customStyle="1" w:styleId="CharChar19">
    <w:name w:val="Char Char19"/>
    <w:basedOn w:val="Standardnpsmoodstavce"/>
    <w:rsid w:val="006415EE"/>
    <w:rPr>
      <w:rFonts w:ascii="Arial" w:hAnsi="Arial"/>
      <w:b/>
      <w:bCs/>
      <w:i/>
      <w:iCs/>
      <w:sz w:val="26"/>
      <w:szCs w:val="26"/>
    </w:rPr>
  </w:style>
  <w:style w:type="character" w:customStyle="1" w:styleId="CharChar18">
    <w:name w:val="Char Char18"/>
    <w:basedOn w:val="Standardnpsmoodstavce"/>
    <w:rsid w:val="006415EE"/>
    <w:rPr>
      <w:b/>
      <w:bCs/>
      <w:szCs w:val="22"/>
    </w:rPr>
  </w:style>
  <w:style w:type="character" w:customStyle="1" w:styleId="CharChar17">
    <w:name w:val="Char Char17"/>
    <w:basedOn w:val="Standardnpsmoodstavce"/>
    <w:rsid w:val="006415EE"/>
    <w:rPr>
      <w:sz w:val="24"/>
      <w:szCs w:val="24"/>
    </w:rPr>
  </w:style>
  <w:style w:type="character" w:customStyle="1" w:styleId="CharChar16">
    <w:name w:val="Char Char16"/>
    <w:basedOn w:val="Standardnpsmoodstavce"/>
    <w:rsid w:val="006415EE"/>
    <w:rPr>
      <w:i/>
      <w:iCs/>
      <w:sz w:val="24"/>
      <w:szCs w:val="24"/>
    </w:rPr>
  </w:style>
  <w:style w:type="character" w:customStyle="1" w:styleId="CharChar15">
    <w:name w:val="Char Char15"/>
    <w:basedOn w:val="Standardnpsmoodstavce"/>
    <w:rsid w:val="006415EE"/>
    <w:rPr>
      <w:rFonts w:ascii="Arial" w:hAnsi="Arial" w:cs="Arial"/>
      <w:szCs w:val="22"/>
    </w:rPr>
  </w:style>
  <w:style w:type="character" w:customStyle="1" w:styleId="CharChar14">
    <w:name w:val="Char Char14"/>
    <w:basedOn w:val="Standardnpsmoodstavce"/>
    <w:rsid w:val="006415EE"/>
    <w:rPr>
      <w:rFonts w:ascii="Arial" w:hAnsi="Arial"/>
      <w:szCs w:val="24"/>
      <w:lang w:val="cs-CZ" w:eastAsia="cs-CZ" w:bidi="ar-SA"/>
    </w:rPr>
  </w:style>
  <w:style w:type="character" w:customStyle="1" w:styleId="CharChar13">
    <w:name w:val="Char Char13"/>
    <w:basedOn w:val="Standardnpsmoodstavce"/>
    <w:semiHidden/>
    <w:rsid w:val="006415EE"/>
    <w:rPr>
      <w:rFonts w:ascii="Arial" w:hAnsi="Arial"/>
      <w:sz w:val="16"/>
      <w:lang w:val="cs-CZ" w:eastAsia="cs-CZ" w:bidi="ar-SA"/>
    </w:rPr>
  </w:style>
  <w:style w:type="paragraph" w:customStyle="1" w:styleId="footnote">
    <w:name w:val="footnote"/>
    <w:basedOn w:val="Textpoznpodarou"/>
    <w:rsid w:val="006415EE"/>
    <w:pPr>
      <w:spacing w:after="120" w:line="288" w:lineRule="auto"/>
    </w:pPr>
    <w:rPr>
      <w:rFonts w:ascii="Arial" w:hAnsi="Arial"/>
      <w:sz w:val="16"/>
    </w:rPr>
  </w:style>
  <w:style w:type="character" w:customStyle="1" w:styleId="footnoteChar">
    <w:name w:val="footnote Char"/>
    <w:rsid w:val="006415EE"/>
    <w:rPr>
      <w:rFonts w:ascii="Arial" w:hAnsi="Arial"/>
      <w:sz w:val="16"/>
      <w:lang w:val="cs-CZ" w:eastAsia="cs-CZ" w:bidi="ar-SA"/>
    </w:rPr>
  </w:style>
  <w:style w:type="paragraph" w:customStyle="1" w:styleId="StyleHeading2Italic">
    <w:name w:val="Style Heading 2 + Italic"/>
    <w:basedOn w:val="Nadpis2"/>
    <w:rsid w:val="006415EE"/>
    <w:pPr>
      <w:tabs>
        <w:tab w:val="num" w:pos="576"/>
      </w:tabs>
      <w:spacing w:before="0" w:after="120" w:line="288" w:lineRule="auto"/>
    </w:pPr>
    <w:rPr>
      <w:bCs/>
      <w:noProof w:val="0"/>
      <w:color w:val="000080"/>
      <w:kern w:val="0"/>
      <w:sz w:val="20"/>
      <w:lang w:eastAsia="cs-CZ" w:bidi="ar-SA"/>
    </w:rPr>
  </w:style>
  <w:style w:type="character" w:customStyle="1" w:styleId="CharChar11">
    <w:name w:val="Char Char11"/>
    <w:basedOn w:val="Standardnpsmoodstavce"/>
    <w:rsid w:val="006415EE"/>
    <w:rPr>
      <w:rFonts w:ascii="Arial Narrow" w:hAnsi="Arial Narrow"/>
      <w:szCs w:val="24"/>
      <w:lang w:val="cs-CZ" w:eastAsia="cs-CZ" w:bidi="ar-SA"/>
    </w:rPr>
  </w:style>
  <w:style w:type="paragraph" w:customStyle="1" w:styleId="Zdroj">
    <w:name w:val="Zdroj"/>
    <w:basedOn w:val="Normln"/>
    <w:next w:val="Normln"/>
    <w:rsid w:val="006415EE"/>
    <w:pPr>
      <w:spacing w:after="120" w:line="288" w:lineRule="auto"/>
    </w:pPr>
    <w:rPr>
      <w:noProof w:val="0"/>
      <w:sz w:val="18"/>
      <w:lang w:eastAsia="cs-CZ" w:bidi="ar-SA"/>
    </w:rPr>
  </w:style>
  <w:style w:type="character" w:customStyle="1" w:styleId="ZdrojChar">
    <w:name w:val="Zdroj Char"/>
    <w:basedOn w:val="Standardnpsmoodstavce"/>
    <w:rsid w:val="006415EE"/>
    <w:rPr>
      <w:rFonts w:ascii="Arial" w:hAnsi="Arial"/>
      <w:sz w:val="18"/>
      <w:szCs w:val="24"/>
      <w:lang w:val="cs-CZ" w:eastAsia="cs-CZ" w:bidi="ar-SA"/>
    </w:rPr>
  </w:style>
  <w:style w:type="table" w:customStyle="1" w:styleId="TableGrid2">
    <w:name w:val="Table Grid2"/>
    <w:basedOn w:val="Normlntabulka"/>
    <w:next w:val="Mkatabulky"/>
    <w:uiPriority w:val="59"/>
    <w:rsid w:val="006415EE"/>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
    <w:name w:val="Box"/>
    <w:basedOn w:val="Normln"/>
    <w:rsid w:val="006415EE"/>
    <w:pPr>
      <w:pBdr>
        <w:top w:val="single" w:sz="12" w:space="1" w:color="808080"/>
        <w:left w:val="single" w:sz="12" w:space="4" w:color="808080"/>
        <w:bottom w:val="single" w:sz="12" w:space="1" w:color="808080"/>
        <w:right w:val="single" w:sz="12" w:space="4" w:color="808080"/>
      </w:pBdr>
      <w:spacing w:after="120" w:line="288" w:lineRule="auto"/>
    </w:pPr>
    <w:rPr>
      <w:noProof w:val="0"/>
      <w:sz w:val="20"/>
      <w:lang w:eastAsia="cs-CZ" w:bidi="ar-SA"/>
    </w:rPr>
  </w:style>
  <w:style w:type="character" w:customStyle="1" w:styleId="google-src-text">
    <w:name w:val="google-src-text"/>
    <w:basedOn w:val="Standardnpsmoodstavce"/>
    <w:rsid w:val="006415EE"/>
  </w:style>
  <w:style w:type="character" w:customStyle="1" w:styleId="CharChar10">
    <w:name w:val="Char Char10"/>
    <w:basedOn w:val="Standardnpsmoodstavce"/>
    <w:rsid w:val="006415EE"/>
    <w:rPr>
      <w:rFonts w:ascii="Arial" w:hAnsi="Arial"/>
      <w:lang w:val="cs-CZ" w:eastAsia="cs-CZ" w:bidi="ar-SA"/>
    </w:rPr>
  </w:style>
  <w:style w:type="character" w:customStyle="1" w:styleId="CharChar9">
    <w:name w:val="Char Char9"/>
    <w:basedOn w:val="Standardnpsmoodstavce"/>
    <w:rsid w:val="006415EE"/>
    <w:rPr>
      <w:rFonts w:ascii="Tahoma" w:hAnsi="Tahoma" w:cs="Tahoma"/>
      <w:sz w:val="16"/>
      <w:szCs w:val="16"/>
      <w:lang w:val="cs-CZ" w:eastAsia="cs-CZ" w:bidi="ar-SA"/>
    </w:rPr>
  </w:style>
  <w:style w:type="paragraph" w:customStyle="1" w:styleId="normln0">
    <w:name w:val="normální"/>
    <w:basedOn w:val="Normln"/>
    <w:rsid w:val="006415EE"/>
    <w:pPr>
      <w:spacing w:before="60" w:after="60" w:line="300" w:lineRule="auto"/>
    </w:pPr>
    <w:rPr>
      <w:noProof w:val="0"/>
      <w:sz w:val="20"/>
      <w:szCs w:val="20"/>
      <w:lang w:eastAsia="cs-CZ" w:bidi="ar-SA"/>
    </w:rPr>
  </w:style>
  <w:style w:type="paragraph" w:customStyle="1" w:styleId="Normln1">
    <w:name w:val="Normální 1"/>
    <w:basedOn w:val="Normln"/>
    <w:next w:val="Normln"/>
    <w:rsid w:val="006415EE"/>
    <w:pPr>
      <w:spacing w:after="120" w:line="288" w:lineRule="auto"/>
    </w:pPr>
    <w:rPr>
      <w:noProof w:val="0"/>
      <w:szCs w:val="20"/>
      <w:lang w:bidi="ar-SA"/>
    </w:rPr>
  </w:style>
  <w:style w:type="character" w:customStyle="1" w:styleId="CharChar8">
    <w:name w:val="Char Char8"/>
    <w:basedOn w:val="CharChar10"/>
    <w:rsid w:val="006415EE"/>
    <w:rPr>
      <w:rFonts w:ascii="Arial" w:hAnsi="Arial"/>
      <w:b/>
      <w:bCs/>
      <w:lang w:val="cs-CZ" w:eastAsia="cs-CZ" w:bidi="ar-SA"/>
    </w:rPr>
  </w:style>
  <w:style w:type="paragraph" w:customStyle="1" w:styleId="orm">
    <w:name w:val="orm"/>
    <w:basedOn w:val="Titulek"/>
    <w:rsid w:val="006415EE"/>
    <w:pPr>
      <w:widowControl w:val="0"/>
      <w:spacing w:before="0" w:line="288" w:lineRule="auto"/>
      <w:contextualSpacing w:val="0"/>
      <w:jc w:val="left"/>
    </w:pPr>
    <w:rPr>
      <w:rFonts w:ascii="Garamond" w:hAnsi="Garamond"/>
      <w:bCs/>
      <w:i/>
      <w:noProof w:val="0"/>
      <w:color w:val="000000"/>
      <w:spacing w:val="0"/>
      <w:sz w:val="20"/>
      <w:szCs w:val="20"/>
      <w:lang w:eastAsia="cs-CZ" w:bidi="ar-SA"/>
    </w:rPr>
  </w:style>
  <w:style w:type="character" w:customStyle="1" w:styleId="CharChar12">
    <w:name w:val="Char Char12"/>
    <w:basedOn w:val="Standardnpsmoodstavce"/>
    <w:rsid w:val="006415EE"/>
    <w:rPr>
      <w:rFonts w:ascii="Arial" w:eastAsia="Times New Roman" w:hAnsi="Arial"/>
      <w:sz w:val="16"/>
    </w:rPr>
  </w:style>
  <w:style w:type="paragraph" w:customStyle="1" w:styleId="CM4">
    <w:name w:val="CM4"/>
    <w:basedOn w:val="Default"/>
    <w:next w:val="Default"/>
    <w:uiPriority w:val="99"/>
    <w:rsid w:val="006415EE"/>
  </w:style>
  <w:style w:type="character" w:customStyle="1" w:styleId="CharChar7">
    <w:name w:val="Char Char7"/>
    <w:basedOn w:val="Standardnpsmoodstavce"/>
    <w:rsid w:val="006415EE"/>
    <w:rPr>
      <w:rFonts w:ascii="Arial" w:hAnsi="Arial"/>
      <w:i/>
      <w:iCs/>
      <w:sz w:val="22"/>
      <w:szCs w:val="24"/>
      <w:lang w:val="cs-CZ" w:eastAsia="cs-CZ" w:bidi="ar-SA"/>
    </w:rPr>
  </w:style>
  <w:style w:type="character" w:customStyle="1" w:styleId="CharChar6">
    <w:name w:val="Char Char6"/>
    <w:basedOn w:val="Standardnpsmoodstavce"/>
    <w:rsid w:val="006415EE"/>
    <w:rPr>
      <w:rFonts w:ascii="Arial" w:hAnsi="Arial"/>
      <w:sz w:val="32"/>
      <w:lang w:val="cs-CZ" w:eastAsia="cs-CZ" w:bidi="ar-SA"/>
    </w:rPr>
  </w:style>
  <w:style w:type="paragraph" w:customStyle="1" w:styleId="Nadpisobsahuaseznamu">
    <w:name w:val="Nadpis obsahu a seznamu"/>
    <w:basedOn w:val="Obsah1"/>
    <w:rsid w:val="006415EE"/>
    <w:pPr>
      <w:spacing w:before="240" w:after="240"/>
    </w:pPr>
    <w:rPr>
      <w:rFonts w:ascii="Arial" w:hAnsi="Arial" w:cs="Arial"/>
      <w:sz w:val="28"/>
      <w:lang w:eastAsia="cs-CZ"/>
    </w:rPr>
  </w:style>
  <w:style w:type="paragraph" w:customStyle="1" w:styleId="Zkratky">
    <w:name w:val="Zkratky"/>
    <w:basedOn w:val="Normln"/>
    <w:rsid w:val="006415EE"/>
    <w:pPr>
      <w:tabs>
        <w:tab w:val="left" w:leader="dot" w:pos="2835"/>
      </w:tabs>
      <w:spacing w:before="120" w:after="120" w:line="240" w:lineRule="auto"/>
      <w:jc w:val="left"/>
    </w:pPr>
    <w:rPr>
      <w:noProof w:val="0"/>
      <w:lang w:eastAsia="cs-CZ" w:bidi="ar-SA"/>
    </w:rPr>
  </w:style>
  <w:style w:type="paragraph" w:customStyle="1" w:styleId="Zhlavtabulky">
    <w:name w:val="Záhlaví tabulky"/>
    <w:basedOn w:val="Normln"/>
    <w:rsid w:val="006415EE"/>
    <w:pPr>
      <w:spacing w:before="120" w:after="120" w:line="240" w:lineRule="auto"/>
      <w:jc w:val="center"/>
    </w:pPr>
    <w:rPr>
      <w:b/>
      <w:noProof w:val="0"/>
      <w:lang w:eastAsia="cs-CZ" w:bidi="ar-SA"/>
    </w:rPr>
  </w:style>
  <w:style w:type="paragraph" w:customStyle="1" w:styleId="Bullet1">
    <w:name w:val="Bullet 1"/>
    <w:basedOn w:val="Normln"/>
    <w:rsid w:val="006415EE"/>
    <w:pPr>
      <w:numPr>
        <w:numId w:val="42"/>
      </w:numPr>
      <w:spacing w:before="120" w:after="120" w:line="240" w:lineRule="auto"/>
      <w:jc w:val="left"/>
    </w:pPr>
    <w:rPr>
      <w:noProof w:val="0"/>
      <w:lang w:eastAsia="cs-CZ" w:bidi="ar-SA"/>
    </w:rPr>
  </w:style>
  <w:style w:type="paragraph" w:customStyle="1" w:styleId="Bullet2">
    <w:name w:val="Bullet 2"/>
    <w:basedOn w:val="Normln"/>
    <w:rsid w:val="006415EE"/>
    <w:pPr>
      <w:numPr>
        <w:numId w:val="43"/>
      </w:numPr>
      <w:tabs>
        <w:tab w:val="clear" w:pos="720"/>
        <w:tab w:val="left" w:pos="851"/>
      </w:tabs>
      <w:spacing w:before="120" w:after="120" w:line="240" w:lineRule="auto"/>
      <w:ind w:left="851" w:hanging="284"/>
      <w:jc w:val="left"/>
    </w:pPr>
    <w:rPr>
      <w:noProof w:val="0"/>
      <w:lang w:eastAsia="cs-CZ" w:bidi="ar-SA"/>
    </w:rPr>
  </w:style>
  <w:style w:type="character" w:customStyle="1" w:styleId="CharChar5">
    <w:name w:val="Char Char5"/>
    <w:basedOn w:val="Standardnpsmoodstavce"/>
    <w:rsid w:val="006415EE"/>
    <w:rPr>
      <w:rFonts w:ascii="Arial" w:hAnsi="Arial"/>
      <w:b/>
      <w:bCs/>
      <w:sz w:val="22"/>
      <w:szCs w:val="24"/>
      <w:lang w:val="cs-CZ" w:eastAsia="cs-CZ" w:bidi="ar-SA"/>
    </w:rPr>
  </w:style>
  <w:style w:type="character" w:customStyle="1" w:styleId="CharChar4">
    <w:name w:val="Char Char4"/>
    <w:basedOn w:val="Standardnpsmoodstavce"/>
    <w:rsid w:val="006415EE"/>
    <w:rPr>
      <w:rFonts w:ascii="Arial" w:hAnsi="Arial"/>
      <w:sz w:val="22"/>
      <w:szCs w:val="24"/>
      <w:lang w:val="cs-CZ" w:eastAsia="cs-CZ" w:bidi="ar-SA"/>
    </w:rPr>
  </w:style>
  <w:style w:type="character" w:customStyle="1" w:styleId="textemarge">
    <w:name w:val="textemarge"/>
    <w:basedOn w:val="Standardnpsmoodstavce"/>
    <w:rsid w:val="006415EE"/>
  </w:style>
  <w:style w:type="character" w:customStyle="1" w:styleId="CharChar3">
    <w:name w:val="Char Char3"/>
    <w:basedOn w:val="Standardnpsmoodstavce"/>
    <w:rsid w:val="006415EE"/>
    <w:rPr>
      <w:rFonts w:ascii="Arial" w:hAnsi="Arial"/>
      <w:color w:val="FF0000"/>
      <w:sz w:val="22"/>
      <w:szCs w:val="24"/>
      <w:lang w:val="cs-CZ" w:eastAsia="cs-CZ" w:bidi="ar-SA"/>
    </w:rPr>
  </w:style>
  <w:style w:type="paragraph" w:styleId="Zkladntextodsazen2">
    <w:name w:val="Body Text Indent 2"/>
    <w:basedOn w:val="Normln"/>
    <w:link w:val="Zkladntextodsazen2Char"/>
    <w:semiHidden/>
    <w:rsid w:val="006415EE"/>
    <w:pPr>
      <w:tabs>
        <w:tab w:val="num" w:pos="720"/>
      </w:tabs>
      <w:spacing w:before="120" w:after="120" w:line="240" w:lineRule="auto"/>
      <w:ind w:left="720" w:hanging="360"/>
    </w:pPr>
    <w:rPr>
      <w:noProof w:val="0"/>
      <w:color w:val="0000FF"/>
      <w:lang w:eastAsia="cs-CZ" w:bidi="ar-SA"/>
    </w:rPr>
  </w:style>
  <w:style w:type="character" w:customStyle="1" w:styleId="Zkladntextodsazen2Char">
    <w:name w:val="Základní text odsazený 2 Char"/>
    <w:basedOn w:val="Standardnpsmoodstavce"/>
    <w:link w:val="Zkladntextodsazen2"/>
    <w:semiHidden/>
    <w:rsid w:val="006415EE"/>
    <w:rPr>
      <w:rFonts w:ascii="Arial" w:hAnsi="Arial"/>
      <w:color w:val="0000FF"/>
      <w:sz w:val="24"/>
      <w:szCs w:val="24"/>
    </w:rPr>
  </w:style>
  <w:style w:type="character" w:customStyle="1" w:styleId="CharChar2">
    <w:name w:val="Char Char2"/>
    <w:basedOn w:val="Standardnpsmoodstavce"/>
    <w:rsid w:val="006415EE"/>
    <w:rPr>
      <w:rFonts w:ascii="Arial" w:hAnsi="Arial"/>
      <w:color w:val="0000FF"/>
      <w:sz w:val="24"/>
      <w:szCs w:val="24"/>
      <w:lang w:val="cs-CZ" w:eastAsia="cs-CZ" w:bidi="ar-SA"/>
    </w:rPr>
  </w:style>
  <w:style w:type="character" w:customStyle="1" w:styleId="CharChar1">
    <w:name w:val="Char Char1"/>
    <w:basedOn w:val="Standardnpsmoodstavce"/>
    <w:rsid w:val="006415EE"/>
    <w:rPr>
      <w:b/>
      <w:bCs/>
      <w:sz w:val="24"/>
      <w:lang w:val="cs-CZ" w:eastAsia="cs-CZ" w:bidi="ar-SA"/>
    </w:rPr>
  </w:style>
  <w:style w:type="paragraph" w:styleId="Prosttext">
    <w:name w:val="Plain Text"/>
    <w:basedOn w:val="Normln"/>
    <w:link w:val="ProsttextChar"/>
    <w:uiPriority w:val="99"/>
    <w:semiHidden/>
    <w:rsid w:val="006415EE"/>
    <w:pPr>
      <w:spacing w:line="240" w:lineRule="auto"/>
      <w:jc w:val="left"/>
    </w:pPr>
    <w:rPr>
      <w:rFonts w:ascii="Consolas" w:eastAsia="Arial Unicode MS" w:hAnsi="Consolas" w:cs="Arial Unicode MS"/>
      <w:noProof w:val="0"/>
      <w:sz w:val="21"/>
      <w:szCs w:val="21"/>
      <w:lang w:eastAsia="cs-CZ" w:bidi="ar-SA"/>
    </w:rPr>
  </w:style>
  <w:style w:type="character" w:customStyle="1" w:styleId="ProsttextChar">
    <w:name w:val="Prostý text Char"/>
    <w:basedOn w:val="Standardnpsmoodstavce"/>
    <w:link w:val="Prosttext"/>
    <w:uiPriority w:val="99"/>
    <w:semiHidden/>
    <w:rsid w:val="006415EE"/>
    <w:rPr>
      <w:rFonts w:ascii="Consolas" w:eastAsia="Arial Unicode MS" w:hAnsi="Consolas" w:cs="Arial Unicode MS"/>
      <w:sz w:val="21"/>
      <w:szCs w:val="21"/>
    </w:rPr>
  </w:style>
  <w:style w:type="character" w:customStyle="1" w:styleId="CharChar">
    <w:name w:val="Char Char"/>
    <w:basedOn w:val="Standardnpsmoodstavce"/>
    <w:rsid w:val="006415EE"/>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6415EE"/>
    <w:pPr>
      <w:keepNext w:val="0"/>
      <w:widowControl w:val="0"/>
      <w:spacing w:before="120" w:after="120"/>
      <w:jc w:val="left"/>
      <w:outlineLvl w:val="9"/>
    </w:pPr>
    <w:rPr>
      <w:rFonts w:ascii="Cambria" w:hAnsi="Cambria"/>
      <w:noProof w:val="0"/>
      <w:color w:val="365F91"/>
      <w:kern w:val="0"/>
      <w:szCs w:val="28"/>
      <w:lang w:bidi="ar-SA"/>
    </w:rPr>
  </w:style>
  <w:style w:type="paragraph" w:customStyle="1" w:styleId="Odstavecseseznamem2">
    <w:name w:val="Odstavec se seznamem2"/>
    <w:basedOn w:val="Normln"/>
    <w:rsid w:val="006415EE"/>
    <w:pPr>
      <w:spacing w:after="200"/>
      <w:ind w:left="720"/>
      <w:contextualSpacing/>
      <w:jc w:val="left"/>
    </w:pPr>
    <w:rPr>
      <w:rFonts w:ascii="Verdana" w:eastAsia="Calibri" w:hAnsi="Verdana"/>
      <w:noProof w:val="0"/>
      <w:sz w:val="18"/>
      <w:szCs w:val="18"/>
      <w:lang w:bidi="ar-SA"/>
    </w:rPr>
  </w:style>
  <w:style w:type="paragraph" w:customStyle="1" w:styleId="bodytext">
    <w:name w:val="bodytext"/>
    <w:basedOn w:val="Normln"/>
    <w:rsid w:val="006415EE"/>
    <w:pP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OdrazkaIstav">
    <w:name w:val="Odrazka_I_stav"/>
    <w:basedOn w:val="Normln"/>
    <w:rsid w:val="006415EE"/>
    <w:pPr>
      <w:numPr>
        <w:numId w:val="44"/>
      </w:numPr>
      <w:tabs>
        <w:tab w:val="left" w:pos="284"/>
      </w:tabs>
      <w:spacing w:before="60" w:after="60" w:line="240" w:lineRule="auto"/>
    </w:pPr>
    <w:rPr>
      <w:rFonts w:cs="Arial"/>
      <w:sz w:val="20"/>
      <w:szCs w:val="20"/>
      <w:lang w:eastAsia="cs-CZ" w:bidi="ar-SA"/>
    </w:rPr>
  </w:style>
  <w:style w:type="table" w:customStyle="1" w:styleId="TableGrid3">
    <w:name w:val="Table Grid3"/>
    <w:basedOn w:val="Normlntabulka"/>
    <w:next w:val="Mkatabulky"/>
    <w:uiPriority w:val="59"/>
    <w:rsid w:val="006415E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ion">
    <w:name w:val="Vision"/>
    <w:basedOn w:val="Normln"/>
    <w:rsid w:val="006415EE"/>
    <w:pPr>
      <w:spacing w:before="120" w:after="120" w:line="240" w:lineRule="auto"/>
    </w:pPr>
    <w:rPr>
      <w:rFonts w:ascii="Garamond" w:eastAsia="Calibri" w:hAnsi="Garamond"/>
      <w:i/>
      <w:noProof w:val="0"/>
      <w:szCs w:val="22"/>
      <w:lang w:bidi="ar-SA"/>
    </w:rPr>
  </w:style>
  <w:style w:type="numbering" w:customStyle="1" w:styleId="NoList4">
    <w:name w:val="No List4"/>
    <w:next w:val="Bezseznamu"/>
    <w:uiPriority w:val="99"/>
    <w:semiHidden/>
    <w:unhideWhenUsed/>
    <w:rsid w:val="006415EE"/>
  </w:style>
  <w:style w:type="paragraph" w:customStyle="1" w:styleId="documentannotation">
    <w:name w:val="documentannotation"/>
    <w:basedOn w:val="Normln"/>
    <w:rsid w:val="006415EE"/>
    <w:pPr>
      <w:spacing w:before="100" w:beforeAutospacing="1" w:after="100" w:afterAutospacing="1" w:line="240" w:lineRule="auto"/>
      <w:jc w:val="left"/>
    </w:pPr>
    <w:rPr>
      <w:noProof w:val="0"/>
      <w:lang w:val="en-US" w:bidi="ar-SA"/>
    </w:rPr>
  </w:style>
  <w:style w:type="character" w:customStyle="1" w:styleId="platne">
    <w:name w:val="platne"/>
    <w:basedOn w:val="Standardnpsmoodstavce"/>
    <w:rsid w:val="006415EE"/>
  </w:style>
  <w:style w:type="character" w:customStyle="1" w:styleId="ZpatChar1">
    <w:name w:val="Zápatí Char1"/>
    <w:basedOn w:val="Standardnpsmoodstavce"/>
    <w:uiPriority w:val="99"/>
    <w:rsid w:val="006415EE"/>
    <w:rPr>
      <w:rFonts w:ascii="Garamond" w:hAnsi="Garamond"/>
      <w:sz w:val="24"/>
      <w:szCs w:val="22"/>
      <w:lang w:val="en-GB"/>
    </w:rPr>
  </w:style>
  <w:style w:type="character" w:customStyle="1" w:styleId="apple-converted-space">
    <w:name w:val="apple-converted-space"/>
    <w:basedOn w:val="Standardnpsmoodstavce"/>
    <w:rsid w:val="006415EE"/>
  </w:style>
  <w:style w:type="paragraph" w:customStyle="1" w:styleId="ca">
    <w:name w:val="ca"/>
    <w:basedOn w:val="Normln"/>
    <w:rsid w:val="006415EE"/>
    <w:pPr>
      <w:spacing w:before="100" w:beforeAutospacing="1" w:after="100" w:afterAutospacing="1" w:line="240" w:lineRule="auto"/>
      <w:jc w:val="left"/>
    </w:pPr>
    <w:rPr>
      <w:noProof w:val="0"/>
      <w:lang w:val="en-US" w:bidi="ar-SA"/>
    </w:rPr>
  </w:style>
  <w:style w:type="character" w:customStyle="1" w:styleId="Caption1">
    <w:name w:val="Caption1"/>
    <w:basedOn w:val="Standardnpsmoodstavce"/>
    <w:rsid w:val="006415EE"/>
  </w:style>
  <w:style w:type="paragraph" w:customStyle="1" w:styleId="introduction">
    <w:name w:val="introduction"/>
    <w:basedOn w:val="Normln"/>
    <w:rsid w:val="006415EE"/>
    <w:pPr>
      <w:spacing w:before="100" w:beforeAutospacing="1" w:after="100" w:afterAutospacing="1" w:line="240" w:lineRule="auto"/>
      <w:jc w:val="left"/>
    </w:pPr>
    <w:rPr>
      <w:noProof w:val="0"/>
      <w:lang w:val="en-US" w:bidi="ar-SA"/>
    </w:rPr>
  </w:style>
  <w:style w:type="paragraph" w:customStyle="1" w:styleId="first-child">
    <w:name w:val="first-child"/>
    <w:basedOn w:val="Normln"/>
    <w:rsid w:val="006415EE"/>
    <w:pPr>
      <w:spacing w:before="100" w:beforeAutospacing="1" w:after="100" w:afterAutospacing="1" w:line="240" w:lineRule="auto"/>
      <w:jc w:val="left"/>
    </w:pPr>
    <w:rPr>
      <w:noProof w:val="0"/>
      <w:lang w:val="en-US" w:bidi="ar-SA"/>
    </w:rPr>
  </w:style>
  <w:style w:type="character" w:customStyle="1" w:styleId="quote-credit">
    <w:name w:val="quote-credit"/>
    <w:basedOn w:val="Standardnpsmoodstavce"/>
    <w:rsid w:val="006415EE"/>
  </w:style>
  <w:style w:type="character" w:customStyle="1" w:styleId="quote-credit-title">
    <w:name w:val="quote-credit-title"/>
    <w:basedOn w:val="Standardnpsmoodstavce"/>
    <w:rsid w:val="006415EE"/>
  </w:style>
  <w:style w:type="character" w:customStyle="1" w:styleId="A5">
    <w:name w:val="A5"/>
    <w:uiPriority w:val="99"/>
    <w:rsid w:val="006415EE"/>
    <w:rPr>
      <w:rFonts w:cs="Frutiger Next Pro"/>
      <w:color w:val="000000"/>
      <w:sz w:val="17"/>
      <w:szCs w:val="17"/>
    </w:rPr>
  </w:style>
  <w:style w:type="paragraph" w:customStyle="1" w:styleId="Listarrow">
    <w:name w:val="List arrow"/>
    <w:basedOn w:val="Default"/>
    <w:next w:val="Default"/>
    <w:uiPriority w:val="99"/>
    <w:rsid w:val="006415EE"/>
    <w:rPr>
      <w:rFonts w:ascii="Wingdings" w:eastAsia="Calibri" w:hAnsi="Wingdings" w:cs="Times New Roman"/>
      <w:color w:val="auto"/>
    </w:rPr>
  </w:style>
  <w:style w:type="paragraph" w:customStyle="1" w:styleId="Listeapuces">
    <w:name w:val="Liste a puces"/>
    <w:basedOn w:val="Default"/>
    <w:next w:val="Default"/>
    <w:uiPriority w:val="99"/>
    <w:rsid w:val="006415EE"/>
    <w:rPr>
      <w:rFonts w:ascii="Arial" w:eastAsia="Calibri" w:hAnsi="Arial" w:cs="Arial"/>
      <w:color w:val="auto"/>
    </w:rPr>
  </w:style>
  <w:style w:type="paragraph" w:customStyle="1" w:styleId="Titre3">
    <w:name w:val="Titre 3"/>
    <w:basedOn w:val="Default"/>
    <w:next w:val="Default"/>
    <w:uiPriority w:val="99"/>
    <w:rsid w:val="006415EE"/>
    <w:rPr>
      <w:rFonts w:ascii="Arial" w:eastAsia="Calibri" w:hAnsi="Arial" w:cs="Arial"/>
      <w:color w:val="auto"/>
    </w:rPr>
  </w:style>
  <w:style w:type="paragraph" w:customStyle="1" w:styleId="Example">
    <w:name w:val="Example"/>
    <w:basedOn w:val="Default"/>
    <w:next w:val="Default"/>
    <w:uiPriority w:val="99"/>
    <w:rsid w:val="006415EE"/>
    <w:rPr>
      <w:rFonts w:ascii="Arial" w:eastAsia="Calibri" w:hAnsi="Arial" w:cs="Arial"/>
      <w:color w:val="auto"/>
    </w:rPr>
  </w:style>
  <w:style w:type="character" w:customStyle="1" w:styleId="Appelnotedebasdep">
    <w:name w:val="Appel note de bas de p."/>
    <w:uiPriority w:val="99"/>
    <w:rsid w:val="006415EE"/>
    <w:rPr>
      <w:color w:val="000000"/>
    </w:rPr>
  </w:style>
  <w:style w:type="paragraph" w:customStyle="1" w:styleId="Titre2">
    <w:name w:val="Titre 2"/>
    <w:basedOn w:val="Default"/>
    <w:next w:val="Default"/>
    <w:uiPriority w:val="99"/>
    <w:rsid w:val="006415EE"/>
    <w:rPr>
      <w:rFonts w:ascii="Arial" w:eastAsia="Calibri" w:hAnsi="Arial" w:cs="Arial"/>
      <w:color w:val="auto"/>
    </w:rPr>
  </w:style>
  <w:style w:type="paragraph" w:customStyle="1" w:styleId="Titre4">
    <w:name w:val="Titre 4"/>
    <w:basedOn w:val="Default"/>
    <w:next w:val="Default"/>
    <w:uiPriority w:val="99"/>
    <w:rsid w:val="006415EE"/>
    <w:rPr>
      <w:rFonts w:ascii="Arial" w:eastAsia="Calibri" w:hAnsi="Arial" w:cs="Arial"/>
      <w:color w:val="auto"/>
    </w:rPr>
  </w:style>
  <w:style w:type="paragraph" w:customStyle="1" w:styleId="detail-odstavec">
    <w:name w:val="detail-odstavec"/>
    <w:basedOn w:val="Normln"/>
    <w:rsid w:val="006415EE"/>
    <w:pPr>
      <w:spacing w:before="100" w:beforeAutospacing="1" w:after="100" w:afterAutospacing="1" w:line="240" w:lineRule="auto"/>
      <w:jc w:val="left"/>
    </w:pPr>
    <w:rPr>
      <w:noProof w:val="0"/>
      <w:lang w:val="en-US" w:bidi="ar-SA"/>
    </w:rPr>
  </w:style>
  <w:style w:type="character" w:customStyle="1" w:styleId="zde">
    <w:name w:val="zde"/>
    <w:basedOn w:val="Standardnpsmoodstavce"/>
    <w:rsid w:val="006415EE"/>
  </w:style>
  <w:style w:type="paragraph" w:customStyle="1" w:styleId="CM1">
    <w:name w:val="CM1"/>
    <w:basedOn w:val="Default"/>
    <w:next w:val="Default"/>
    <w:uiPriority w:val="99"/>
    <w:rsid w:val="006415EE"/>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6415EE"/>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6415EE"/>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6415EE"/>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6415EE"/>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6415EE"/>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6415EE"/>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6415EE"/>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6415EE"/>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6415EE"/>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6415EE"/>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6415EE"/>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6415EE"/>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6415EE"/>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6415EE"/>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6415EE"/>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6415EE"/>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6415EE"/>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6415EE"/>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6415EE"/>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6415EE"/>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6415EE"/>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6415EE"/>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6415EE"/>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6415EE"/>
    <w:pPr>
      <w:widowControl w:val="0"/>
      <w:spacing w:line="358" w:lineRule="atLeast"/>
    </w:pPr>
    <w:rPr>
      <w:rFonts w:ascii="CMSSB X 10" w:eastAsia="Times New Roman" w:hAnsi="CMSSB X 10" w:cs="Times New Roman"/>
      <w:color w:val="auto"/>
    </w:rPr>
  </w:style>
  <w:style w:type="character" w:customStyle="1" w:styleId="ZhlavChar1">
    <w:name w:val="Záhlaví Char1"/>
    <w:basedOn w:val="Standardnpsmoodstavce"/>
    <w:rsid w:val="006415EE"/>
    <w:rPr>
      <w:rFonts w:ascii="Garamond" w:hAnsi="Garamond"/>
      <w:sz w:val="24"/>
      <w:szCs w:val="22"/>
      <w:lang w:val="en-GB"/>
    </w:rPr>
  </w:style>
  <w:style w:type="character" w:customStyle="1" w:styleId="Nadpis3Char1">
    <w:name w:val="Nadpis 3 Char1"/>
    <w:basedOn w:val="Standardnpsmoodstavce"/>
    <w:uiPriority w:val="9"/>
    <w:rsid w:val="006415EE"/>
    <w:rPr>
      <w:rFonts w:ascii="Cambria" w:eastAsia="Times New Roman" w:hAnsi="Cambria"/>
      <w:b/>
      <w:bCs/>
      <w:color w:val="B6B002"/>
      <w:sz w:val="24"/>
      <w:szCs w:val="22"/>
    </w:rPr>
  </w:style>
  <w:style w:type="character" w:customStyle="1" w:styleId="Nadpis4Char1">
    <w:name w:val="Nadpis 4 Char1"/>
    <w:basedOn w:val="Standardnpsmoodstavce"/>
    <w:uiPriority w:val="9"/>
    <w:rsid w:val="006415EE"/>
    <w:rPr>
      <w:rFonts w:ascii="Cambria" w:eastAsia="Times New Roman" w:hAnsi="Cambria"/>
      <w:b/>
      <w:bCs/>
      <w:i/>
      <w:iCs/>
      <w:color w:val="AC9B02"/>
      <w:sz w:val="22"/>
      <w:szCs w:val="22"/>
    </w:rPr>
  </w:style>
  <w:style w:type="paragraph" w:customStyle="1" w:styleId="Note">
    <w:name w:val="Note"/>
    <w:basedOn w:val="Titulek"/>
    <w:link w:val="NoteChar"/>
    <w:rsid w:val="006415EE"/>
    <w:pPr>
      <w:widowControl w:val="0"/>
      <w:spacing w:before="0" w:line="360" w:lineRule="auto"/>
      <w:ind w:left="1440"/>
      <w:contextualSpacing w:val="0"/>
      <w:jc w:val="left"/>
    </w:pPr>
    <w:rPr>
      <w:bCs/>
      <w:color w:val="000000"/>
    </w:rPr>
  </w:style>
  <w:style w:type="paragraph" w:customStyle="1" w:styleId="Text0">
    <w:name w:val="Text"/>
    <w:basedOn w:val="Default"/>
    <w:link w:val="TextChar"/>
    <w:rsid w:val="006415EE"/>
    <w:pPr>
      <w:widowControl w:val="0"/>
      <w:spacing w:line="538" w:lineRule="atLeast"/>
    </w:pPr>
    <w:rPr>
      <w:rFonts w:ascii="Times New Roman" w:hAnsi="Times New Roman"/>
    </w:rPr>
  </w:style>
  <w:style w:type="character" w:customStyle="1" w:styleId="NoteChar">
    <w:name w:val="Note Char"/>
    <w:basedOn w:val="TitulekChar"/>
    <w:link w:val="Note"/>
    <w:rsid w:val="006415EE"/>
    <w:rPr>
      <w:rFonts w:ascii="Times New Roman" w:hAnsi="Times New Roman"/>
      <w:b/>
      <w:bCs/>
      <w:noProof/>
      <w:color w:val="000000"/>
      <w:spacing w:val="10"/>
      <w:sz w:val="18"/>
      <w:szCs w:val="18"/>
      <w:lang w:eastAsia="en-US" w:bidi="en-US"/>
    </w:rPr>
  </w:style>
  <w:style w:type="character" w:customStyle="1" w:styleId="DefaultChar">
    <w:name w:val="Default Char"/>
    <w:basedOn w:val="Standardnpsmoodstavce"/>
    <w:link w:val="Default"/>
    <w:rsid w:val="006415EE"/>
    <w:rPr>
      <w:rFonts w:eastAsia="MS Mincho" w:cs="Calibri"/>
      <w:color w:val="000000"/>
      <w:sz w:val="24"/>
      <w:szCs w:val="24"/>
      <w:lang w:eastAsia="en-US"/>
    </w:rPr>
  </w:style>
  <w:style w:type="character" w:customStyle="1" w:styleId="TextChar">
    <w:name w:val="Text Char"/>
    <w:basedOn w:val="DefaultChar"/>
    <w:link w:val="Text0"/>
    <w:rsid w:val="006415EE"/>
    <w:rPr>
      <w:rFonts w:ascii="Times New Roman" w:eastAsia="MS Mincho" w:hAnsi="Times New Roman" w:cs="Calibri"/>
      <w:color w:val="000000"/>
      <w:sz w:val="24"/>
      <w:szCs w:val="24"/>
      <w:lang w:eastAsia="en-US"/>
    </w:rPr>
  </w:style>
  <w:style w:type="character" w:styleId="slodku">
    <w:name w:val="line number"/>
    <w:basedOn w:val="Standardnpsmoodstavce"/>
    <w:uiPriority w:val="99"/>
    <w:semiHidden/>
    <w:unhideWhenUsed/>
    <w:rsid w:val="006415EE"/>
  </w:style>
  <w:style w:type="character" w:customStyle="1" w:styleId="Nadpis5Char1">
    <w:name w:val="Nadpis 5 Char1"/>
    <w:basedOn w:val="Standardnpsmoodstavce"/>
    <w:uiPriority w:val="99"/>
    <w:rsid w:val="006415EE"/>
    <w:rPr>
      <w:rFonts w:eastAsia="Times New Roman"/>
      <w:b/>
      <w:bCs/>
      <w:i/>
      <w:iCs/>
      <w:sz w:val="26"/>
      <w:szCs w:val="26"/>
    </w:rPr>
  </w:style>
  <w:style w:type="character" w:customStyle="1" w:styleId="Nadpis6Char1">
    <w:name w:val="Nadpis 6 Char1"/>
    <w:basedOn w:val="Standardnpsmoodstavce"/>
    <w:uiPriority w:val="9"/>
    <w:rsid w:val="006415EE"/>
    <w:rPr>
      <w:rFonts w:eastAsia="Times New Roman"/>
      <w:b/>
      <w:bCs/>
      <w:sz w:val="24"/>
      <w:szCs w:val="22"/>
    </w:rPr>
  </w:style>
  <w:style w:type="character" w:customStyle="1" w:styleId="Nadpis7Char1">
    <w:name w:val="Nadpis 7 Char1"/>
    <w:basedOn w:val="Standardnpsmoodstavce"/>
    <w:uiPriority w:val="9"/>
    <w:rsid w:val="006415EE"/>
    <w:rPr>
      <w:rFonts w:eastAsia="Times New Roman"/>
      <w:sz w:val="24"/>
      <w:szCs w:val="24"/>
    </w:rPr>
  </w:style>
  <w:style w:type="character" w:customStyle="1" w:styleId="Nadpis8Char1">
    <w:name w:val="Nadpis 8 Char1"/>
    <w:basedOn w:val="Standardnpsmoodstavce"/>
    <w:uiPriority w:val="9"/>
    <w:rsid w:val="006415EE"/>
    <w:rPr>
      <w:rFonts w:eastAsia="Times New Roman"/>
      <w:i/>
      <w:iCs/>
      <w:sz w:val="24"/>
      <w:szCs w:val="24"/>
    </w:rPr>
  </w:style>
  <w:style w:type="character" w:customStyle="1" w:styleId="Nadpis9Char1">
    <w:name w:val="Nadpis 9 Char1"/>
    <w:basedOn w:val="Standardnpsmoodstavce"/>
    <w:uiPriority w:val="9"/>
    <w:rsid w:val="006415EE"/>
    <w:rPr>
      <w:rFonts w:ascii="Cambria" w:eastAsia="Times New Roman" w:hAnsi="Cambria"/>
      <w:sz w:val="24"/>
      <w:szCs w:val="22"/>
    </w:rPr>
  </w:style>
  <w:style w:type="character" w:customStyle="1" w:styleId="TextkomenteChar1">
    <w:name w:val="Text komentáře Char1"/>
    <w:aliases w:val="Text poznámky Char1"/>
    <w:basedOn w:val="Standardnpsmoodstavce"/>
    <w:rsid w:val="006415EE"/>
    <w:rPr>
      <w:rFonts w:ascii="Garamond" w:hAnsi="Garamond"/>
      <w:lang w:val="en-GB"/>
    </w:rPr>
  </w:style>
  <w:style w:type="paragraph" w:styleId="Hlavikaobsahu">
    <w:name w:val="toa heading"/>
    <w:basedOn w:val="Normln"/>
    <w:next w:val="Normln"/>
    <w:uiPriority w:val="99"/>
    <w:semiHidden/>
    <w:unhideWhenUsed/>
    <w:rsid w:val="006415EE"/>
    <w:pPr>
      <w:autoSpaceDE w:val="0"/>
      <w:autoSpaceDN w:val="0"/>
      <w:adjustRightInd w:val="0"/>
      <w:spacing w:before="120" w:after="200" w:line="360" w:lineRule="auto"/>
      <w:jc w:val="left"/>
    </w:pPr>
    <w:rPr>
      <w:rFonts w:asciiTheme="majorHAnsi" w:eastAsiaTheme="majorEastAsia" w:hAnsiTheme="majorHAnsi" w:cstheme="majorBidi"/>
      <w:b/>
      <w:bCs/>
      <w:noProof w:val="0"/>
      <w:lang w:val="en-US" w:bidi="ar-SA"/>
    </w:rPr>
  </w:style>
  <w:style w:type="paragraph" w:styleId="Seznamcitac">
    <w:name w:val="table of authorities"/>
    <w:basedOn w:val="Normln"/>
    <w:next w:val="Normln"/>
    <w:uiPriority w:val="99"/>
    <w:semiHidden/>
    <w:unhideWhenUsed/>
    <w:rsid w:val="006415EE"/>
    <w:pPr>
      <w:autoSpaceDE w:val="0"/>
      <w:autoSpaceDN w:val="0"/>
      <w:adjustRightInd w:val="0"/>
      <w:spacing w:before="120" w:line="360" w:lineRule="auto"/>
      <w:ind w:left="240" w:hanging="240"/>
      <w:jc w:val="left"/>
    </w:pPr>
    <w:rPr>
      <w:rFonts w:eastAsiaTheme="minorHAnsi" w:cs="Times-Roman"/>
      <w:noProof w:val="0"/>
      <w:szCs w:val="20"/>
      <w:lang w:val="en-US" w:bidi="ar-SA"/>
    </w:rPr>
  </w:style>
  <w:style w:type="paragraph" w:customStyle="1" w:styleId="free">
    <w:name w:val="free"/>
    <w:basedOn w:val="Normln"/>
    <w:rsid w:val="006415EE"/>
    <w:pPr>
      <w:spacing w:before="100" w:beforeAutospacing="1" w:after="100" w:afterAutospacing="1" w:line="240" w:lineRule="auto"/>
      <w:jc w:val="left"/>
    </w:pPr>
    <w:rPr>
      <w:noProof w:val="0"/>
      <w:lang w:eastAsia="cs-CZ" w:bidi="ar-SA"/>
    </w:rPr>
  </w:style>
  <w:style w:type="character" w:customStyle="1" w:styleId="PedmtkomenteChar1">
    <w:name w:val="Předmět komentáře Char1"/>
    <w:basedOn w:val="TextkomenteChar1"/>
    <w:uiPriority w:val="99"/>
    <w:semiHidden/>
    <w:rsid w:val="006415EE"/>
    <w:rPr>
      <w:rFonts w:ascii="Garamond" w:hAnsi="Garamond"/>
      <w:b/>
      <w:bCs/>
      <w:lang w:val="en-GB"/>
    </w:rPr>
  </w:style>
  <w:style w:type="paragraph" w:customStyle="1" w:styleId="definicetext">
    <w:name w:val="definice text"/>
    <w:basedOn w:val="Normln"/>
    <w:link w:val="definicetextChar"/>
    <w:rsid w:val="006415EE"/>
    <w:pPr>
      <w:spacing w:before="120" w:line="360" w:lineRule="auto"/>
      <w:ind w:left="720" w:right="567"/>
    </w:pPr>
    <w:rPr>
      <w:i/>
      <w:noProof w:val="0"/>
      <w:color w:val="000000" w:themeColor="text1"/>
      <w:lang w:val="en-US" w:bidi="ar-SA"/>
    </w:rPr>
  </w:style>
  <w:style w:type="paragraph" w:customStyle="1" w:styleId="definicenadpis">
    <w:name w:val="definice nadpis"/>
    <w:basedOn w:val="Normln"/>
    <w:link w:val="definicenadpisChar"/>
    <w:rsid w:val="006415EE"/>
    <w:pPr>
      <w:spacing w:before="120" w:line="360" w:lineRule="auto"/>
      <w:ind w:left="720"/>
    </w:pPr>
    <w:rPr>
      <w:b/>
      <w:i/>
      <w:noProof w:val="0"/>
      <w:szCs w:val="22"/>
      <w:lang w:val="en-US" w:bidi="ar-SA"/>
    </w:rPr>
  </w:style>
  <w:style w:type="character" w:customStyle="1" w:styleId="definicetextChar">
    <w:name w:val="definice text Char"/>
    <w:basedOn w:val="Standardnpsmoodstavce"/>
    <w:link w:val="definicetext"/>
    <w:rsid w:val="006415EE"/>
    <w:rPr>
      <w:rFonts w:ascii="Times New Roman" w:hAnsi="Times New Roman"/>
      <w:i/>
      <w:color w:val="000000" w:themeColor="text1"/>
      <w:sz w:val="24"/>
      <w:szCs w:val="24"/>
      <w:lang w:val="en-US" w:eastAsia="en-US"/>
    </w:rPr>
  </w:style>
  <w:style w:type="paragraph" w:customStyle="1" w:styleId="vpis">
    <w:name w:val="výpis"/>
    <w:basedOn w:val="Odstavecseseznamem"/>
    <w:link w:val="vpisChar"/>
    <w:rsid w:val="006415EE"/>
    <w:pPr>
      <w:numPr>
        <w:numId w:val="46"/>
      </w:numPr>
      <w:autoSpaceDE w:val="0"/>
      <w:autoSpaceDN w:val="0"/>
      <w:adjustRightInd w:val="0"/>
      <w:spacing w:before="120" w:line="360" w:lineRule="auto"/>
      <w:outlineLvl w:val="0"/>
    </w:pPr>
    <w:rPr>
      <w:b/>
      <w:i/>
      <w:lang w:bidi="ar-SA"/>
    </w:rPr>
  </w:style>
  <w:style w:type="character" w:customStyle="1" w:styleId="definicenadpisChar">
    <w:name w:val="definice nadpis Char"/>
    <w:basedOn w:val="Standardnpsmoodstavce"/>
    <w:link w:val="definicenadpis"/>
    <w:rsid w:val="006415EE"/>
    <w:rPr>
      <w:rFonts w:ascii="Times New Roman" w:hAnsi="Times New Roman"/>
      <w:b/>
      <w:i/>
      <w:sz w:val="24"/>
      <w:szCs w:val="22"/>
      <w:lang w:val="en-US" w:eastAsia="en-US"/>
    </w:rPr>
  </w:style>
  <w:style w:type="paragraph" w:customStyle="1" w:styleId="citace">
    <w:name w:val="citace"/>
    <w:basedOn w:val="Normlnweb"/>
    <w:link w:val="citaceChar0"/>
    <w:rsid w:val="006415EE"/>
    <w:rPr>
      <w:noProof/>
    </w:rPr>
  </w:style>
  <w:style w:type="character" w:customStyle="1" w:styleId="vpisChar">
    <w:name w:val="výpis Char"/>
    <w:basedOn w:val="OdstavecseseznamemChar"/>
    <w:link w:val="vpis"/>
    <w:rsid w:val="006415EE"/>
    <w:rPr>
      <w:rFonts w:ascii="Times New Roman" w:hAnsi="Times New Roman"/>
      <w:b/>
      <w:i/>
      <w:noProof/>
      <w:sz w:val="24"/>
      <w:szCs w:val="24"/>
      <w:lang w:val="cs-CZ" w:eastAsia="en-US"/>
    </w:rPr>
  </w:style>
  <w:style w:type="character" w:customStyle="1" w:styleId="NormlnwebChar">
    <w:name w:val="Normální (web) Char"/>
    <w:basedOn w:val="Standardnpsmoodstavce"/>
    <w:link w:val="Normlnweb"/>
    <w:uiPriority w:val="99"/>
    <w:rsid w:val="006415EE"/>
    <w:rPr>
      <w:rFonts w:ascii="Times New Roman" w:hAnsi="Times New Roman"/>
      <w:sz w:val="24"/>
      <w:szCs w:val="24"/>
    </w:rPr>
  </w:style>
  <w:style w:type="character" w:customStyle="1" w:styleId="citaceChar0">
    <w:name w:val="citace Char"/>
    <w:basedOn w:val="NormlnwebChar"/>
    <w:link w:val="citace"/>
    <w:rsid w:val="006415EE"/>
    <w:rPr>
      <w:rFonts w:ascii="Times New Roman" w:hAnsi="Times New Roman"/>
      <w:noProof/>
      <w:sz w:val="24"/>
      <w:szCs w:val="24"/>
    </w:rPr>
  </w:style>
  <w:style w:type="paragraph" w:customStyle="1" w:styleId="poznpodarou">
    <w:name w:val="pozn. pod čarou"/>
    <w:basedOn w:val="Normln"/>
    <w:link w:val="poznpodarouChar"/>
    <w:rsid w:val="006415EE"/>
    <w:pPr>
      <w:spacing w:before="120" w:after="120"/>
    </w:pPr>
    <w:rPr>
      <w:noProof w:val="0"/>
      <w:sz w:val="20"/>
      <w:szCs w:val="22"/>
      <w:lang w:val="en-US" w:bidi="ar-SA"/>
    </w:rPr>
  </w:style>
  <w:style w:type="character" w:customStyle="1" w:styleId="poznpodarouChar">
    <w:name w:val="pozn. pod čarou Char"/>
    <w:basedOn w:val="Standardnpsmoodstavce"/>
    <w:link w:val="poznpodarou"/>
    <w:rsid w:val="006415EE"/>
    <w:rPr>
      <w:rFonts w:ascii="Times New Roman" w:hAnsi="Times New Roman"/>
      <w:szCs w:val="22"/>
      <w:lang w:val="en-US" w:eastAsia="en-US"/>
    </w:rPr>
  </w:style>
  <w:style w:type="character" w:customStyle="1" w:styleId="bold">
    <w:name w:val="bold"/>
    <w:basedOn w:val="Standardnpsmoodstavce"/>
    <w:rsid w:val="006415EE"/>
  </w:style>
  <w:style w:type="character" w:customStyle="1" w:styleId="webname">
    <w:name w:val="webname"/>
    <w:basedOn w:val="Standardnpsmoodstavce"/>
    <w:rsid w:val="006415EE"/>
  </w:style>
  <w:style w:type="paragraph" w:styleId="Textvysvtlivek">
    <w:name w:val="endnote text"/>
    <w:basedOn w:val="Normln"/>
    <w:link w:val="TextvysvtlivekChar"/>
    <w:uiPriority w:val="99"/>
    <w:semiHidden/>
    <w:unhideWhenUsed/>
    <w:rsid w:val="006415EE"/>
    <w:pPr>
      <w:spacing w:line="240" w:lineRule="auto"/>
    </w:pPr>
    <w:rPr>
      <w:noProof w:val="0"/>
      <w:sz w:val="20"/>
      <w:szCs w:val="20"/>
      <w:lang w:val="en-US" w:bidi="ar-SA"/>
    </w:rPr>
  </w:style>
  <w:style w:type="character" w:customStyle="1" w:styleId="TextvysvtlivekChar">
    <w:name w:val="Text vysvětlivek Char"/>
    <w:basedOn w:val="Standardnpsmoodstavce"/>
    <w:link w:val="Textvysvtlivek"/>
    <w:uiPriority w:val="99"/>
    <w:semiHidden/>
    <w:rsid w:val="006415EE"/>
    <w:rPr>
      <w:rFonts w:ascii="Times New Roman" w:hAnsi="Times New Roman"/>
      <w:lang w:val="en-US" w:eastAsia="en-US"/>
    </w:rPr>
  </w:style>
  <w:style w:type="character" w:styleId="Odkaznavysvtlivky">
    <w:name w:val="endnote reference"/>
    <w:basedOn w:val="Standardnpsmoodstavce"/>
    <w:uiPriority w:val="99"/>
    <w:semiHidden/>
    <w:unhideWhenUsed/>
    <w:rsid w:val="006415EE"/>
    <w:rPr>
      <w:vertAlign w:val="superscript"/>
    </w:rPr>
  </w:style>
  <w:style w:type="character" w:customStyle="1" w:styleId="reference-accessdate">
    <w:name w:val="reference-accessdate"/>
    <w:basedOn w:val="Standardnpsmoodstavce"/>
    <w:rsid w:val="006415EE"/>
  </w:style>
  <w:style w:type="character" w:customStyle="1" w:styleId="articledate">
    <w:name w:val="articledate"/>
    <w:basedOn w:val="Standardnpsmoodstavce"/>
    <w:rsid w:val="006415EE"/>
  </w:style>
  <w:style w:type="character" w:customStyle="1" w:styleId="goog-trans-section">
    <w:name w:val="goog-trans-section"/>
    <w:basedOn w:val="Standardnpsmoodstavce"/>
    <w:rsid w:val="006415EE"/>
  </w:style>
  <w:style w:type="character" w:customStyle="1" w:styleId="Datum1">
    <w:name w:val="Datum1"/>
    <w:basedOn w:val="Standardnpsmoodstavce"/>
    <w:rsid w:val="006415EE"/>
  </w:style>
  <w:style w:type="character" w:customStyle="1" w:styleId="sep">
    <w:name w:val="sep"/>
    <w:basedOn w:val="Standardnpsmoodstavce"/>
    <w:rsid w:val="006415EE"/>
  </w:style>
  <w:style w:type="numbering" w:customStyle="1" w:styleId="NoList5">
    <w:name w:val="No List5"/>
    <w:next w:val="Bezseznamu"/>
    <w:uiPriority w:val="99"/>
    <w:semiHidden/>
    <w:unhideWhenUsed/>
    <w:rsid w:val="006415EE"/>
  </w:style>
  <w:style w:type="table" w:customStyle="1" w:styleId="TableGrid4">
    <w:name w:val="Table Grid4"/>
    <w:basedOn w:val="Normlntabulka"/>
    <w:next w:val="Mkatabulky"/>
    <w:uiPriority w:val="59"/>
    <w:rsid w:val="006415EE"/>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5B8D0E64CA4985BBFCEFDF165F36CC">
    <w:name w:val="3A5B8D0E64CA4985BBFCEFDF165F36CC"/>
    <w:rsid w:val="006415EE"/>
    <w:pPr>
      <w:spacing w:after="200" w:line="276" w:lineRule="auto"/>
    </w:pPr>
    <w:rPr>
      <w:sz w:val="22"/>
      <w:szCs w:val="22"/>
      <w:lang w:eastAsia="en-US"/>
    </w:rPr>
  </w:style>
  <w:style w:type="paragraph" w:customStyle="1" w:styleId="TITULNISTRANKA">
    <w:name w:val="TITULNI STRANKA"/>
    <w:basedOn w:val="Normln"/>
    <w:next w:val="Normln"/>
    <w:rsid w:val="006415EE"/>
    <w:pPr>
      <w:spacing w:line="360" w:lineRule="auto"/>
      <w:jc w:val="center"/>
    </w:pPr>
    <w:rPr>
      <w:rFonts w:cs="Arial"/>
      <w:b/>
      <w:smallCaps/>
      <w:noProof w:val="0"/>
      <w:sz w:val="36"/>
      <w:szCs w:val="36"/>
      <w:lang w:eastAsia="cs-CZ" w:bidi="ar-SA"/>
    </w:rPr>
  </w:style>
  <w:style w:type="paragraph" w:customStyle="1" w:styleId="Char4CharCharChar">
    <w:name w:val="Char4 Char Char Char"/>
    <w:basedOn w:val="Normln"/>
    <w:rsid w:val="006415EE"/>
    <w:pPr>
      <w:spacing w:after="160" w:line="240" w:lineRule="exact"/>
      <w:jc w:val="left"/>
    </w:pPr>
    <w:rPr>
      <w:rFonts w:ascii="Times New Roman Bold" w:hAnsi="Times New Roman Bold"/>
      <w:noProof w:val="0"/>
      <w:szCs w:val="26"/>
      <w:lang w:val="sk-SK" w:bidi="ar-SA"/>
    </w:rPr>
  </w:style>
  <w:style w:type="paragraph" w:customStyle="1" w:styleId="Char4CharCharChar2">
    <w:name w:val="Char4 Char Char Char2"/>
    <w:basedOn w:val="Normln"/>
    <w:rsid w:val="006415EE"/>
    <w:pPr>
      <w:spacing w:after="160" w:line="240" w:lineRule="exact"/>
      <w:jc w:val="left"/>
    </w:pPr>
    <w:rPr>
      <w:rFonts w:ascii="Times New Roman Bold" w:hAnsi="Times New Roman Bold"/>
      <w:noProof w:val="0"/>
      <w:szCs w:val="26"/>
      <w:lang w:val="sk-SK" w:bidi="ar-SA"/>
    </w:rPr>
  </w:style>
  <w:style w:type="numbering" w:customStyle="1" w:styleId="NoList6">
    <w:name w:val="No List6"/>
    <w:next w:val="Bezseznamu"/>
    <w:uiPriority w:val="99"/>
    <w:semiHidden/>
    <w:unhideWhenUsed/>
    <w:rsid w:val="006415EE"/>
  </w:style>
  <w:style w:type="paragraph" w:customStyle="1" w:styleId="Char4CharCharChar1">
    <w:name w:val="Char4 Char Char Char1"/>
    <w:basedOn w:val="Normln"/>
    <w:rsid w:val="006415EE"/>
    <w:pPr>
      <w:spacing w:after="160" w:line="240" w:lineRule="exact"/>
      <w:jc w:val="left"/>
    </w:pPr>
    <w:rPr>
      <w:rFonts w:ascii="Times New Roman Bold" w:hAnsi="Times New Roman Bold"/>
      <w:noProof w:val="0"/>
      <w:szCs w:val="26"/>
      <w:lang w:val="sk-SK" w:bidi="ar-SA"/>
    </w:rPr>
  </w:style>
  <w:style w:type="paragraph" w:customStyle="1" w:styleId="Rfrenceinstitutionelle">
    <w:name w:val="Référence institutionelle"/>
    <w:basedOn w:val="Normln"/>
    <w:next w:val="Normln"/>
    <w:rsid w:val="006415EE"/>
    <w:pPr>
      <w:spacing w:after="240" w:line="240" w:lineRule="auto"/>
      <w:ind w:left="5103"/>
      <w:jc w:val="left"/>
    </w:pPr>
    <w:rPr>
      <w:noProof w:val="0"/>
      <w:szCs w:val="20"/>
      <w:lang w:eastAsia="en-GB" w:bidi="ar-SA"/>
    </w:rPr>
  </w:style>
  <w:style w:type="paragraph" w:customStyle="1" w:styleId="Typedudocument">
    <w:name w:val="Type du document"/>
    <w:basedOn w:val="Normln"/>
    <w:next w:val="Normln"/>
    <w:rsid w:val="006415EE"/>
    <w:pPr>
      <w:spacing w:before="360" w:line="240" w:lineRule="auto"/>
      <w:jc w:val="center"/>
    </w:pPr>
    <w:rPr>
      <w:b/>
      <w:noProof w:val="0"/>
      <w:szCs w:val="20"/>
      <w:lang w:eastAsia="en-GB" w:bidi="ar-SA"/>
    </w:rPr>
  </w:style>
  <w:style w:type="paragraph" w:customStyle="1" w:styleId="Confidentialit">
    <w:name w:val="Confidentialité"/>
    <w:basedOn w:val="Normln"/>
    <w:next w:val="Normln"/>
    <w:rsid w:val="006415EE"/>
    <w:pPr>
      <w:spacing w:before="240" w:after="240" w:line="240" w:lineRule="auto"/>
      <w:ind w:left="5103"/>
    </w:pPr>
    <w:rPr>
      <w:noProof w:val="0"/>
      <w:szCs w:val="20"/>
      <w:u w:val="single"/>
      <w:lang w:eastAsia="en-GB" w:bidi="ar-SA"/>
    </w:rPr>
  </w:style>
  <w:style w:type="character" w:customStyle="1" w:styleId="tw4winMark">
    <w:name w:val="tw4winMark"/>
    <w:rsid w:val="006415EE"/>
    <w:rPr>
      <w:vanish/>
      <w:color w:val="800080"/>
      <w:vertAlign w:val="subscript"/>
    </w:rPr>
  </w:style>
  <w:style w:type="paragraph" w:customStyle="1" w:styleId="odst">
    <w:name w:val="odst"/>
    <w:basedOn w:val="Normln"/>
    <w:rsid w:val="006415EE"/>
    <w:pPr>
      <w:spacing w:before="100" w:beforeAutospacing="1" w:after="100" w:afterAutospacing="1" w:line="240" w:lineRule="auto"/>
      <w:jc w:val="left"/>
    </w:pPr>
    <w:rPr>
      <w:noProof w:val="0"/>
      <w:lang w:eastAsia="cs-CZ" w:bidi="ar-SA"/>
    </w:rPr>
  </w:style>
  <w:style w:type="character" w:customStyle="1" w:styleId="d-b">
    <w:name w:val="d-b"/>
    <w:basedOn w:val="Standardnpsmoodstavce"/>
    <w:rsid w:val="006415EE"/>
  </w:style>
  <w:style w:type="character" w:customStyle="1" w:styleId="fs-12">
    <w:name w:val="fs-12"/>
    <w:basedOn w:val="Standardnpsmoodstavce"/>
    <w:rsid w:val="006415EE"/>
  </w:style>
  <w:style w:type="character" w:customStyle="1" w:styleId="fs-11">
    <w:name w:val="fs-11"/>
    <w:basedOn w:val="Standardnpsmoodstavce"/>
    <w:rsid w:val="006415EE"/>
  </w:style>
  <w:style w:type="paragraph" w:customStyle="1" w:styleId="Barevnseznamzvraznn11">
    <w:name w:val="Barevný seznam – zvýraznění 11"/>
    <w:basedOn w:val="Normln"/>
    <w:link w:val="Barevnseznamzvraznn1Char"/>
    <w:uiPriority w:val="99"/>
    <w:rsid w:val="006415EE"/>
    <w:pPr>
      <w:spacing w:line="240" w:lineRule="auto"/>
      <w:ind w:left="720"/>
      <w:contextualSpacing/>
      <w:jc w:val="left"/>
    </w:pPr>
    <w:rPr>
      <w:noProof w:val="0"/>
      <w:sz w:val="20"/>
      <w:szCs w:val="20"/>
      <w:lang w:eastAsia="cs-CZ" w:bidi="ar-SA"/>
    </w:rPr>
  </w:style>
  <w:style w:type="paragraph" w:customStyle="1" w:styleId="Normodsaz">
    <w:name w:val="Norm.odsaz."/>
    <w:basedOn w:val="Normln"/>
    <w:uiPriority w:val="99"/>
    <w:rsid w:val="006415EE"/>
    <w:pPr>
      <w:autoSpaceDE w:val="0"/>
      <w:autoSpaceDN w:val="0"/>
      <w:spacing w:before="120" w:after="120" w:line="240" w:lineRule="auto"/>
    </w:pPr>
    <w:rPr>
      <w:rFonts w:eastAsia="Calibri"/>
      <w:noProof w:val="0"/>
      <w:lang w:eastAsia="cs-CZ" w:bidi="ar-SA"/>
    </w:rPr>
  </w:style>
  <w:style w:type="character" w:customStyle="1" w:styleId="Barevnseznamzvraznn1Char">
    <w:name w:val="Barevný seznam – zvýraznění 1 Char"/>
    <w:link w:val="Barevnseznamzvraznn11"/>
    <w:uiPriority w:val="99"/>
    <w:rsid w:val="006415EE"/>
    <w:rPr>
      <w:rFonts w:ascii="Times New Roman" w:hAnsi="Times New Roman"/>
    </w:rPr>
  </w:style>
  <w:style w:type="paragraph" w:customStyle="1" w:styleId="odrky1">
    <w:name w:val="odrážky1"/>
    <w:basedOn w:val="Normln"/>
    <w:uiPriority w:val="99"/>
    <w:rsid w:val="006415EE"/>
    <w:pPr>
      <w:widowControl w:val="0"/>
      <w:numPr>
        <w:numId w:val="48"/>
      </w:numPr>
      <w:autoSpaceDE w:val="0"/>
      <w:autoSpaceDN w:val="0"/>
      <w:adjustRightInd w:val="0"/>
      <w:spacing w:after="120" w:line="288" w:lineRule="auto"/>
      <w:contextualSpacing/>
    </w:pPr>
    <w:rPr>
      <w:rFonts w:cs="Arial"/>
      <w:noProof w:val="0"/>
      <w:lang w:eastAsia="cs-CZ" w:bidi="ar-SA"/>
    </w:rPr>
  </w:style>
  <w:style w:type="paragraph" w:customStyle="1" w:styleId="Nadpis10">
    <w:name w:val="Nadpis (1)"/>
    <w:basedOn w:val="Nadpis1"/>
    <w:link w:val="Nadpis1Char0"/>
    <w:rsid w:val="006415EE"/>
    <w:pPr>
      <w:keepNext w:val="0"/>
      <w:widowControl w:val="0"/>
      <w:spacing w:before="120" w:after="120" w:line="240" w:lineRule="auto"/>
    </w:pPr>
    <w:rPr>
      <w:rFonts w:ascii="Cambria" w:hAnsi="Cambria"/>
      <w:noProof w:val="0"/>
      <w:color w:val="B6B002"/>
      <w:kern w:val="0"/>
      <w:szCs w:val="28"/>
      <w:lang w:bidi="ar-SA"/>
    </w:rPr>
  </w:style>
  <w:style w:type="paragraph" w:customStyle="1" w:styleId="Nadpis20">
    <w:name w:val="Nadpis (2)"/>
    <w:basedOn w:val="Nadpis2"/>
    <w:link w:val="Nadpis2Char0"/>
    <w:rsid w:val="006415EE"/>
    <w:pPr>
      <w:spacing w:before="120" w:after="120" w:line="240" w:lineRule="auto"/>
    </w:pPr>
    <w:rPr>
      <w:rFonts w:ascii="Cambria" w:eastAsia="Calibri" w:hAnsi="Cambria"/>
      <w:bCs/>
      <w:iCs w:val="0"/>
      <w:color w:val="B6B002"/>
      <w:sz w:val="26"/>
      <w:szCs w:val="26"/>
    </w:rPr>
  </w:style>
  <w:style w:type="character" w:customStyle="1" w:styleId="Nadpis1Char0">
    <w:name w:val="Nadpis (1) Char"/>
    <w:basedOn w:val="Nadpis1Char1"/>
    <w:link w:val="Nadpis10"/>
    <w:rsid w:val="006415EE"/>
    <w:rPr>
      <w:rFonts w:ascii="Cambria" w:eastAsia="Times New Roman" w:hAnsi="Cambria" w:cs="Arial"/>
      <w:b/>
      <w:bCs/>
      <w:color w:val="B6B002"/>
      <w:sz w:val="28"/>
      <w:szCs w:val="28"/>
      <w:lang w:eastAsia="en-US"/>
    </w:rPr>
  </w:style>
  <w:style w:type="paragraph" w:customStyle="1" w:styleId="Nadpis30">
    <w:name w:val="Nadpis (3)"/>
    <w:basedOn w:val="Nadpis3"/>
    <w:link w:val="Nadpis3Char0"/>
    <w:rsid w:val="006415EE"/>
    <w:pPr>
      <w:spacing w:after="120" w:line="240" w:lineRule="auto"/>
    </w:pPr>
    <w:rPr>
      <w:rFonts w:ascii="Cambria" w:hAnsi="Cambria"/>
      <w:i w:val="0"/>
      <w:noProof w:val="0"/>
      <w:color w:val="B6B002"/>
      <w:szCs w:val="22"/>
      <w:lang w:bidi="ar-SA"/>
    </w:rPr>
  </w:style>
  <w:style w:type="character" w:customStyle="1" w:styleId="Nadpis2Char0">
    <w:name w:val="Nadpis (2) Char"/>
    <w:basedOn w:val="Nadpis2Char"/>
    <w:link w:val="Nadpis20"/>
    <w:rsid w:val="006415EE"/>
    <w:rPr>
      <w:rFonts w:ascii="Cambria" w:eastAsia="Calibri" w:hAnsi="Cambria" w:cs="Arial"/>
      <w:b/>
      <w:bCs/>
      <w:iCs w:val="0"/>
      <w:noProof/>
      <w:color w:val="B6B002"/>
      <w:kern w:val="32"/>
      <w:sz w:val="26"/>
      <w:szCs w:val="26"/>
      <w:lang w:eastAsia="en-US" w:bidi="en-US"/>
    </w:rPr>
  </w:style>
  <w:style w:type="character" w:customStyle="1" w:styleId="Nadpis3Char0">
    <w:name w:val="Nadpis (3) Char"/>
    <w:basedOn w:val="Nadpis3Char1"/>
    <w:link w:val="Nadpis30"/>
    <w:rsid w:val="006415EE"/>
    <w:rPr>
      <w:rFonts w:ascii="Cambria" w:eastAsia="Times New Roman" w:hAnsi="Cambria" w:cs="Arial"/>
      <w:b/>
      <w:bCs/>
      <w:color w:val="B6B002"/>
      <w:sz w:val="24"/>
      <w:szCs w:val="22"/>
      <w:lang w:eastAsia="en-US"/>
    </w:rPr>
  </w:style>
  <w:style w:type="paragraph" w:customStyle="1" w:styleId="Text-Tabulka">
    <w:name w:val="Text - Tabulka"/>
    <w:basedOn w:val="Normln"/>
    <w:link w:val="Text-TabulkaChar"/>
    <w:rsid w:val="006415EE"/>
    <w:pPr>
      <w:spacing w:before="120" w:after="120" w:line="240" w:lineRule="auto"/>
      <w:jc w:val="left"/>
    </w:pPr>
    <w:rPr>
      <w:rFonts w:ascii="Garamond" w:eastAsia="MS Mincho" w:hAnsi="Garamond"/>
      <w:noProof w:val="0"/>
      <w:sz w:val="20"/>
      <w:szCs w:val="20"/>
      <w:lang w:bidi="ar-SA"/>
    </w:rPr>
  </w:style>
  <w:style w:type="character" w:customStyle="1" w:styleId="Text-TabulkaChar">
    <w:name w:val="Text - Tabulka Char"/>
    <w:basedOn w:val="Standardnpsmoodstavce"/>
    <w:link w:val="Text-Tabulka"/>
    <w:rsid w:val="006415EE"/>
    <w:rPr>
      <w:rFonts w:ascii="Garamond" w:eastAsia="MS Mincho" w:hAnsi="Garamond"/>
      <w:lang w:eastAsia="en-US"/>
    </w:rPr>
  </w:style>
  <w:style w:type="paragraph" w:customStyle="1" w:styleId="Odraky2">
    <w:name w:val="Odražky (2)"/>
    <w:basedOn w:val="Odstavecseseznamem"/>
    <w:link w:val="Odraky2Char"/>
    <w:rsid w:val="006415EE"/>
    <w:pPr>
      <w:numPr>
        <w:numId w:val="47"/>
      </w:numPr>
      <w:spacing w:before="120" w:after="120" w:line="240" w:lineRule="auto"/>
      <w:ind w:left="1134" w:hanging="425"/>
    </w:pPr>
    <w:rPr>
      <w:rFonts w:ascii="Garamond" w:eastAsia="Calibri" w:hAnsi="Garamond"/>
      <w:szCs w:val="22"/>
      <w:lang w:bidi="ar-SA"/>
    </w:rPr>
  </w:style>
  <w:style w:type="character" w:customStyle="1" w:styleId="Odraky2Char">
    <w:name w:val="Odražky (2) Char"/>
    <w:basedOn w:val="OdstavecseseznamemChar"/>
    <w:link w:val="Odraky2"/>
    <w:rsid w:val="006415EE"/>
    <w:rPr>
      <w:rFonts w:ascii="Garamond" w:eastAsia="Calibri" w:hAnsi="Garamond"/>
      <w:noProof/>
      <w:sz w:val="24"/>
      <w:szCs w:val="22"/>
      <w:lang w:val="cs-CZ" w:eastAsia="en-US"/>
    </w:rPr>
  </w:style>
  <w:style w:type="paragraph" w:styleId="Rejstk5">
    <w:name w:val="index 5"/>
    <w:basedOn w:val="Normln"/>
    <w:next w:val="Normln"/>
    <w:autoRedefine/>
    <w:uiPriority w:val="99"/>
    <w:semiHidden/>
    <w:unhideWhenUsed/>
    <w:rsid w:val="006415EE"/>
    <w:pPr>
      <w:spacing w:line="240" w:lineRule="auto"/>
      <w:ind w:left="1200" w:hanging="240"/>
    </w:pPr>
    <w:rPr>
      <w:rFonts w:ascii="Garamond" w:eastAsia="Calibri" w:hAnsi="Garamond"/>
      <w:noProof w:val="0"/>
      <w:szCs w:val="22"/>
      <w:lang w:bidi="ar-SA"/>
    </w:rPr>
  </w:style>
  <w:style w:type="paragraph" w:customStyle="1" w:styleId="Styl14bTunzarovnnnasted">
    <w:name w:val="Styl 14 b. Tučné zarovnání na střed"/>
    <w:basedOn w:val="Normln"/>
    <w:rsid w:val="006415EE"/>
    <w:pPr>
      <w:spacing w:after="80" w:line="240" w:lineRule="auto"/>
      <w:jc w:val="left"/>
    </w:pPr>
    <w:rPr>
      <w:rFonts w:ascii="Calibri" w:eastAsia="MS Mincho" w:hAnsi="Calibri"/>
      <w:bCs/>
      <w:noProof w:val="0"/>
      <w:szCs w:val="20"/>
      <w:lang w:eastAsia="ja-JP" w:bidi="ar-SA"/>
    </w:rPr>
  </w:style>
  <w:style w:type="paragraph" w:customStyle="1" w:styleId="Nadpis3a">
    <w:name w:val="Nadpis (3a)"/>
    <w:basedOn w:val="Text-Normaln"/>
    <w:link w:val="Nadpis3aChar"/>
    <w:rsid w:val="006415EE"/>
    <w:pPr>
      <w:numPr>
        <w:ilvl w:val="2"/>
        <w:numId w:val="49"/>
      </w:numPr>
    </w:pPr>
    <w:rPr>
      <w:b/>
      <w:i/>
    </w:rPr>
  </w:style>
  <w:style w:type="character" w:customStyle="1" w:styleId="Nadpis3aChar">
    <w:name w:val="Nadpis (3a) Char"/>
    <w:basedOn w:val="Text-NormalnChar"/>
    <w:link w:val="Nadpis3a"/>
    <w:rsid w:val="006415EE"/>
    <w:rPr>
      <w:rFonts w:ascii="Garamond" w:eastAsia="Calibri" w:hAnsi="Garamond"/>
      <w:b/>
      <w:i/>
      <w:sz w:val="24"/>
      <w:szCs w:val="22"/>
      <w:lang w:eastAsia="en-US"/>
    </w:rPr>
  </w:style>
  <w:style w:type="paragraph" w:customStyle="1" w:styleId="abcd">
    <w:name w:val="abcd"/>
    <w:basedOn w:val="Normln"/>
    <w:rsid w:val="003211D6"/>
    <w:pPr>
      <w:spacing w:after="120"/>
      <w:ind w:left="284" w:hanging="284"/>
      <w:contextualSpacing/>
    </w:pPr>
    <w:rPr>
      <w:rFonts w:cs="Arial"/>
      <w:noProof w:val="0"/>
      <w:lang w:eastAsia="cs-CZ" w:bidi="ar-SA"/>
    </w:rPr>
  </w:style>
  <w:style w:type="numbering" w:customStyle="1" w:styleId="Bezseznamu1">
    <w:name w:val="Bez seznamu1"/>
    <w:next w:val="Bezseznamu"/>
    <w:uiPriority w:val="99"/>
    <w:semiHidden/>
    <w:unhideWhenUsed/>
    <w:rsid w:val="00ED5B2D"/>
  </w:style>
  <w:style w:type="table" w:customStyle="1" w:styleId="TabulkaRIA">
    <w:name w:val="Tabulka RIA"/>
    <w:basedOn w:val="Normlntabulka"/>
    <w:uiPriority w:val="99"/>
    <w:rsid w:val="00ED5B2D"/>
    <w:rPr>
      <w:rFonts w:eastAsia="Calibri"/>
      <w:sz w:val="18"/>
      <w:lang w:eastAsia="en-US"/>
    </w:rPr>
    <w:tblPr>
      <w:tblBorders>
        <w:bottom w:val="single" w:sz="4" w:space="0" w:color="auto"/>
      </w:tblBorders>
    </w:tblPr>
    <w:tblStylePr w:type="firstRow">
      <w:pPr>
        <w:jc w:val="center"/>
      </w:pPr>
      <w:rPr>
        <w:rFonts w:ascii="Calibri" w:hAnsi="Calibri"/>
        <w:b/>
        <w:color w:val="FFFFFF"/>
        <w:sz w:val="18"/>
      </w:rPr>
      <w:tblPr/>
      <w:tcPr>
        <w:shd w:val="clear" w:color="auto" w:fill="B6B002"/>
        <w:vAlign w:val="center"/>
      </w:tcPr>
    </w:tblStylePr>
    <w:tblStylePr w:type="firstCol">
      <w:pPr>
        <w:jc w:val="left"/>
      </w:pPr>
      <w:rPr>
        <w:rFonts w:ascii="Calibri" w:hAnsi="Calibri"/>
        <w:b/>
        <w:sz w:val="18"/>
      </w:rPr>
      <w:tblPr/>
      <w:tcPr>
        <w:tcBorders>
          <w:top w:val="nil"/>
          <w:left w:val="nil"/>
          <w:bottom w:val="single" w:sz="4" w:space="0" w:color="auto"/>
          <w:right w:val="nil"/>
          <w:insideH w:val="nil"/>
          <w:insideV w:val="nil"/>
          <w:tl2br w:val="nil"/>
          <w:tr2bl w:val="nil"/>
        </w:tcBorders>
      </w:tcPr>
    </w:tblStylePr>
  </w:style>
  <w:style w:type="numbering" w:customStyle="1" w:styleId="NoList11">
    <w:name w:val="No List11"/>
    <w:next w:val="Bezseznamu"/>
    <w:semiHidden/>
    <w:rsid w:val="00ED5B2D"/>
  </w:style>
  <w:style w:type="numbering" w:customStyle="1" w:styleId="NoList21">
    <w:name w:val="No List21"/>
    <w:next w:val="Bezseznamu"/>
    <w:uiPriority w:val="99"/>
    <w:semiHidden/>
    <w:unhideWhenUsed/>
    <w:rsid w:val="00ED5B2D"/>
  </w:style>
  <w:style w:type="numbering" w:customStyle="1" w:styleId="NoList31">
    <w:name w:val="No List31"/>
    <w:next w:val="Bezseznamu"/>
    <w:uiPriority w:val="99"/>
    <w:semiHidden/>
    <w:unhideWhenUsed/>
    <w:rsid w:val="00ED5B2D"/>
  </w:style>
  <w:style w:type="numbering" w:customStyle="1" w:styleId="NoList41">
    <w:name w:val="No List41"/>
    <w:next w:val="Bezseznamu"/>
    <w:uiPriority w:val="99"/>
    <w:semiHidden/>
    <w:unhideWhenUsed/>
    <w:rsid w:val="00ED5B2D"/>
  </w:style>
  <w:style w:type="numbering" w:customStyle="1" w:styleId="NoList51">
    <w:name w:val="No List51"/>
    <w:next w:val="Bezseznamu"/>
    <w:uiPriority w:val="99"/>
    <w:semiHidden/>
    <w:unhideWhenUsed/>
    <w:rsid w:val="00ED5B2D"/>
  </w:style>
  <w:style w:type="numbering" w:customStyle="1" w:styleId="NoList61">
    <w:name w:val="No List61"/>
    <w:next w:val="Bezseznamu"/>
    <w:uiPriority w:val="99"/>
    <w:semiHidden/>
    <w:unhideWhenUsed/>
    <w:rsid w:val="00ED5B2D"/>
  </w:style>
  <w:style w:type="numbering" w:customStyle="1" w:styleId="Bezseznamu2">
    <w:name w:val="Bez seznamu2"/>
    <w:next w:val="Bezseznamu"/>
    <w:uiPriority w:val="99"/>
    <w:semiHidden/>
    <w:unhideWhenUsed/>
    <w:rsid w:val="00DC1795"/>
  </w:style>
  <w:style w:type="table" w:customStyle="1" w:styleId="TabulkaRIA1">
    <w:name w:val="Tabulka RIA1"/>
    <w:basedOn w:val="Normlntabulka"/>
    <w:uiPriority w:val="99"/>
    <w:rsid w:val="00DC1795"/>
    <w:rPr>
      <w:rFonts w:eastAsia="Calibri"/>
      <w:sz w:val="18"/>
      <w:lang w:eastAsia="en-US"/>
    </w:rPr>
    <w:tblPr>
      <w:tblBorders>
        <w:bottom w:val="single" w:sz="4" w:space="0" w:color="auto"/>
      </w:tblBorders>
    </w:tblPr>
    <w:tblStylePr w:type="firstRow">
      <w:pPr>
        <w:jc w:val="center"/>
      </w:pPr>
      <w:rPr>
        <w:rFonts w:ascii="Calibri" w:hAnsi="Calibri"/>
        <w:b/>
        <w:color w:val="FFFFFF"/>
        <w:sz w:val="18"/>
      </w:rPr>
      <w:tblPr/>
      <w:tcPr>
        <w:shd w:val="clear" w:color="auto" w:fill="B6B002"/>
        <w:vAlign w:val="center"/>
      </w:tcPr>
    </w:tblStylePr>
    <w:tblStylePr w:type="firstCol">
      <w:pPr>
        <w:jc w:val="left"/>
      </w:pPr>
      <w:rPr>
        <w:rFonts w:ascii="Calibri" w:hAnsi="Calibri"/>
        <w:b/>
        <w:sz w:val="18"/>
      </w:rPr>
      <w:tblPr/>
      <w:tcPr>
        <w:tcBorders>
          <w:top w:val="nil"/>
          <w:left w:val="nil"/>
          <w:bottom w:val="single" w:sz="4" w:space="0" w:color="auto"/>
          <w:right w:val="nil"/>
          <w:insideH w:val="nil"/>
          <w:insideV w:val="nil"/>
          <w:tl2br w:val="nil"/>
          <w:tr2bl w:val="nil"/>
        </w:tcBorders>
      </w:tcPr>
    </w:tblStylePr>
  </w:style>
  <w:style w:type="numbering" w:customStyle="1" w:styleId="NoList12">
    <w:name w:val="No List12"/>
    <w:next w:val="Bezseznamu"/>
    <w:semiHidden/>
    <w:rsid w:val="00DC1795"/>
  </w:style>
  <w:style w:type="numbering" w:customStyle="1" w:styleId="NoList22">
    <w:name w:val="No List22"/>
    <w:next w:val="Bezseznamu"/>
    <w:uiPriority w:val="99"/>
    <w:semiHidden/>
    <w:unhideWhenUsed/>
    <w:rsid w:val="00DC1795"/>
  </w:style>
  <w:style w:type="numbering" w:customStyle="1" w:styleId="NoList32">
    <w:name w:val="No List32"/>
    <w:next w:val="Bezseznamu"/>
    <w:uiPriority w:val="99"/>
    <w:semiHidden/>
    <w:unhideWhenUsed/>
    <w:rsid w:val="00DC1795"/>
  </w:style>
  <w:style w:type="numbering" w:customStyle="1" w:styleId="NoList42">
    <w:name w:val="No List42"/>
    <w:next w:val="Bezseznamu"/>
    <w:uiPriority w:val="99"/>
    <w:semiHidden/>
    <w:unhideWhenUsed/>
    <w:rsid w:val="00DC1795"/>
  </w:style>
  <w:style w:type="numbering" w:customStyle="1" w:styleId="NoList52">
    <w:name w:val="No List52"/>
    <w:next w:val="Bezseznamu"/>
    <w:uiPriority w:val="99"/>
    <w:semiHidden/>
    <w:unhideWhenUsed/>
    <w:rsid w:val="00DC1795"/>
  </w:style>
  <w:style w:type="numbering" w:customStyle="1" w:styleId="NoList62">
    <w:name w:val="No List62"/>
    <w:next w:val="Bezseznamu"/>
    <w:uiPriority w:val="99"/>
    <w:semiHidden/>
    <w:unhideWhenUsed/>
    <w:rsid w:val="00DC1795"/>
  </w:style>
  <w:style w:type="paragraph" w:customStyle="1" w:styleId="Odstavecseseznamem3">
    <w:name w:val="Odstavec se seznamem3"/>
    <w:basedOn w:val="Normln"/>
    <w:uiPriority w:val="34"/>
    <w:qFormat/>
    <w:rsid w:val="008D45B4"/>
    <w:pPr>
      <w:spacing w:after="120"/>
      <w:ind w:left="720"/>
    </w:pPr>
    <w:rPr>
      <w:noProof w:val="0"/>
      <w:lang w:bidi="ar-SA"/>
    </w:rPr>
  </w:style>
  <w:style w:type="paragraph" w:customStyle="1" w:styleId="Odstavecseseznamem4">
    <w:name w:val="Odstavec se seznamem4"/>
    <w:basedOn w:val="Normln"/>
    <w:link w:val="ListParagraphChar"/>
    <w:uiPriority w:val="99"/>
    <w:qFormat/>
    <w:rsid w:val="00261D77"/>
    <w:pPr>
      <w:ind w:left="720"/>
      <w:contextualSpacing/>
    </w:pPr>
  </w:style>
  <w:style w:type="character" w:customStyle="1" w:styleId="ListParagraphChar">
    <w:name w:val="List Paragraph Char"/>
    <w:link w:val="Odstavecseseznamem4"/>
    <w:uiPriority w:val="99"/>
    <w:rsid w:val="00261D77"/>
    <w:rPr>
      <w:rFonts w:ascii="Arial" w:hAnsi="Arial"/>
      <w:noProof/>
      <w:sz w:val="22"/>
      <w:szCs w:val="24"/>
      <w:lang w:eastAsia="en-US" w:bidi="en-US"/>
    </w:rPr>
  </w:style>
  <w:style w:type="table" w:customStyle="1" w:styleId="Mkatabulky1">
    <w:name w:val="Mřížka tabulky1"/>
    <w:basedOn w:val="Normlntabulka"/>
    <w:next w:val="Mkatabulky"/>
    <w:uiPriority w:val="59"/>
    <w:rsid w:val="006F6AD2"/>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2">
    <w:name w:val="Mřížka tabulky2"/>
    <w:basedOn w:val="Normlntabulka"/>
    <w:next w:val="Mkatabulky"/>
    <w:uiPriority w:val="59"/>
    <w:rsid w:val="007E39E4"/>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3">
    <w:name w:val="Mřížka tabulky3"/>
    <w:basedOn w:val="Normlntabulka"/>
    <w:next w:val="Mkatabulky"/>
    <w:uiPriority w:val="59"/>
    <w:rsid w:val="007E39E4"/>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4">
    <w:name w:val="Mřížka tabulky4"/>
    <w:basedOn w:val="Normlntabulka"/>
    <w:next w:val="Mkatabulky"/>
    <w:uiPriority w:val="59"/>
    <w:rsid w:val="00A00F73"/>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5">
    <w:name w:val="Mřížka tabulky5"/>
    <w:basedOn w:val="Normlntabulka"/>
    <w:next w:val="Mkatabulky"/>
    <w:uiPriority w:val="59"/>
    <w:rsid w:val="00A00F73"/>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6">
    <w:name w:val="Mřížka tabulky6"/>
    <w:basedOn w:val="Normlntabulka"/>
    <w:next w:val="Mkatabulky"/>
    <w:uiPriority w:val="59"/>
    <w:rsid w:val="00D51B4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7">
    <w:name w:val="Mřížka tabulky7"/>
    <w:basedOn w:val="Normlntabulka"/>
    <w:next w:val="Mkatabulky"/>
    <w:uiPriority w:val="59"/>
    <w:rsid w:val="00D51B4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8">
    <w:name w:val="Mřížka tabulky8"/>
    <w:basedOn w:val="Normlntabulka"/>
    <w:next w:val="Mkatabulky"/>
    <w:uiPriority w:val="59"/>
    <w:rsid w:val="00384FC8"/>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9">
    <w:name w:val="Mřížka tabulky9"/>
    <w:basedOn w:val="Normlntabulka"/>
    <w:next w:val="Mkatabulky"/>
    <w:uiPriority w:val="59"/>
    <w:rsid w:val="00A3666B"/>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0">
    <w:name w:val="Mřížka tabulky10"/>
    <w:basedOn w:val="Normlntabulka"/>
    <w:next w:val="Mkatabulky"/>
    <w:uiPriority w:val="59"/>
    <w:rsid w:val="006127F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1">
    <w:name w:val="Mřížka tabulky11"/>
    <w:basedOn w:val="Normlntabulka"/>
    <w:next w:val="Mkatabulky"/>
    <w:uiPriority w:val="59"/>
    <w:rsid w:val="006127F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2">
    <w:name w:val="Mřížka tabulky12"/>
    <w:basedOn w:val="Normlntabulka"/>
    <w:next w:val="Mkatabulky"/>
    <w:uiPriority w:val="59"/>
    <w:rsid w:val="00D2350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3">
    <w:name w:val="Mřížka tabulky13"/>
    <w:basedOn w:val="Normlntabulka"/>
    <w:next w:val="Mkatabulky"/>
    <w:uiPriority w:val="59"/>
    <w:rsid w:val="00D2350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4">
    <w:name w:val="Mřížka tabulky14"/>
    <w:basedOn w:val="Normlntabulka"/>
    <w:next w:val="Mkatabulky"/>
    <w:uiPriority w:val="59"/>
    <w:rsid w:val="00CB13D7"/>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5">
    <w:name w:val="Mřížka tabulky15"/>
    <w:basedOn w:val="Normlntabulka"/>
    <w:next w:val="Mkatabulky"/>
    <w:uiPriority w:val="59"/>
    <w:rsid w:val="000B721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6">
    <w:name w:val="Mřížka tabulky16"/>
    <w:basedOn w:val="Normlntabulka"/>
    <w:next w:val="Mkatabulky"/>
    <w:uiPriority w:val="59"/>
    <w:rsid w:val="000B721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7">
    <w:name w:val="Mřížka tabulky17"/>
    <w:basedOn w:val="Normlntabulka"/>
    <w:next w:val="Mkatabulky"/>
    <w:uiPriority w:val="59"/>
    <w:rsid w:val="008867C1"/>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8">
    <w:name w:val="Mřížka tabulky18"/>
    <w:basedOn w:val="Normlntabulka"/>
    <w:next w:val="Mkatabulky"/>
    <w:uiPriority w:val="59"/>
    <w:rsid w:val="008867C1"/>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tlmka1">
    <w:name w:val="Světlá mřížka1"/>
    <w:basedOn w:val="Normlntabulka"/>
    <w:uiPriority w:val="62"/>
    <w:rsid w:val="004D1EE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nky">
    <w:name w:val="Články"/>
    <w:basedOn w:val="Normln"/>
    <w:link w:val="lnkyChar"/>
    <w:qFormat/>
    <w:rsid w:val="00CC0F90"/>
    <w:pPr>
      <w:spacing w:line="240" w:lineRule="auto"/>
      <w:jc w:val="center"/>
    </w:pPr>
    <w:rPr>
      <w:noProof w:val="0"/>
      <w:lang w:val="x-none" w:eastAsia="x-none" w:bidi="ar-SA"/>
    </w:rPr>
  </w:style>
  <w:style w:type="character" w:customStyle="1" w:styleId="lnkyChar">
    <w:name w:val="Články Char"/>
    <w:link w:val="lnky"/>
    <w:rsid w:val="00CC0F90"/>
    <w:rPr>
      <w:rFonts w:ascii="Times New Roman" w:hAnsi="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lsdException w:name="Date" w:uiPriority="0"/>
    <w:lsdException w:name="Body Text 3" w:uiPriority="0"/>
    <w:lsdException w:name="Body Text Indent 2" w:uiPriority="0"/>
    <w:lsdException w:name="Body Text Indent 3" w:uiPriority="0"/>
    <w:lsdException w:name="Strong" w:semiHidden="0" w:uiPriority="22" w:unhideWhenUsed="0"/>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iPriority="21" w:unhideWhenUsed="0"/>
    <w:lsdException w:name="Subtle Reference" w:semiHidden="0" w:unhideWhenUsed="0"/>
    <w:lsdException w:name="Intense Reference" w:semiHidden="0" w:unhideWhenUsed="0"/>
    <w:lsdException w:name="Book Title" w:semiHidden="0" w:uiPriority="33" w:unhideWhenUsed="0"/>
    <w:lsdException w:name="Bibliography" w:uiPriority="37"/>
    <w:lsdException w:name="TOC Heading" w:uiPriority="39" w:qFormat="1"/>
  </w:latentStyles>
  <w:style w:type="paragraph" w:default="1" w:styleId="Normln">
    <w:name w:val="Normal"/>
    <w:qFormat/>
    <w:rsid w:val="002D35D6"/>
    <w:pPr>
      <w:spacing w:line="276" w:lineRule="auto"/>
      <w:jc w:val="both"/>
    </w:pPr>
    <w:rPr>
      <w:rFonts w:ascii="Times New Roman" w:hAnsi="Times New Roman"/>
      <w:noProof/>
      <w:sz w:val="24"/>
      <w:szCs w:val="24"/>
      <w:lang w:eastAsia="en-US" w:bidi="en-US"/>
    </w:rPr>
  </w:style>
  <w:style w:type="paragraph" w:styleId="Nadpis1">
    <w:name w:val="heading 1"/>
    <w:basedOn w:val="Normln"/>
    <w:next w:val="Nadpis2"/>
    <w:link w:val="Nadpis1Char"/>
    <w:uiPriority w:val="99"/>
    <w:qFormat/>
    <w:rsid w:val="00AC5170"/>
    <w:pPr>
      <w:keepNext/>
      <w:numPr>
        <w:numId w:val="64"/>
      </w:numPr>
      <w:spacing w:before="360" w:after="60"/>
      <w:outlineLvl w:val="0"/>
    </w:pPr>
    <w:rPr>
      <w:rFonts w:cs="Arial"/>
      <w:b/>
      <w:bCs/>
      <w:kern w:val="32"/>
      <w:sz w:val="28"/>
      <w:szCs w:val="32"/>
    </w:rPr>
  </w:style>
  <w:style w:type="paragraph" w:styleId="Nadpis2">
    <w:name w:val="heading 2"/>
    <w:aliases w:val="Heading 2 Firm,Heading 2 Firm1"/>
    <w:basedOn w:val="Nadpis1"/>
    <w:link w:val="Nadpis2Char"/>
    <w:uiPriority w:val="99"/>
    <w:unhideWhenUsed/>
    <w:qFormat/>
    <w:rsid w:val="00C67383"/>
    <w:pPr>
      <w:numPr>
        <w:ilvl w:val="1"/>
      </w:numPr>
      <w:spacing w:before="240"/>
      <w:ind w:left="578" w:hanging="578"/>
      <w:outlineLvl w:val="1"/>
    </w:pPr>
    <w:rPr>
      <w:bCs w:val="0"/>
      <w:iCs/>
      <w:sz w:val="24"/>
      <w:szCs w:val="28"/>
    </w:rPr>
  </w:style>
  <w:style w:type="paragraph" w:styleId="Nadpis3">
    <w:name w:val="heading 3"/>
    <w:basedOn w:val="Normln"/>
    <w:next w:val="Normln"/>
    <w:link w:val="Nadpis3Char"/>
    <w:uiPriority w:val="99"/>
    <w:unhideWhenUsed/>
    <w:qFormat/>
    <w:rsid w:val="00C67383"/>
    <w:pPr>
      <w:keepNext/>
      <w:numPr>
        <w:ilvl w:val="2"/>
        <w:numId w:val="64"/>
      </w:numPr>
      <w:spacing w:before="120" w:after="60"/>
      <w:outlineLvl w:val="2"/>
    </w:pPr>
    <w:rPr>
      <w:rFonts w:cs="Arial"/>
      <w:b/>
      <w:bCs/>
      <w:i/>
      <w:szCs w:val="26"/>
    </w:rPr>
  </w:style>
  <w:style w:type="paragraph" w:styleId="Nadpis4">
    <w:name w:val="heading 4"/>
    <w:basedOn w:val="Normln"/>
    <w:next w:val="Normln"/>
    <w:link w:val="Nadpis4Char"/>
    <w:uiPriority w:val="99"/>
    <w:unhideWhenUsed/>
    <w:rsid w:val="00BE2B5F"/>
    <w:pPr>
      <w:keepNext/>
      <w:numPr>
        <w:ilvl w:val="3"/>
        <w:numId w:val="64"/>
      </w:numPr>
      <w:spacing w:before="240" w:after="60"/>
      <w:outlineLvl w:val="3"/>
    </w:pPr>
    <w:rPr>
      <w:bCs/>
      <w:sz w:val="28"/>
      <w:szCs w:val="28"/>
    </w:rPr>
  </w:style>
  <w:style w:type="paragraph" w:styleId="Nadpis5">
    <w:name w:val="heading 5"/>
    <w:basedOn w:val="Normln"/>
    <w:next w:val="Normln"/>
    <w:link w:val="Nadpis5Char"/>
    <w:uiPriority w:val="99"/>
    <w:unhideWhenUsed/>
    <w:rsid w:val="00BE2B5F"/>
    <w:pPr>
      <w:numPr>
        <w:ilvl w:val="4"/>
        <w:numId w:val="64"/>
      </w:numPr>
      <w:spacing w:before="240" w:after="60"/>
      <w:outlineLvl w:val="4"/>
    </w:pPr>
    <w:rPr>
      <w:bCs/>
      <w:i/>
      <w:iCs/>
      <w:sz w:val="26"/>
      <w:szCs w:val="26"/>
    </w:rPr>
  </w:style>
  <w:style w:type="paragraph" w:styleId="Nadpis6">
    <w:name w:val="heading 6"/>
    <w:basedOn w:val="Normln"/>
    <w:next w:val="Normln"/>
    <w:link w:val="Nadpis6Char"/>
    <w:uiPriority w:val="9"/>
    <w:unhideWhenUsed/>
    <w:rsid w:val="00BE2B5F"/>
    <w:pPr>
      <w:numPr>
        <w:ilvl w:val="5"/>
        <w:numId w:val="64"/>
      </w:numPr>
      <w:spacing w:before="240" w:after="60"/>
      <w:outlineLvl w:val="5"/>
    </w:pPr>
    <w:rPr>
      <w:bCs/>
      <w:szCs w:val="22"/>
    </w:rPr>
  </w:style>
  <w:style w:type="paragraph" w:styleId="Nadpis7">
    <w:name w:val="heading 7"/>
    <w:basedOn w:val="Normln"/>
    <w:next w:val="Normln"/>
    <w:link w:val="Nadpis7Char"/>
    <w:uiPriority w:val="9"/>
    <w:unhideWhenUsed/>
    <w:rsid w:val="00BE2B5F"/>
    <w:pPr>
      <w:numPr>
        <w:ilvl w:val="6"/>
        <w:numId w:val="64"/>
      </w:numPr>
      <w:spacing w:before="240" w:after="60"/>
      <w:outlineLvl w:val="6"/>
    </w:pPr>
  </w:style>
  <w:style w:type="paragraph" w:styleId="Nadpis8">
    <w:name w:val="heading 8"/>
    <w:basedOn w:val="Normln"/>
    <w:next w:val="Normln"/>
    <w:link w:val="Nadpis8Char"/>
    <w:uiPriority w:val="9"/>
    <w:unhideWhenUsed/>
    <w:rsid w:val="00BE2B5F"/>
    <w:pPr>
      <w:numPr>
        <w:ilvl w:val="7"/>
        <w:numId w:val="64"/>
      </w:numPr>
      <w:spacing w:before="240" w:after="60"/>
      <w:outlineLvl w:val="7"/>
    </w:pPr>
    <w:rPr>
      <w:i/>
      <w:iCs/>
    </w:rPr>
  </w:style>
  <w:style w:type="paragraph" w:styleId="Nadpis9">
    <w:name w:val="heading 9"/>
    <w:basedOn w:val="Normln"/>
    <w:next w:val="Normln"/>
    <w:link w:val="Nadpis9Char"/>
    <w:uiPriority w:val="9"/>
    <w:unhideWhenUsed/>
    <w:rsid w:val="00BE2B5F"/>
    <w:pPr>
      <w:numPr>
        <w:ilvl w:val="8"/>
        <w:numId w:val="64"/>
      </w:numPr>
      <w:spacing w:before="240" w:after="60"/>
      <w:outlineLvl w:val="8"/>
    </w:pPr>
    <w:rPr>
      <w:rFonts w:ascii="Cambria" w:hAnsi="Cambria"/>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aliases w:val="Heading 2 Firm Char,Heading 2 Firm1 Char"/>
    <w:basedOn w:val="Standardnpsmoodstavce"/>
    <w:link w:val="Nadpis2"/>
    <w:uiPriority w:val="99"/>
    <w:rsid w:val="00C67383"/>
    <w:rPr>
      <w:rFonts w:ascii="Times New Roman" w:hAnsi="Times New Roman" w:cs="Arial"/>
      <w:b/>
      <w:iCs/>
      <w:noProof/>
      <w:kern w:val="32"/>
      <w:sz w:val="24"/>
      <w:szCs w:val="28"/>
      <w:lang w:eastAsia="en-US" w:bidi="en-US"/>
    </w:rPr>
  </w:style>
  <w:style w:type="character" w:customStyle="1" w:styleId="Nadpis1Char">
    <w:name w:val="Nadpis 1 Char"/>
    <w:basedOn w:val="Standardnpsmoodstavce"/>
    <w:link w:val="Nadpis1"/>
    <w:uiPriority w:val="99"/>
    <w:rsid w:val="00AC5170"/>
    <w:rPr>
      <w:rFonts w:ascii="Times New Roman" w:hAnsi="Times New Roman" w:cs="Arial"/>
      <w:b/>
      <w:bCs/>
      <w:noProof/>
      <w:kern w:val="32"/>
      <w:sz w:val="28"/>
      <w:szCs w:val="32"/>
      <w:lang w:eastAsia="en-US" w:bidi="en-US"/>
    </w:rPr>
  </w:style>
  <w:style w:type="character" w:customStyle="1" w:styleId="Nadpis3Char">
    <w:name w:val="Nadpis 3 Char"/>
    <w:basedOn w:val="Standardnpsmoodstavce"/>
    <w:link w:val="Nadpis3"/>
    <w:uiPriority w:val="99"/>
    <w:rsid w:val="00C67383"/>
    <w:rPr>
      <w:rFonts w:ascii="Times New Roman" w:hAnsi="Times New Roman" w:cs="Arial"/>
      <w:b/>
      <w:bCs/>
      <w:i/>
      <w:noProof/>
      <w:sz w:val="24"/>
      <w:szCs w:val="26"/>
      <w:lang w:eastAsia="en-US" w:bidi="en-US"/>
    </w:rPr>
  </w:style>
  <w:style w:type="character" w:customStyle="1" w:styleId="Nadpis4Char">
    <w:name w:val="Nadpis 4 Char"/>
    <w:basedOn w:val="Standardnpsmoodstavce"/>
    <w:link w:val="Nadpis4"/>
    <w:uiPriority w:val="99"/>
    <w:rsid w:val="00BE2B5F"/>
    <w:rPr>
      <w:rFonts w:ascii="Times New Roman" w:hAnsi="Times New Roman"/>
      <w:bCs/>
      <w:noProof/>
      <w:sz w:val="28"/>
      <w:szCs w:val="28"/>
      <w:lang w:eastAsia="en-US" w:bidi="en-US"/>
    </w:rPr>
  </w:style>
  <w:style w:type="character" w:customStyle="1" w:styleId="Nadpis5Char">
    <w:name w:val="Nadpis 5 Char"/>
    <w:basedOn w:val="Standardnpsmoodstavce"/>
    <w:link w:val="Nadpis5"/>
    <w:uiPriority w:val="99"/>
    <w:rsid w:val="00BE2B5F"/>
    <w:rPr>
      <w:rFonts w:ascii="Times New Roman" w:hAnsi="Times New Roman"/>
      <w:bCs/>
      <w:i/>
      <w:iCs/>
      <w:noProof/>
      <w:sz w:val="26"/>
      <w:szCs w:val="26"/>
      <w:lang w:eastAsia="en-US" w:bidi="en-US"/>
    </w:rPr>
  </w:style>
  <w:style w:type="character" w:customStyle="1" w:styleId="Nadpis6Char">
    <w:name w:val="Nadpis 6 Char"/>
    <w:basedOn w:val="Standardnpsmoodstavce"/>
    <w:link w:val="Nadpis6"/>
    <w:uiPriority w:val="9"/>
    <w:rsid w:val="00BE2B5F"/>
    <w:rPr>
      <w:rFonts w:ascii="Times New Roman" w:hAnsi="Times New Roman"/>
      <w:bCs/>
      <w:noProof/>
      <w:sz w:val="24"/>
      <w:szCs w:val="22"/>
      <w:lang w:eastAsia="en-US" w:bidi="en-US"/>
    </w:rPr>
  </w:style>
  <w:style w:type="character" w:customStyle="1" w:styleId="Nadpis7Char">
    <w:name w:val="Nadpis 7 Char"/>
    <w:basedOn w:val="Standardnpsmoodstavce"/>
    <w:link w:val="Nadpis7"/>
    <w:uiPriority w:val="9"/>
    <w:rsid w:val="00BE2B5F"/>
    <w:rPr>
      <w:rFonts w:ascii="Times New Roman" w:hAnsi="Times New Roman"/>
      <w:noProof/>
      <w:sz w:val="24"/>
      <w:szCs w:val="24"/>
      <w:lang w:eastAsia="en-US" w:bidi="en-US"/>
    </w:rPr>
  </w:style>
  <w:style w:type="character" w:customStyle="1" w:styleId="Nadpis8Char">
    <w:name w:val="Nadpis 8 Char"/>
    <w:basedOn w:val="Standardnpsmoodstavce"/>
    <w:link w:val="Nadpis8"/>
    <w:uiPriority w:val="9"/>
    <w:rsid w:val="00BE2B5F"/>
    <w:rPr>
      <w:rFonts w:ascii="Times New Roman" w:hAnsi="Times New Roman"/>
      <w:i/>
      <w:iCs/>
      <w:noProof/>
      <w:sz w:val="24"/>
      <w:szCs w:val="24"/>
      <w:lang w:eastAsia="en-US" w:bidi="en-US"/>
    </w:rPr>
  </w:style>
  <w:style w:type="character" w:customStyle="1" w:styleId="Nadpis9Char">
    <w:name w:val="Nadpis 9 Char"/>
    <w:basedOn w:val="Standardnpsmoodstavce"/>
    <w:link w:val="Nadpis9"/>
    <w:uiPriority w:val="9"/>
    <w:rsid w:val="00BE2B5F"/>
    <w:rPr>
      <w:rFonts w:ascii="Cambria" w:hAnsi="Cambria"/>
      <w:noProof/>
      <w:sz w:val="24"/>
      <w:szCs w:val="22"/>
      <w:lang w:eastAsia="en-US" w:bidi="en-US"/>
    </w:rPr>
  </w:style>
  <w:style w:type="character" w:styleId="Zvraznn">
    <w:name w:val="Emphasis"/>
    <w:basedOn w:val="Standardnpsmoodstavce"/>
    <w:uiPriority w:val="20"/>
    <w:qFormat/>
    <w:rsid w:val="007E7FD0"/>
    <w:rPr>
      <w:rFonts w:ascii="Arial" w:hAnsi="Arial"/>
      <w:b/>
      <w:i/>
      <w:iCs/>
      <w:sz w:val="22"/>
    </w:rPr>
  </w:style>
  <w:style w:type="paragraph" w:styleId="Titulek">
    <w:name w:val="caption"/>
    <w:basedOn w:val="Normln"/>
    <w:next w:val="Normln"/>
    <w:link w:val="TitulekChar"/>
    <w:uiPriority w:val="99"/>
    <w:unhideWhenUsed/>
    <w:qFormat/>
    <w:rsid w:val="00743CDF"/>
    <w:pPr>
      <w:keepNext/>
      <w:spacing w:before="240"/>
      <w:contextualSpacing/>
    </w:pPr>
    <w:rPr>
      <w:b/>
      <w:spacing w:val="10"/>
      <w:sz w:val="18"/>
      <w:szCs w:val="18"/>
    </w:rPr>
  </w:style>
  <w:style w:type="paragraph" w:styleId="Nzev">
    <w:name w:val="Title"/>
    <w:basedOn w:val="Normln"/>
    <w:next w:val="Normln"/>
    <w:link w:val="NzevChar"/>
    <w:uiPriority w:val="10"/>
    <w:qFormat/>
    <w:rsid w:val="009F6DCD"/>
    <w:pPr>
      <w:spacing w:before="240" w:after="60"/>
      <w:jc w:val="center"/>
      <w:outlineLvl w:val="0"/>
    </w:pPr>
    <w:rPr>
      <w:b/>
      <w:bCs/>
      <w:kern w:val="28"/>
      <w:sz w:val="32"/>
      <w:szCs w:val="32"/>
    </w:rPr>
  </w:style>
  <w:style w:type="character" w:customStyle="1" w:styleId="NzevChar">
    <w:name w:val="Název Char"/>
    <w:basedOn w:val="Standardnpsmoodstavce"/>
    <w:link w:val="Nzev"/>
    <w:uiPriority w:val="10"/>
    <w:rsid w:val="009F6DCD"/>
    <w:rPr>
      <w:rFonts w:ascii="Times New Roman" w:hAnsi="Times New Roman"/>
      <w:b/>
      <w:bCs/>
      <w:noProof/>
      <w:kern w:val="28"/>
      <w:sz w:val="32"/>
      <w:szCs w:val="32"/>
      <w:lang w:eastAsia="en-US" w:bidi="en-US"/>
    </w:rPr>
  </w:style>
  <w:style w:type="paragraph" w:styleId="Podtitul">
    <w:name w:val="Subtitle"/>
    <w:basedOn w:val="Normln"/>
    <w:next w:val="Normln"/>
    <w:link w:val="PodtitulChar"/>
    <w:uiPriority w:val="11"/>
    <w:rsid w:val="00BE2B5F"/>
    <w:pPr>
      <w:spacing w:after="60"/>
      <w:jc w:val="center"/>
      <w:outlineLvl w:val="1"/>
    </w:pPr>
    <w:rPr>
      <w:rFonts w:ascii="Cambria" w:hAnsi="Cambria"/>
    </w:rPr>
  </w:style>
  <w:style w:type="character" w:customStyle="1" w:styleId="PodtitulChar">
    <w:name w:val="Podtitul Char"/>
    <w:basedOn w:val="Standardnpsmoodstavce"/>
    <w:link w:val="Podtitul"/>
    <w:uiPriority w:val="11"/>
    <w:rsid w:val="00BE2B5F"/>
    <w:rPr>
      <w:rFonts w:ascii="Cambria" w:hAnsi="Cambria"/>
      <w:noProof/>
      <w:sz w:val="22"/>
      <w:szCs w:val="24"/>
      <w:lang w:eastAsia="en-US" w:bidi="en-US"/>
    </w:rPr>
  </w:style>
  <w:style w:type="character" w:styleId="Siln">
    <w:name w:val="Strong"/>
    <w:basedOn w:val="Standardnpsmoodstavce"/>
    <w:uiPriority w:val="22"/>
    <w:rsid w:val="00BE2B5F"/>
    <w:rPr>
      <w:b/>
      <w:bCs/>
    </w:rPr>
  </w:style>
  <w:style w:type="paragraph" w:styleId="Bezmezer">
    <w:name w:val="No Spacing"/>
    <w:basedOn w:val="Normln"/>
    <w:link w:val="BezmezerChar"/>
    <w:uiPriority w:val="1"/>
    <w:rsid w:val="00BE2B5F"/>
    <w:rPr>
      <w:szCs w:val="32"/>
    </w:rPr>
  </w:style>
  <w:style w:type="character" w:customStyle="1" w:styleId="BezmezerChar">
    <w:name w:val="Bez mezer Char"/>
    <w:basedOn w:val="Standardnpsmoodstavce"/>
    <w:link w:val="Bezmezer"/>
    <w:uiPriority w:val="1"/>
    <w:rsid w:val="00BE2B5F"/>
    <w:rPr>
      <w:sz w:val="24"/>
      <w:szCs w:val="32"/>
    </w:rPr>
  </w:style>
  <w:style w:type="paragraph" w:styleId="Odstavecseseznamem">
    <w:name w:val="List Paragraph"/>
    <w:basedOn w:val="Normln"/>
    <w:link w:val="OdstavecseseznamemChar"/>
    <w:uiPriority w:val="34"/>
    <w:qFormat/>
    <w:rsid w:val="00BE2B5F"/>
    <w:pPr>
      <w:ind w:left="720"/>
      <w:contextualSpacing/>
    </w:pPr>
  </w:style>
  <w:style w:type="character" w:customStyle="1" w:styleId="OdstavecseseznamemChar">
    <w:name w:val="Odstavec se seznamem Char"/>
    <w:basedOn w:val="Standardnpsmoodstavce"/>
    <w:link w:val="Odstavecseseznamem"/>
    <w:uiPriority w:val="99"/>
    <w:rsid w:val="000C329D"/>
    <w:rPr>
      <w:rFonts w:ascii="Times New Roman" w:hAnsi="Times New Roman"/>
      <w:noProof/>
      <w:sz w:val="24"/>
      <w:szCs w:val="24"/>
      <w:lang w:val="cs-CZ"/>
    </w:rPr>
  </w:style>
  <w:style w:type="paragraph" w:customStyle="1" w:styleId="Citace1">
    <w:name w:val="Citace1"/>
    <w:basedOn w:val="Normln"/>
    <w:next w:val="Normln"/>
    <w:link w:val="CitaceChar"/>
    <w:uiPriority w:val="29"/>
    <w:rsid w:val="00BE2B5F"/>
    <w:rPr>
      <w:i/>
    </w:rPr>
  </w:style>
  <w:style w:type="character" w:customStyle="1" w:styleId="CitaceChar">
    <w:name w:val="Citace Char"/>
    <w:basedOn w:val="Standardnpsmoodstavce"/>
    <w:link w:val="Citace1"/>
    <w:uiPriority w:val="29"/>
    <w:rsid w:val="00BE2B5F"/>
    <w:rPr>
      <w:i/>
      <w:sz w:val="24"/>
      <w:szCs w:val="24"/>
    </w:rPr>
  </w:style>
  <w:style w:type="paragraph" w:customStyle="1" w:styleId="Citaceintenzivn1">
    <w:name w:val="Citace – intenzivní1"/>
    <w:basedOn w:val="Normln"/>
    <w:next w:val="Normln"/>
    <w:link w:val="CitaceintenzivnChar"/>
    <w:uiPriority w:val="30"/>
    <w:rsid w:val="00BE2B5F"/>
    <w:pPr>
      <w:ind w:left="720" w:right="720"/>
    </w:pPr>
    <w:rPr>
      <w:i/>
      <w:szCs w:val="22"/>
    </w:rPr>
  </w:style>
  <w:style w:type="character" w:customStyle="1" w:styleId="CitaceintenzivnChar">
    <w:name w:val="Citace – intenzivní Char"/>
    <w:basedOn w:val="Standardnpsmoodstavce"/>
    <w:link w:val="Citaceintenzivn1"/>
    <w:uiPriority w:val="30"/>
    <w:rsid w:val="00BE2B5F"/>
    <w:rPr>
      <w:b/>
      <w:i/>
      <w:sz w:val="24"/>
    </w:rPr>
  </w:style>
  <w:style w:type="character" w:styleId="Zdraznnjemn">
    <w:name w:val="Subtle Emphasis"/>
    <w:uiPriority w:val="99"/>
    <w:rsid w:val="00BE2B5F"/>
    <w:rPr>
      <w:i/>
      <w:color w:val="5A5A5A"/>
    </w:rPr>
  </w:style>
  <w:style w:type="character" w:styleId="Zdraznnintenzivn">
    <w:name w:val="Intense Emphasis"/>
    <w:basedOn w:val="Standardnpsmoodstavce"/>
    <w:uiPriority w:val="21"/>
    <w:rsid w:val="00BE2B5F"/>
    <w:rPr>
      <w:b/>
      <w:i/>
      <w:sz w:val="24"/>
      <w:szCs w:val="24"/>
      <w:u w:val="single"/>
    </w:rPr>
  </w:style>
  <w:style w:type="character" w:styleId="Odkazjemn">
    <w:name w:val="Subtle Reference"/>
    <w:basedOn w:val="Standardnpsmoodstavce"/>
    <w:uiPriority w:val="99"/>
    <w:rsid w:val="00BE2B5F"/>
    <w:rPr>
      <w:sz w:val="24"/>
      <w:szCs w:val="24"/>
      <w:u w:val="single"/>
    </w:rPr>
  </w:style>
  <w:style w:type="character" w:styleId="Odkazintenzivn">
    <w:name w:val="Intense Reference"/>
    <w:basedOn w:val="Standardnpsmoodstavce"/>
    <w:uiPriority w:val="99"/>
    <w:rsid w:val="00BE2B5F"/>
    <w:rPr>
      <w:b/>
      <w:sz w:val="24"/>
      <w:u w:val="single"/>
    </w:rPr>
  </w:style>
  <w:style w:type="character" w:styleId="Nzevknihy">
    <w:name w:val="Book Title"/>
    <w:basedOn w:val="Standardnpsmoodstavce"/>
    <w:uiPriority w:val="33"/>
    <w:rsid w:val="00BE2B5F"/>
    <w:rPr>
      <w:rFonts w:ascii="Cambria" w:eastAsia="Times New Roman" w:hAnsi="Cambria"/>
      <w:b/>
      <w:i/>
      <w:sz w:val="24"/>
      <w:szCs w:val="24"/>
    </w:rPr>
  </w:style>
  <w:style w:type="paragraph" w:styleId="Nadpisobsahu">
    <w:name w:val="TOC Heading"/>
    <w:basedOn w:val="Nadpis1"/>
    <w:next w:val="Normln"/>
    <w:uiPriority w:val="39"/>
    <w:unhideWhenUsed/>
    <w:qFormat/>
    <w:rsid w:val="00BE2B5F"/>
    <w:pPr>
      <w:outlineLvl w:val="9"/>
    </w:pPr>
  </w:style>
  <w:style w:type="character" w:styleId="Odkaznakoment">
    <w:name w:val="annotation reference"/>
    <w:aliases w:val="Značka poznámky"/>
    <w:basedOn w:val="Standardnpsmoodstavce"/>
    <w:uiPriority w:val="99"/>
    <w:unhideWhenUsed/>
    <w:rsid w:val="003C1EA7"/>
    <w:rPr>
      <w:sz w:val="16"/>
      <w:szCs w:val="16"/>
    </w:rPr>
  </w:style>
  <w:style w:type="paragraph" w:styleId="Textkomente">
    <w:name w:val="annotation text"/>
    <w:aliases w:val="Text poznámky"/>
    <w:basedOn w:val="Normln"/>
    <w:link w:val="TextkomenteChar"/>
    <w:uiPriority w:val="99"/>
    <w:unhideWhenUsed/>
    <w:rsid w:val="003C1EA7"/>
    <w:rPr>
      <w:sz w:val="20"/>
      <w:szCs w:val="20"/>
    </w:rPr>
  </w:style>
  <w:style w:type="character" w:customStyle="1" w:styleId="TextkomenteChar">
    <w:name w:val="Text komentáře Char"/>
    <w:aliases w:val="Text poznámky Char"/>
    <w:basedOn w:val="Standardnpsmoodstavce"/>
    <w:link w:val="Textkomente"/>
    <w:uiPriority w:val="99"/>
    <w:rsid w:val="003C1EA7"/>
    <w:rPr>
      <w:rFonts w:ascii="Times New Roman" w:hAnsi="Times New Roman"/>
      <w:b/>
      <w:sz w:val="20"/>
      <w:szCs w:val="20"/>
    </w:rPr>
  </w:style>
  <w:style w:type="paragraph" w:styleId="Pedmtkomente">
    <w:name w:val="annotation subject"/>
    <w:basedOn w:val="Textkomente"/>
    <w:next w:val="Textkomente"/>
    <w:link w:val="PedmtkomenteChar"/>
    <w:uiPriority w:val="99"/>
    <w:semiHidden/>
    <w:unhideWhenUsed/>
    <w:rsid w:val="003C1EA7"/>
    <w:rPr>
      <w:bCs/>
    </w:rPr>
  </w:style>
  <w:style w:type="character" w:customStyle="1" w:styleId="PedmtkomenteChar">
    <w:name w:val="Předmět komentáře Char"/>
    <w:basedOn w:val="TextkomenteChar"/>
    <w:link w:val="Pedmtkomente"/>
    <w:uiPriority w:val="99"/>
    <w:semiHidden/>
    <w:rsid w:val="003C1EA7"/>
    <w:rPr>
      <w:rFonts w:ascii="Times New Roman" w:hAnsi="Times New Roman"/>
      <w:b w:val="0"/>
      <w:bCs/>
      <w:sz w:val="20"/>
      <w:szCs w:val="20"/>
    </w:rPr>
  </w:style>
  <w:style w:type="paragraph" w:styleId="Textbubliny">
    <w:name w:val="Balloon Text"/>
    <w:basedOn w:val="Normln"/>
    <w:link w:val="TextbublinyChar"/>
    <w:uiPriority w:val="99"/>
    <w:unhideWhenUsed/>
    <w:rsid w:val="003C1EA7"/>
    <w:rPr>
      <w:rFonts w:ascii="Tahoma" w:hAnsi="Tahoma" w:cs="Tahoma"/>
      <w:sz w:val="16"/>
      <w:szCs w:val="16"/>
    </w:rPr>
  </w:style>
  <w:style w:type="character" w:customStyle="1" w:styleId="TextbublinyChar">
    <w:name w:val="Text bubliny Char"/>
    <w:basedOn w:val="Standardnpsmoodstavce"/>
    <w:link w:val="Textbubliny"/>
    <w:uiPriority w:val="99"/>
    <w:semiHidden/>
    <w:rsid w:val="003C1EA7"/>
    <w:rPr>
      <w:rFonts w:ascii="Tahoma" w:hAnsi="Tahoma" w:cs="Tahoma"/>
      <w:b/>
      <w:sz w:val="16"/>
      <w:szCs w:val="16"/>
    </w:rPr>
  </w:style>
  <w:style w:type="paragraph" w:styleId="Zhlav">
    <w:name w:val="header"/>
    <w:basedOn w:val="Normln"/>
    <w:link w:val="ZhlavChar"/>
    <w:uiPriority w:val="99"/>
    <w:unhideWhenUsed/>
    <w:rsid w:val="00DF00F7"/>
    <w:pPr>
      <w:tabs>
        <w:tab w:val="center" w:pos="4536"/>
        <w:tab w:val="right" w:pos="9072"/>
      </w:tabs>
      <w:spacing w:line="240" w:lineRule="auto"/>
    </w:pPr>
  </w:style>
  <w:style w:type="character" w:customStyle="1" w:styleId="ZhlavChar">
    <w:name w:val="Záhlaví Char"/>
    <w:basedOn w:val="Standardnpsmoodstavce"/>
    <w:link w:val="Zhlav"/>
    <w:uiPriority w:val="99"/>
    <w:rsid w:val="00DF00F7"/>
    <w:rPr>
      <w:rFonts w:ascii="Times New Roman" w:hAnsi="Times New Roman"/>
      <w:sz w:val="24"/>
      <w:szCs w:val="24"/>
    </w:rPr>
  </w:style>
  <w:style w:type="paragraph" w:styleId="Zpat">
    <w:name w:val="footer"/>
    <w:basedOn w:val="Normln"/>
    <w:link w:val="ZpatChar"/>
    <w:uiPriority w:val="99"/>
    <w:unhideWhenUsed/>
    <w:rsid w:val="00DF00F7"/>
    <w:pPr>
      <w:tabs>
        <w:tab w:val="center" w:pos="4536"/>
        <w:tab w:val="right" w:pos="9072"/>
      </w:tabs>
      <w:spacing w:line="240" w:lineRule="auto"/>
    </w:pPr>
  </w:style>
  <w:style w:type="character" w:customStyle="1" w:styleId="ZpatChar">
    <w:name w:val="Zápatí Char"/>
    <w:basedOn w:val="Standardnpsmoodstavce"/>
    <w:link w:val="Zpat"/>
    <w:uiPriority w:val="99"/>
    <w:rsid w:val="00DF00F7"/>
    <w:rPr>
      <w:rFonts w:ascii="Times New Roman" w:hAnsi="Times New Roman"/>
      <w:sz w:val="24"/>
      <w:szCs w:val="24"/>
    </w:rPr>
  </w:style>
  <w:style w:type="paragraph" w:customStyle="1" w:styleId="Normln-tun">
    <w:name w:val="Normální - tučné"/>
    <w:basedOn w:val="Normln"/>
    <w:uiPriority w:val="99"/>
    <w:qFormat/>
    <w:rsid w:val="008C2A42"/>
    <w:pPr>
      <w:keepNext/>
      <w:spacing w:before="240" w:after="120"/>
    </w:pPr>
    <w:rPr>
      <w:b/>
      <w:szCs w:val="22"/>
    </w:rPr>
  </w:style>
  <w:style w:type="paragraph" w:customStyle="1" w:styleId="Zkon-podkapitola">
    <w:name w:val="Zákon-podkapitola"/>
    <w:basedOn w:val="Normln"/>
    <w:uiPriority w:val="99"/>
    <w:rsid w:val="00153E74"/>
    <w:pPr>
      <w:tabs>
        <w:tab w:val="num" w:pos="-180"/>
      </w:tabs>
      <w:spacing w:line="240" w:lineRule="auto"/>
      <w:ind w:left="-180" w:right="-648" w:hanging="360"/>
      <w:contextualSpacing/>
    </w:pPr>
    <w:rPr>
      <w:rFonts w:cs="Arial"/>
      <w:szCs w:val="18"/>
      <w:lang w:eastAsia="cs-CZ" w:bidi="ar-SA"/>
    </w:rPr>
  </w:style>
  <w:style w:type="paragraph" w:styleId="Revize">
    <w:name w:val="Revision"/>
    <w:hidden/>
    <w:uiPriority w:val="99"/>
    <w:semiHidden/>
    <w:rsid w:val="002471FC"/>
    <w:rPr>
      <w:rFonts w:ascii="Times New Roman" w:hAnsi="Times New Roman"/>
      <w:noProof/>
      <w:sz w:val="24"/>
      <w:szCs w:val="24"/>
      <w:lang w:eastAsia="en-US" w:bidi="en-US"/>
    </w:rPr>
  </w:style>
  <w:style w:type="paragraph" w:styleId="Normlnweb">
    <w:name w:val="Normal (Web)"/>
    <w:basedOn w:val="Normln"/>
    <w:link w:val="NormlnwebChar"/>
    <w:uiPriority w:val="99"/>
    <w:unhideWhenUsed/>
    <w:rsid w:val="00BB3D11"/>
    <w:pPr>
      <w:spacing w:before="100" w:beforeAutospacing="1" w:after="100" w:afterAutospacing="1" w:line="240" w:lineRule="auto"/>
      <w:jc w:val="left"/>
    </w:pPr>
    <w:rPr>
      <w:noProof w:val="0"/>
      <w:lang w:eastAsia="cs-CZ" w:bidi="ar-SA"/>
    </w:rPr>
  </w:style>
  <w:style w:type="character" w:styleId="Hypertextovodkaz">
    <w:name w:val="Hyperlink"/>
    <w:basedOn w:val="Standardnpsmoodstavce"/>
    <w:uiPriority w:val="99"/>
    <w:unhideWhenUsed/>
    <w:rsid w:val="00BB3D11"/>
    <w:rPr>
      <w:color w:val="0000FF"/>
      <w:u w:val="single"/>
    </w:rPr>
  </w:style>
  <w:style w:type="paragraph" w:styleId="Citt">
    <w:name w:val="Quote"/>
    <w:basedOn w:val="Normln"/>
    <w:next w:val="Normln"/>
    <w:link w:val="CittChar"/>
    <w:uiPriority w:val="29"/>
    <w:rsid w:val="00324860"/>
    <w:rPr>
      <w:i/>
      <w:iCs/>
      <w:noProof w:val="0"/>
      <w:lang w:bidi="ar-SA"/>
    </w:rPr>
  </w:style>
  <w:style w:type="character" w:customStyle="1" w:styleId="CittChar">
    <w:name w:val="Citát Char"/>
    <w:basedOn w:val="Standardnpsmoodstavce"/>
    <w:link w:val="Citt"/>
    <w:uiPriority w:val="29"/>
    <w:rsid w:val="00324860"/>
    <w:rPr>
      <w:rFonts w:ascii="Times New Roman" w:hAnsi="Times New Roman"/>
      <w:i/>
      <w:iCs/>
      <w:sz w:val="24"/>
      <w:szCs w:val="24"/>
      <w:lang w:eastAsia="en-US"/>
    </w:rPr>
  </w:style>
  <w:style w:type="paragraph" w:styleId="Vrazncitt">
    <w:name w:val="Intense Quote"/>
    <w:basedOn w:val="Normln"/>
    <w:next w:val="Normln"/>
    <w:link w:val="VrazncittChar"/>
    <w:uiPriority w:val="99"/>
    <w:rsid w:val="00324860"/>
    <w:pPr>
      <w:ind w:left="720" w:right="720"/>
    </w:pPr>
    <w:rPr>
      <w:i/>
      <w:iCs/>
      <w:noProof w:val="0"/>
      <w:lang w:bidi="ar-SA"/>
    </w:rPr>
  </w:style>
  <w:style w:type="character" w:customStyle="1" w:styleId="VrazncittChar">
    <w:name w:val="Výrazný citát Char"/>
    <w:basedOn w:val="Standardnpsmoodstavce"/>
    <w:link w:val="Vrazncitt"/>
    <w:uiPriority w:val="99"/>
    <w:rsid w:val="00324860"/>
    <w:rPr>
      <w:rFonts w:ascii="Times New Roman" w:hAnsi="Times New Roman"/>
      <w:i/>
      <w:iCs/>
      <w:sz w:val="24"/>
      <w:szCs w:val="24"/>
      <w:lang w:eastAsia="en-US"/>
    </w:rPr>
  </w:style>
  <w:style w:type="paragraph" w:customStyle="1" w:styleId="Styl-NormlnsodrkouVlevo189cmPedsazen063cm">
    <w:name w:val="Styl - Normální s odrážkou + Vlevo:  189 cm Předsazení:  063 cm"/>
    <w:basedOn w:val="Normln"/>
    <w:uiPriority w:val="99"/>
    <w:rsid w:val="00324860"/>
    <w:pPr>
      <w:numPr>
        <w:numId w:val="29"/>
      </w:numPr>
    </w:pPr>
    <w:rPr>
      <w:noProof w:val="0"/>
      <w:lang w:bidi="ar-SA"/>
    </w:rPr>
  </w:style>
  <w:style w:type="character" w:customStyle="1" w:styleId="st">
    <w:name w:val="st"/>
    <w:basedOn w:val="Standardnpsmoodstavce"/>
    <w:rsid w:val="00324860"/>
  </w:style>
  <w:style w:type="paragraph" w:customStyle="1" w:styleId="Quote1">
    <w:name w:val="Quote1"/>
    <w:basedOn w:val="Normln"/>
    <w:next w:val="Normln"/>
    <w:link w:val="QuoteChar"/>
    <w:rsid w:val="003C2085"/>
    <w:pPr>
      <w:spacing w:line="240" w:lineRule="auto"/>
    </w:pPr>
    <w:rPr>
      <w:rFonts w:ascii="Garamond" w:hAnsi="Garamond"/>
      <w:i/>
      <w:iCs/>
      <w:noProof w:val="0"/>
      <w:color w:val="000000"/>
      <w:sz w:val="20"/>
      <w:szCs w:val="20"/>
      <w:lang w:eastAsia="cs-CZ" w:bidi="ar-SA"/>
    </w:rPr>
  </w:style>
  <w:style w:type="character" w:customStyle="1" w:styleId="QuoteChar">
    <w:name w:val="Quote Char"/>
    <w:link w:val="Quote1"/>
    <w:locked/>
    <w:rsid w:val="003C2085"/>
    <w:rPr>
      <w:rFonts w:ascii="Garamond" w:hAnsi="Garamond"/>
      <w:i/>
      <w:iCs/>
      <w:color w:val="000000"/>
    </w:rPr>
  </w:style>
  <w:style w:type="paragraph" w:customStyle="1" w:styleId="Text-Normaln">
    <w:name w:val="Text - Normalní"/>
    <w:basedOn w:val="Normln"/>
    <w:link w:val="Text-NormalnChar"/>
    <w:rsid w:val="003C2085"/>
    <w:pPr>
      <w:spacing w:before="120" w:after="120" w:line="240" w:lineRule="auto"/>
    </w:pPr>
    <w:rPr>
      <w:rFonts w:ascii="Garamond" w:eastAsia="Calibri" w:hAnsi="Garamond"/>
      <w:noProof w:val="0"/>
      <w:szCs w:val="22"/>
      <w:lang w:bidi="ar-SA"/>
    </w:rPr>
  </w:style>
  <w:style w:type="paragraph" w:customStyle="1" w:styleId="Odraky1">
    <w:name w:val="Odražky (1)"/>
    <w:basedOn w:val="Odstavecseseznamem"/>
    <w:link w:val="Odraky1Char"/>
    <w:rsid w:val="003C2085"/>
    <w:pPr>
      <w:numPr>
        <w:numId w:val="38"/>
      </w:numPr>
      <w:spacing w:before="120" w:after="120" w:line="240" w:lineRule="auto"/>
    </w:pPr>
    <w:rPr>
      <w:rFonts w:ascii="Garamond" w:eastAsia="Calibri" w:hAnsi="Garamond"/>
      <w:noProof w:val="0"/>
      <w:szCs w:val="22"/>
      <w:lang w:bidi="ar-SA"/>
    </w:rPr>
  </w:style>
  <w:style w:type="character" w:customStyle="1" w:styleId="Text-NormalnChar">
    <w:name w:val="Text - Normalní Char"/>
    <w:basedOn w:val="Standardnpsmoodstavce"/>
    <w:link w:val="Text-Normaln"/>
    <w:rsid w:val="003C2085"/>
    <w:rPr>
      <w:rFonts w:ascii="Garamond" w:eastAsia="Calibri" w:hAnsi="Garamond"/>
      <w:sz w:val="24"/>
      <w:szCs w:val="22"/>
      <w:lang w:eastAsia="en-US"/>
    </w:rPr>
  </w:style>
  <w:style w:type="character" w:customStyle="1" w:styleId="Odraky1Char">
    <w:name w:val="Odražky (1) Char"/>
    <w:basedOn w:val="OdstavecseseznamemChar"/>
    <w:link w:val="Odraky1"/>
    <w:rsid w:val="003C2085"/>
    <w:rPr>
      <w:rFonts w:ascii="Garamond" w:eastAsia="Calibri" w:hAnsi="Garamond"/>
      <w:noProof/>
      <w:sz w:val="24"/>
      <w:szCs w:val="22"/>
      <w:lang w:val="cs-CZ" w:eastAsia="en-US"/>
    </w:rPr>
  </w:style>
  <w:style w:type="paragraph" w:customStyle="1" w:styleId="Zdroj1">
    <w:name w:val="Zdroj (1)"/>
    <w:basedOn w:val="Normln"/>
    <w:link w:val="Zdroj1Char"/>
    <w:rsid w:val="003C2085"/>
    <w:pPr>
      <w:spacing w:before="120" w:after="120" w:line="240" w:lineRule="auto"/>
    </w:pPr>
    <w:rPr>
      <w:rFonts w:ascii="Garamond" w:eastAsia="Calibri" w:hAnsi="Garamond"/>
      <w:i/>
      <w:noProof w:val="0"/>
      <w:szCs w:val="22"/>
      <w:lang w:bidi="ar-SA"/>
    </w:rPr>
  </w:style>
  <w:style w:type="paragraph" w:customStyle="1" w:styleId="Nadpis2a">
    <w:name w:val="Nadpis (2a)"/>
    <w:basedOn w:val="Nadpis2"/>
    <w:link w:val="Nadpis2aChar"/>
    <w:rsid w:val="00434A2F"/>
    <w:pPr>
      <w:keepNext w:val="0"/>
      <w:numPr>
        <w:ilvl w:val="0"/>
        <w:numId w:val="76"/>
      </w:numPr>
      <w:spacing w:before="120" w:after="120" w:line="240" w:lineRule="auto"/>
    </w:pPr>
    <w:rPr>
      <w:rFonts w:ascii="Cambria" w:eastAsia="Calibri" w:hAnsi="Cambria"/>
      <w:bCs/>
      <w:iCs w:val="0"/>
      <w:noProof w:val="0"/>
      <w:kern w:val="0"/>
      <w:szCs w:val="24"/>
      <w:u w:val="single"/>
      <w:lang w:bidi="ar-SA"/>
    </w:rPr>
  </w:style>
  <w:style w:type="character" w:customStyle="1" w:styleId="Zdroj1Char">
    <w:name w:val="Zdroj (1) Char"/>
    <w:basedOn w:val="Standardnpsmoodstavce"/>
    <w:link w:val="Zdroj1"/>
    <w:rsid w:val="003C2085"/>
    <w:rPr>
      <w:rFonts w:ascii="Garamond" w:eastAsia="Calibri" w:hAnsi="Garamond"/>
      <w:i/>
      <w:sz w:val="22"/>
      <w:szCs w:val="22"/>
      <w:lang w:eastAsia="en-US"/>
    </w:rPr>
  </w:style>
  <w:style w:type="character" w:customStyle="1" w:styleId="Nadpis2aChar">
    <w:name w:val="Nadpis (2a) Char"/>
    <w:basedOn w:val="Standardnpsmoodstavce"/>
    <w:link w:val="Nadpis2a"/>
    <w:rsid w:val="00434A2F"/>
    <w:rPr>
      <w:rFonts w:ascii="Cambria" w:eastAsia="Calibri" w:hAnsi="Cambria" w:cs="Arial"/>
      <w:b/>
      <w:bCs/>
      <w:sz w:val="24"/>
      <w:szCs w:val="24"/>
      <w:u w:val="single"/>
      <w:lang w:eastAsia="en-US"/>
    </w:rPr>
  </w:style>
  <w:style w:type="character" w:customStyle="1" w:styleId="TitulekChar">
    <w:name w:val="Titulek Char"/>
    <w:basedOn w:val="Standardnpsmoodstavce"/>
    <w:link w:val="Titulek"/>
    <w:uiPriority w:val="99"/>
    <w:rsid w:val="00743CDF"/>
    <w:rPr>
      <w:rFonts w:ascii="Arial" w:hAnsi="Arial"/>
      <w:b/>
      <w:noProof/>
      <w:spacing w:val="10"/>
      <w:sz w:val="18"/>
      <w:szCs w:val="18"/>
      <w:lang w:eastAsia="en-US" w:bidi="en-US"/>
    </w:rPr>
  </w:style>
  <w:style w:type="character" w:styleId="Zstupntext">
    <w:name w:val="Placeholder Text"/>
    <w:basedOn w:val="Standardnpsmoodstavce"/>
    <w:uiPriority w:val="99"/>
    <w:semiHidden/>
    <w:rsid w:val="006415EE"/>
    <w:rPr>
      <w:color w:val="808080"/>
    </w:rPr>
  </w:style>
  <w:style w:type="character" w:styleId="CittHTML">
    <w:name w:val="HTML Cite"/>
    <w:basedOn w:val="Standardnpsmoodstavce"/>
    <w:uiPriority w:val="99"/>
    <w:semiHidden/>
    <w:unhideWhenUsed/>
    <w:rsid w:val="006415EE"/>
    <w:rPr>
      <w:i/>
      <w:iCs/>
    </w:rPr>
  </w:style>
  <w:style w:type="character" w:styleId="Sledovanodkaz">
    <w:name w:val="FollowedHyperlink"/>
    <w:basedOn w:val="Standardnpsmoodstavce"/>
    <w:uiPriority w:val="99"/>
    <w:unhideWhenUsed/>
    <w:rsid w:val="006415EE"/>
    <w:rPr>
      <w:color w:val="800080"/>
      <w:u w:val="single"/>
    </w:rPr>
  </w:style>
  <w:style w:type="paragraph" w:styleId="Textpoznpodarou">
    <w:name w:val="footnote text"/>
    <w:basedOn w:val="Normln"/>
    <w:link w:val="TextpoznpodarouChar1"/>
    <w:uiPriority w:val="99"/>
    <w:rsid w:val="00404DDA"/>
    <w:pPr>
      <w:spacing w:line="240" w:lineRule="auto"/>
    </w:pPr>
    <w:rPr>
      <w:noProof w:val="0"/>
      <w:sz w:val="20"/>
      <w:szCs w:val="20"/>
      <w:lang w:eastAsia="cs-CZ" w:bidi="ar-SA"/>
    </w:rPr>
  </w:style>
  <w:style w:type="character" w:customStyle="1" w:styleId="TextpoznpodarouChar">
    <w:name w:val="Text pozn. pod čarou Char"/>
    <w:basedOn w:val="Standardnpsmoodstavce"/>
    <w:uiPriority w:val="99"/>
    <w:semiHidden/>
    <w:rsid w:val="006415EE"/>
    <w:rPr>
      <w:rFonts w:ascii="Times New Roman" w:hAnsi="Times New Roman"/>
      <w:noProof/>
      <w:lang w:eastAsia="en-US" w:bidi="en-US"/>
    </w:rPr>
  </w:style>
  <w:style w:type="character" w:styleId="Znakapoznpodarou">
    <w:name w:val="footnote reference"/>
    <w:basedOn w:val="Standardnpsmoodstavce"/>
    <w:uiPriority w:val="99"/>
    <w:rsid w:val="006415EE"/>
    <w:rPr>
      <w:vertAlign w:val="superscript"/>
    </w:rPr>
  </w:style>
  <w:style w:type="paragraph" w:styleId="Rejstk1">
    <w:name w:val="index 1"/>
    <w:basedOn w:val="Normln"/>
    <w:next w:val="Normln"/>
    <w:autoRedefine/>
    <w:uiPriority w:val="99"/>
    <w:unhideWhenUsed/>
    <w:rsid w:val="006415EE"/>
    <w:pPr>
      <w:spacing w:before="120" w:line="240" w:lineRule="auto"/>
      <w:ind w:left="220" w:hanging="220"/>
    </w:pPr>
    <w:rPr>
      <w:rFonts w:ascii="Garamond" w:eastAsia="Calibri" w:hAnsi="Garamond"/>
      <w:noProof w:val="0"/>
      <w:szCs w:val="22"/>
      <w:lang w:bidi="ar-SA"/>
    </w:rPr>
  </w:style>
  <w:style w:type="paragraph" w:styleId="Obsah1">
    <w:name w:val="toc 1"/>
    <w:basedOn w:val="Normln"/>
    <w:next w:val="Normln"/>
    <w:autoRedefine/>
    <w:uiPriority w:val="39"/>
    <w:unhideWhenUsed/>
    <w:qFormat/>
    <w:rsid w:val="006415EE"/>
    <w:pPr>
      <w:spacing w:before="120" w:after="120"/>
      <w:jc w:val="left"/>
    </w:pPr>
    <w:rPr>
      <w:rFonts w:asciiTheme="minorHAnsi" w:hAnsiTheme="minorHAnsi"/>
      <w:b/>
      <w:bCs/>
      <w:caps/>
      <w:sz w:val="20"/>
      <w:szCs w:val="20"/>
    </w:rPr>
  </w:style>
  <w:style w:type="paragraph" w:styleId="Obsah2">
    <w:name w:val="toc 2"/>
    <w:basedOn w:val="Normln"/>
    <w:next w:val="Normln"/>
    <w:autoRedefine/>
    <w:uiPriority w:val="39"/>
    <w:unhideWhenUsed/>
    <w:qFormat/>
    <w:rsid w:val="006415EE"/>
    <w:pPr>
      <w:ind w:left="240"/>
      <w:jc w:val="left"/>
    </w:pPr>
    <w:rPr>
      <w:rFonts w:asciiTheme="minorHAnsi" w:hAnsiTheme="minorHAnsi"/>
      <w:smallCaps/>
      <w:sz w:val="20"/>
      <w:szCs w:val="20"/>
    </w:rPr>
  </w:style>
  <w:style w:type="paragraph" w:styleId="Obsah3">
    <w:name w:val="toc 3"/>
    <w:basedOn w:val="Normln"/>
    <w:next w:val="Normln"/>
    <w:autoRedefine/>
    <w:uiPriority w:val="39"/>
    <w:unhideWhenUsed/>
    <w:qFormat/>
    <w:rsid w:val="006415EE"/>
    <w:pPr>
      <w:ind w:left="480"/>
      <w:jc w:val="left"/>
    </w:pPr>
    <w:rPr>
      <w:rFonts w:asciiTheme="minorHAnsi" w:hAnsiTheme="minorHAnsi"/>
      <w:i/>
      <w:iCs/>
      <w:sz w:val="20"/>
      <w:szCs w:val="20"/>
    </w:rPr>
  </w:style>
  <w:style w:type="paragraph" w:styleId="Seznamobrzk">
    <w:name w:val="table of figures"/>
    <w:basedOn w:val="Normln"/>
    <w:next w:val="Normln"/>
    <w:uiPriority w:val="99"/>
    <w:unhideWhenUsed/>
    <w:rsid w:val="006415EE"/>
    <w:pPr>
      <w:spacing w:before="120" w:line="240" w:lineRule="auto"/>
    </w:pPr>
    <w:rPr>
      <w:rFonts w:ascii="Garamond" w:eastAsia="Calibri" w:hAnsi="Garamond"/>
      <w:noProof w:val="0"/>
      <w:szCs w:val="22"/>
      <w:lang w:bidi="ar-SA"/>
    </w:rPr>
  </w:style>
  <w:style w:type="paragraph" w:styleId="Zkladntext3">
    <w:name w:val="Body Text 3"/>
    <w:basedOn w:val="Normln"/>
    <w:link w:val="Zkladntext3Char"/>
    <w:rsid w:val="006415EE"/>
    <w:pPr>
      <w:spacing w:before="120" w:after="120" w:line="240" w:lineRule="auto"/>
    </w:pPr>
    <w:rPr>
      <w:noProof w:val="0"/>
      <w:sz w:val="16"/>
      <w:szCs w:val="16"/>
      <w:lang w:eastAsia="cs-CZ" w:bidi="ar-SA"/>
    </w:rPr>
  </w:style>
  <w:style w:type="character" w:customStyle="1" w:styleId="Zkladntext3Char">
    <w:name w:val="Základní text 3 Char"/>
    <w:basedOn w:val="Standardnpsmoodstavce"/>
    <w:link w:val="Zkladntext3"/>
    <w:rsid w:val="006415EE"/>
    <w:rPr>
      <w:rFonts w:ascii="Times New Roman" w:hAnsi="Times New Roman"/>
      <w:sz w:val="16"/>
      <w:szCs w:val="16"/>
    </w:rPr>
  </w:style>
  <w:style w:type="paragraph" w:customStyle="1" w:styleId="bn">
    <w:name w:val="běžný"/>
    <w:basedOn w:val="Normln"/>
    <w:rsid w:val="006415EE"/>
    <w:pPr>
      <w:autoSpaceDE w:val="0"/>
      <w:autoSpaceDN w:val="0"/>
      <w:adjustRightInd w:val="0"/>
      <w:spacing w:before="120" w:after="120" w:line="240" w:lineRule="auto"/>
    </w:pPr>
    <w:rPr>
      <w:noProof w:val="0"/>
      <w:lang w:eastAsia="cs-CZ" w:bidi="ar-SA"/>
    </w:rPr>
  </w:style>
  <w:style w:type="paragraph" w:customStyle="1" w:styleId="MDSR">
    <w:name w:val="MDS ČR"/>
    <w:rsid w:val="006415EE"/>
    <w:pPr>
      <w:suppressAutoHyphens/>
      <w:overflowPunct w:val="0"/>
      <w:autoSpaceDE w:val="0"/>
      <w:autoSpaceDN w:val="0"/>
      <w:adjustRightInd w:val="0"/>
      <w:spacing w:before="120"/>
      <w:ind w:firstLine="567"/>
      <w:jc w:val="both"/>
      <w:textAlignment w:val="baseline"/>
    </w:pPr>
    <w:rPr>
      <w:rFonts w:ascii="Times New Roman" w:hAnsi="Times New Roman"/>
      <w:sz w:val="24"/>
    </w:rPr>
  </w:style>
  <w:style w:type="character" w:customStyle="1" w:styleId="CitaceChar1">
    <w:name w:val="Citace Char1"/>
    <w:basedOn w:val="Standardnpsmoodstavce"/>
    <w:uiPriority w:val="29"/>
    <w:rsid w:val="006415EE"/>
    <w:rPr>
      <w:rFonts w:ascii="Times New Roman" w:eastAsia="Times New Roman" w:hAnsi="Times New Roman"/>
      <w:i/>
      <w:iCs/>
      <w:color w:val="000000"/>
      <w:sz w:val="24"/>
    </w:rPr>
  </w:style>
  <w:style w:type="table" w:customStyle="1" w:styleId="Svtlstnovn1">
    <w:name w:val="Světlé stínování1"/>
    <w:basedOn w:val="Normlntabulka"/>
    <w:uiPriority w:val="60"/>
    <w:rsid w:val="006415EE"/>
    <w:rPr>
      <w:rFonts w:eastAsia="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ozloendokumentu">
    <w:name w:val="Document Map"/>
    <w:basedOn w:val="Normln"/>
    <w:link w:val="RozloendokumentuChar"/>
    <w:semiHidden/>
    <w:rsid w:val="006415EE"/>
    <w:pPr>
      <w:shd w:val="clear" w:color="auto" w:fill="000080"/>
      <w:spacing w:before="120" w:after="120" w:line="240" w:lineRule="auto"/>
    </w:pPr>
    <w:rPr>
      <w:rFonts w:ascii="Tahoma" w:eastAsia="Calibri" w:hAnsi="Tahoma" w:cs="Tahoma"/>
      <w:noProof w:val="0"/>
      <w:sz w:val="20"/>
      <w:szCs w:val="20"/>
      <w:lang w:bidi="ar-SA"/>
    </w:rPr>
  </w:style>
  <w:style w:type="character" w:customStyle="1" w:styleId="RozloendokumentuChar">
    <w:name w:val="Rozložení dokumentu Char"/>
    <w:basedOn w:val="Standardnpsmoodstavce"/>
    <w:link w:val="Rozloendokumentu"/>
    <w:semiHidden/>
    <w:rsid w:val="006415EE"/>
    <w:rPr>
      <w:rFonts w:ascii="Tahoma" w:eastAsia="Calibri" w:hAnsi="Tahoma" w:cs="Tahoma"/>
      <w:shd w:val="clear" w:color="auto" w:fill="000080"/>
      <w:lang w:eastAsia="en-US"/>
    </w:rPr>
  </w:style>
  <w:style w:type="paragraph" w:styleId="Zkladntext">
    <w:name w:val="Body Text"/>
    <w:basedOn w:val="Normln"/>
    <w:link w:val="ZkladntextChar"/>
    <w:unhideWhenUsed/>
    <w:rsid w:val="006415EE"/>
    <w:pPr>
      <w:spacing w:before="120" w:after="120" w:line="240" w:lineRule="auto"/>
    </w:pPr>
    <w:rPr>
      <w:rFonts w:ascii="Garamond" w:eastAsia="Calibri" w:hAnsi="Garamond"/>
      <w:noProof w:val="0"/>
      <w:szCs w:val="22"/>
      <w:lang w:bidi="ar-SA"/>
    </w:rPr>
  </w:style>
  <w:style w:type="character" w:customStyle="1" w:styleId="ZkladntextChar">
    <w:name w:val="Základní text Char"/>
    <w:basedOn w:val="Standardnpsmoodstavce"/>
    <w:link w:val="Zkladntext"/>
    <w:rsid w:val="006415EE"/>
    <w:rPr>
      <w:rFonts w:ascii="Garamond" w:eastAsia="Calibri" w:hAnsi="Garamond"/>
      <w:sz w:val="24"/>
      <w:szCs w:val="22"/>
      <w:lang w:eastAsia="en-US"/>
    </w:rPr>
  </w:style>
  <w:style w:type="character" w:customStyle="1" w:styleId="longtext">
    <w:name w:val="long_text"/>
    <w:basedOn w:val="Standardnpsmoodstavce"/>
    <w:rsid w:val="006415EE"/>
  </w:style>
  <w:style w:type="character" w:customStyle="1" w:styleId="TextpoznpodarouChar1">
    <w:name w:val="Text pozn. pod čarou Char1"/>
    <w:basedOn w:val="Standardnpsmoodstavce"/>
    <w:link w:val="Textpoznpodarou"/>
    <w:uiPriority w:val="99"/>
    <w:rsid w:val="00404DDA"/>
    <w:rPr>
      <w:rFonts w:ascii="Times New Roman" w:hAnsi="Times New Roman"/>
    </w:rPr>
  </w:style>
  <w:style w:type="paragraph" w:customStyle="1" w:styleId="Odstavecseseznamem1">
    <w:name w:val="Odstavec se seznamem1"/>
    <w:basedOn w:val="Normln"/>
    <w:uiPriority w:val="34"/>
    <w:rsid w:val="006415EE"/>
    <w:pPr>
      <w:numPr>
        <w:numId w:val="45"/>
      </w:numPr>
      <w:spacing w:before="120" w:after="120" w:line="240" w:lineRule="auto"/>
      <w:ind w:left="567" w:hanging="567"/>
      <w:contextualSpacing/>
    </w:pPr>
    <w:rPr>
      <w:rFonts w:ascii="Garamond" w:eastAsia="Calibri" w:hAnsi="Garamond"/>
      <w:noProof w:val="0"/>
      <w:szCs w:val="22"/>
      <w:lang w:bidi="ar-SA"/>
    </w:rPr>
  </w:style>
  <w:style w:type="character" w:customStyle="1" w:styleId="Zstupntext1">
    <w:name w:val="Zástupný text1"/>
    <w:basedOn w:val="Standardnpsmoodstavce"/>
    <w:uiPriority w:val="99"/>
    <w:semiHidden/>
    <w:rsid w:val="006415EE"/>
    <w:rPr>
      <w:color w:val="808080"/>
    </w:rPr>
  </w:style>
  <w:style w:type="paragraph" w:customStyle="1" w:styleId="Nadpisobsahu1">
    <w:name w:val="Nadpis obsahu1"/>
    <w:basedOn w:val="Nadpis1"/>
    <w:next w:val="Normln"/>
    <w:uiPriority w:val="39"/>
    <w:rsid w:val="006415EE"/>
    <w:pPr>
      <w:keepNext w:val="0"/>
      <w:widowControl w:val="0"/>
      <w:spacing w:before="120" w:after="120" w:line="240" w:lineRule="auto"/>
      <w:outlineLvl w:val="9"/>
    </w:pPr>
    <w:rPr>
      <w:rFonts w:ascii="Cambria" w:hAnsi="Cambria"/>
      <w:noProof w:val="0"/>
      <w:color w:val="B6B002"/>
      <w:kern w:val="0"/>
      <w:szCs w:val="28"/>
      <w:lang w:bidi="ar-SA"/>
    </w:rPr>
  </w:style>
  <w:style w:type="paragraph" w:customStyle="1" w:styleId="Revize1">
    <w:name w:val="Revize1"/>
    <w:hidden/>
    <w:uiPriority w:val="99"/>
    <w:semiHidden/>
    <w:rsid w:val="006415EE"/>
    <w:rPr>
      <w:rFonts w:ascii="Garamond" w:eastAsia="Calibri" w:hAnsi="Garamond"/>
      <w:sz w:val="24"/>
      <w:szCs w:val="22"/>
      <w:lang w:eastAsia="en-US"/>
    </w:rPr>
  </w:style>
  <w:style w:type="numbering" w:customStyle="1" w:styleId="NoList1">
    <w:name w:val="No List1"/>
    <w:next w:val="Bezseznamu"/>
    <w:semiHidden/>
    <w:rsid w:val="006415EE"/>
  </w:style>
  <w:style w:type="paragraph" w:customStyle="1" w:styleId="beznytext">
    <w:name w:val="bezny_text"/>
    <w:basedOn w:val="Normln"/>
    <w:rsid w:val="006415EE"/>
    <w:pPr>
      <w:spacing w:before="100" w:beforeAutospacing="1" w:after="100" w:afterAutospacing="1" w:line="240" w:lineRule="auto"/>
    </w:pPr>
    <w:rPr>
      <w:rFonts w:eastAsia="MS Mincho"/>
      <w:noProof w:val="0"/>
      <w:shd w:val="clear" w:color="auto" w:fill="FFFFFF"/>
      <w:lang w:eastAsia="ja-JP" w:bidi="ar-SA"/>
    </w:rPr>
  </w:style>
  <w:style w:type="paragraph" w:styleId="z-Konecformule">
    <w:name w:val="HTML Bottom of Form"/>
    <w:basedOn w:val="Normln"/>
    <w:next w:val="Normln"/>
    <w:link w:val="z-KonecformuleChar"/>
    <w:hidden/>
    <w:uiPriority w:val="99"/>
    <w:unhideWhenUsed/>
    <w:rsid w:val="006415EE"/>
    <w:pPr>
      <w:pBdr>
        <w:top w:val="single" w:sz="6" w:space="1" w:color="auto"/>
      </w:pBdr>
      <w:spacing w:before="120" w:after="120" w:line="240" w:lineRule="auto"/>
      <w:jc w:val="center"/>
    </w:pPr>
    <w:rPr>
      <w:rFonts w:cs="Arial"/>
      <w:noProof w:val="0"/>
      <w:vanish/>
      <w:sz w:val="16"/>
      <w:szCs w:val="16"/>
      <w:shd w:val="clear" w:color="auto" w:fill="FFFFFF"/>
      <w:lang w:val="en-US" w:bidi="ar-SA"/>
    </w:rPr>
  </w:style>
  <w:style w:type="character" w:customStyle="1" w:styleId="z-KonecformuleChar">
    <w:name w:val="z-Konec formuláře Char"/>
    <w:basedOn w:val="Standardnpsmoodstavce"/>
    <w:link w:val="z-Konecformule"/>
    <w:uiPriority w:val="99"/>
    <w:rsid w:val="006415EE"/>
    <w:rPr>
      <w:rFonts w:ascii="Arial" w:hAnsi="Arial" w:cs="Arial"/>
      <w:vanish/>
      <w:sz w:val="16"/>
      <w:szCs w:val="16"/>
      <w:lang w:val="en-US" w:eastAsia="en-US"/>
    </w:rPr>
  </w:style>
  <w:style w:type="table" w:styleId="Mkatabulky">
    <w:name w:val="Table Grid"/>
    <w:basedOn w:val="Normlntabulka"/>
    <w:uiPriority w:val="59"/>
    <w:rsid w:val="006415E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1">
    <w:name w:val="styl1"/>
    <w:basedOn w:val="Standardnpsmoodstavce"/>
    <w:rsid w:val="006415EE"/>
    <w:rPr>
      <w:sz w:val="14"/>
      <w:szCs w:val="14"/>
    </w:rPr>
  </w:style>
  <w:style w:type="character" w:customStyle="1" w:styleId="longtext1">
    <w:name w:val="long_text1"/>
    <w:basedOn w:val="Standardnpsmoodstavce"/>
    <w:rsid w:val="006415EE"/>
    <w:rPr>
      <w:sz w:val="20"/>
      <w:szCs w:val="20"/>
    </w:rPr>
  </w:style>
  <w:style w:type="paragraph" w:customStyle="1" w:styleId="poduct020301blit">
    <w:name w:val="poduct_020301_blit"/>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mt30">
    <w:name w:val="mt30"/>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mt20">
    <w:name w:val="mt20"/>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title41">
    <w:name w:val="title4_1"/>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tcentermt10">
    <w:name w:val="tcenter mt10"/>
    <w:basedOn w:val="Normln"/>
    <w:rsid w:val="006415EE"/>
    <w:pPr>
      <w:spacing w:before="100" w:beforeAutospacing="1" w:after="100" w:afterAutospacing="1" w:line="240" w:lineRule="auto"/>
      <w:jc w:val="left"/>
    </w:pPr>
    <w:rPr>
      <w:rFonts w:eastAsia="MS Mincho"/>
      <w:noProof w:val="0"/>
      <w:lang w:eastAsia="ja-JP" w:bidi="ar-SA"/>
    </w:rPr>
  </w:style>
  <w:style w:type="paragraph" w:customStyle="1" w:styleId="title41mt10">
    <w:name w:val="title4_1mt10"/>
    <w:basedOn w:val="Normln"/>
    <w:rsid w:val="006415EE"/>
    <w:pPr>
      <w:spacing w:before="100" w:beforeAutospacing="1" w:after="100" w:afterAutospacing="1" w:line="240" w:lineRule="auto"/>
      <w:jc w:val="left"/>
    </w:pPr>
    <w:rPr>
      <w:rFonts w:eastAsia="MS Mincho"/>
      <w:noProof w:val="0"/>
      <w:lang w:eastAsia="ja-JP" w:bidi="ar-SA"/>
    </w:rPr>
  </w:style>
  <w:style w:type="character" w:customStyle="1" w:styleId="TextbublinyChar1">
    <w:name w:val="Text bubliny Char1"/>
    <w:basedOn w:val="Standardnpsmoodstavce"/>
    <w:uiPriority w:val="99"/>
    <w:rsid w:val="006415EE"/>
    <w:rPr>
      <w:rFonts w:ascii="Tahoma" w:hAnsi="Tahoma" w:cs="Tahoma"/>
      <w:sz w:val="16"/>
      <w:szCs w:val="16"/>
      <w:lang w:eastAsia="en-US"/>
    </w:rPr>
  </w:style>
  <w:style w:type="character" w:customStyle="1" w:styleId="A4">
    <w:name w:val="A4"/>
    <w:uiPriority w:val="99"/>
    <w:rsid w:val="006415EE"/>
    <w:rPr>
      <w:rFonts w:cs="H-Helvetica"/>
      <w:color w:val="000000"/>
      <w:sz w:val="18"/>
      <w:szCs w:val="18"/>
    </w:rPr>
  </w:style>
  <w:style w:type="character" w:customStyle="1" w:styleId="Nadpis1Char1">
    <w:name w:val="Nadpis 1 Char1"/>
    <w:basedOn w:val="Standardnpsmoodstavce"/>
    <w:uiPriority w:val="9"/>
    <w:rsid w:val="006415EE"/>
    <w:rPr>
      <w:rFonts w:ascii="Cambria" w:eastAsia="Times New Roman" w:hAnsi="Cambria"/>
      <w:b/>
      <w:bCs/>
      <w:color w:val="B6B002"/>
      <w:sz w:val="28"/>
      <w:szCs w:val="28"/>
    </w:rPr>
  </w:style>
  <w:style w:type="paragraph" w:customStyle="1" w:styleId="Default">
    <w:name w:val="Default"/>
    <w:link w:val="DefaultChar"/>
    <w:rsid w:val="006415EE"/>
    <w:pPr>
      <w:autoSpaceDE w:val="0"/>
      <w:autoSpaceDN w:val="0"/>
      <w:adjustRightInd w:val="0"/>
    </w:pPr>
    <w:rPr>
      <w:rFonts w:eastAsia="MS Mincho" w:cs="Calibri"/>
      <w:color w:val="000000"/>
      <w:sz w:val="24"/>
      <w:szCs w:val="24"/>
      <w:lang w:eastAsia="en-US"/>
    </w:rPr>
  </w:style>
  <w:style w:type="paragraph" w:customStyle="1" w:styleId="pagehdr">
    <w:name w:val="pagehdr"/>
    <w:basedOn w:val="Normln"/>
    <w:rsid w:val="006415EE"/>
    <w:pPr>
      <w:spacing w:before="100" w:beforeAutospacing="1" w:after="100" w:afterAutospacing="1" w:line="240" w:lineRule="auto"/>
      <w:jc w:val="left"/>
    </w:pPr>
    <w:rPr>
      <w:rFonts w:cs="Arial"/>
      <w:b/>
      <w:bCs/>
      <w:noProof w:val="0"/>
      <w:color w:val="456994"/>
      <w:sz w:val="20"/>
      <w:szCs w:val="20"/>
      <w:lang w:val="en-US" w:bidi="ar-SA"/>
    </w:rPr>
  </w:style>
  <w:style w:type="character" w:customStyle="1" w:styleId="titles21">
    <w:name w:val="titles21"/>
    <w:basedOn w:val="Standardnpsmoodstavce"/>
    <w:rsid w:val="006415EE"/>
    <w:rPr>
      <w:rFonts w:ascii="Verdana" w:hAnsi="Verdana" w:hint="default"/>
      <w:b/>
      <w:bCs/>
      <w:color w:val="073770"/>
      <w:sz w:val="15"/>
      <w:szCs w:val="15"/>
    </w:rPr>
  </w:style>
  <w:style w:type="character" w:customStyle="1" w:styleId="style341">
    <w:name w:val="style341"/>
    <w:basedOn w:val="Standardnpsmoodstavce"/>
    <w:rsid w:val="006415EE"/>
    <w:rPr>
      <w:color w:val="006600"/>
    </w:rPr>
  </w:style>
  <w:style w:type="character" w:customStyle="1" w:styleId="style251">
    <w:name w:val="style251"/>
    <w:basedOn w:val="Standardnpsmoodstavce"/>
    <w:rsid w:val="006415EE"/>
    <w:rPr>
      <w:b/>
      <w:bCs/>
      <w:color w:val="993300"/>
      <w:sz w:val="15"/>
      <w:szCs w:val="15"/>
    </w:rPr>
  </w:style>
  <w:style w:type="character" w:customStyle="1" w:styleId="style231">
    <w:name w:val="style231"/>
    <w:basedOn w:val="Standardnpsmoodstavce"/>
    <w:rsid w:val="006415EE"/>
    <w:rPr>
      <w:color w:val="000000"/>
      <w:sz w:val="15"/>
      <w:szCs w:val="15"/>
    </w:rPr>
  </w:style>
  <w:style w:type="character" w:customStyle="1" w:styleId="style27">
    <w:name w:val="style27"/>
    <w:basedOn w:val="Standardnpsmoodstavce"/>
    <w:rsid w:val="006415EE"/>
  </w:style>
  <w:style w:type="table" w:customStyle="1" w:styleId="TableGrid1">
    <w:name w:val="Table Grid1"/>
    <w:basedOn w:val="Normlntabulka"/>
    <w:next w:val="Mkatabulky"/>
    <w:rsid w:val="006415EE"/>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6415EE"/>
    <w:pPr>
      <w:spacing w:line="240" w:lineRule="auto"/>
      <w:jc w:val="left"/>
    </w:pPr>
    <w:rPr>
      <w:noProof w:val="0"/>
      <w:sz w:val="20"/>
      <w:szCs w:val="20"/>
      <w:lang w:val="en-US" w:bidi="ar-SA"/>
    </w:rPr>
  </w:style>
  <w:style w:type="numbering" w:customStyle="1" w:styleId="NoList2">
    <w:name w:val="No List2"/>
    <w:next w:val="Bezseznamu"/>
    <w:uiPriority w:val="99"/>
    <w:semiHidden/>
    <w:unhideWhenUsed/>
    <w:rsid w:val="006415EE"/>
  </w:style>
  <w:style w:type="character" w:styleId="slostrnky">
    <w:name w:val="page number"/>
    <w:basedOn w:val="Standardnpsmoodstavce"/>
    <w:semiHidden/>
    <w:rsid w:val="006415EE"/>
  </w:style>
  <w:style w:type="paragraph" w:customStyle="1" w:styleId="nadp">
    <w:name w:val="nadp"/>
    <w:basedOn w:val="Zkladntext"/>
    <w:rsid w:val="006415EE"/>
  </w:style>
  <w:style w:type="paragraph" w:customStyle="1" w:styleId="text">
    <w:name w:val="text"/>
    <w:basedOn w:val="Normln"/>
    <w:rsid w:val="006415EE"/>
    <w:pPr>
      <w:spacing w:before="100" w:beforeAutospacing="1" w:after="100" w:afterAutospacing="1" w:line="240" w:lineRule="auto"/>
    </w:pPr>
    <w:rPr>
      <w:rFonts w:ascii="Verdana" w:eastAsia="Arial Unicode MS" w:hAnsi="Verdana" w:cs="Arial Unicode MS"/>
      <w:noProof w:val="0"/>
      <w:color w:val="000000"/>
      <w:szCs w:val="22"/>
      <w:lang w:eastAsia="cs-CZ" w:bidi="ar-SA"/>
    </w:rPr>
  </w:style>
  <w:style w:type="paragraph" w:customStyle="1" w:styleId="textleft">
    <w:name w:val="text_left"/>
    <w:basedOn w:val="Normln"/>
    <w:rsid w:val="006415EE"/>
    <w:pPr>
      <w:spacing w:before="100" w:beforeAutospacing="1" w:after="100" w:afterAutospacing="1" w:line="240" w:lineRule="auto"/>
      <w:textAlignment w:val="top"/>
    </w:pPr>
    <w:rPr>
      <w:rFonts w:ascii="Verdana" w:eastAsia="Arial Unicode MS" w:hAnsi="Verdana" w:cs="Arial Unicode MS"/>
      <w:noProof w:val="0"/>
      <w:color w:val="000000"/>
      <w:sz w:val="20"/>
      <w:szCs w:val="20"/>
      <w:lang w:eastAsia="cs-CZ" w:bidi="ar-SA"/>
    </w:rPr>
  </w:style>
  <w:style w:type="paragraph" w:styleId="Zkladntext2">
    <w:name w:val="Body Text 2"/>
    <w:basedOn w:val="Normln"/>
    <w:link w:val="Zkladntext2Char"/>
    <w:uiPriority w:val="99"/>
    <w:rsid w:val="006415EE"/>
    <w:pPr>
      <w:spacing w:before="120" w:after="120" w:line="240" w:lineRule="auto"/>
    </w:pPr>
    <w:rPr>
      <w:rFonts w:cs="Arial"/>
      <w:noProof w:val="0"/>
      <w:sz w:val="20"/>
      <w:lang w:val="en-US" w:eastAsia="cs-CZ" w:bidi="ar-SA"/>
    </w:rPr>
  </w:style>
  <w:style w:type="character" w:customStyle="1" w:styleId="Zkladntext2Char">
    <w:name w:val="Základní text 2 Char"/>
    <w:basedOn w:val="Standardnpsmoodstavce"/>
    <w:link w:val="Zkladntext2"/>
    <w:uiPriority w:val="99"/>
    <w:rsid w:val="006415EE"/>
    <w:rPr>
      <w:rFonts w:ascii="Arial" w:hAnsi="Arial" w:cs="Arial"/>
      <w:szCs w:val="24"/>
      <w:lang w:val="en-US"/>
    </w:rPr>
  </w:style>
  <w:style w:type="paragraph" w:customStyle="1" w:styleId="04dot">
    <w:name w:val="04 dot"/>
    <w:basedOn w:val="Normln"/>
    <w:rsid w:val="006415EE"/>
    <w:pPr>
      <w:spacing w:after="120" w:line="240" w:lineRule="auto"/>
    </w:pPr>
    <w:rPr>
      <w:noProof w:val="0"/>
      <w:sz w:val="20"/>
      <w:szCs w:val="20"/>
      <w:lang w:eastAsia="cs-CZ" w:bidi="ar-SA"/>
    </w:rPr>
  </w:style>
  <w:style w:type="paragraph" w:customStyle="1" w:styleId="Nadpis2Heading2FirmHeading2Firm1">
    <w:name w:val="Nadpis 2;Heading 2 Firm;Heading 2 Firm1"/>
    <w:basedOn w:val="Normln"/>
    <w:rsid w:val="006415EE"/>
    <w:pPr>
      <w:spacing w:after="120" w:line="240" w:lineRule="auto"/>
    </w:pPr>
    <w:rPr>
      <w:noProof w:val="0"/>
      <w:sz w:val="20"/>
      <w:szCs w:val="20"/>
      <w:lang w:eastAsia="cs-CZ" w:bidi="ar-SA"/>
    </w:rPr>
  </w:style>
  <w:style w:type="paragraph" w:customStyle="1" w:styleId="normalodsazene">
    <w:name w:val="normalodsazene"/>
    <w:basedOn w:val="Normln"/>
    <w:rsid w:val="006415EE"/>
    <w:pPr>
      <w:spacing w:before="100" w:beforeAutospacing="1" w:after="100" w:afterAutospacing="1" w:line="240" w:lineRule="auto"/>
      <w:ind w:firstLine="480"/>
    </w:pPr>
    <w:rPr>
      <w:rFonts w:ascii="MS Sans Serif" w:hAnsi="MS Sans Serif"/>
      <w:noProof w:val="0"/>
      <w:snapToGrid w:val="0"/>
      <w:color w:val="343434"/>
      <w:sz w:val="15"/>
      <w:szCs w:val="15"/>
      <w:lang w:eastAsia="cs-CZ" w:bidi="ar-SA"/>
    </w:rPr>
  </w:style>
  <w:style w:type="paragraph" w:customStyle="1" w:styleId="pskom">
    <w:name w:val="pskom"/>
    <w:basedOn w:val="Normln"/>
    <w:rsid w:val="006415EE"/>
    <w:pPr>
      <w:spacing w:before="100" w:beforeAutospacing="1" w:after="100" w:afterAutospacing="1" w:line="240" w:lineRule="auto"/>
    </w:pPr>
    <w:rPr>
      <w:rFonts w:ascii="Verdana" w:hAnsi="Verdana"/>
      <w:i/>
      <w:iCs/>
      <w:noProof w:val="0"/>
      <w:snapToGrid w:val="0"/>
      <w:color w:val="343434"/>
      <w:lang w:eastAsia="cs-CZ" w:bidi="ar-SA"/>
    </w:rPr>
  </w:style>
  <w:style w:type="paragraph" w:customStyle="1" w:styleId="Textbodu">
    <w:name w:val="Text bodu"/>
    <w:basedOn w:val="Normln"/>
    <w:rsid w:val="006415EE"/>
    <w:pPr>
      <w:numPr>
        <w:ilvl w:val="2"/>
        <w:numId w:val="39"/>
      </w:numPr>
      <w:spacing w:after="120" w:line="240" w:lineRule="auto"/>
      <w:outlineLvl w:val="8"/>
    </w:pPr>
    <w:rPr>
      <w:noProof w:val="0"/>
      <w:szCs w:val="20"/>
      <w:lang w:eastAsia="cs-CZ" w:bidi="ar-SA"/>
    </w:rPr>
  </w:style>
  <w:style w:type="paragraph" w:customStyle="1" w:styleId="Textpsmene">
    <w:name w:val="Text písmene"/>
    <w:basedOn w:val="Normln"/>
    <w:rsid w:val="006415EE"/>
    <w:pPr>
      <w:numPr>
        <w:ilvl w:val="1"/>
        <w:numId w:val="39"/>
      </w:numPr>
      <w:spacing w:after="120" w:line="240" w:lineRule="auto"/>
      <w:outlineLvl w:val="7"/>
    </w:pPr>
    <w:rPr>
      <w:noProof w:val="0"/>
      <w:szCs w:val="20"/>
      <w:lang w:eastAsia="cs-CZ" w:bidi="ar-SA"/>
    </w:rPr>
  </w:style>
  <w:style w:type="paragraph" w:customStyle="1" w:styleId="Textodstavce">
    <w:name w:val="Text odstavce"/>
    <w:basedOn w:val="Normln"/>
    <w:rsid w:val="006415EE"/>
    <w:pPr>
      <w:numPr>
        <w:numId w:val="39"/>
      </w:numPr>
      <w:tabs>
        <w:tab w:val="left" w:pos="851"/>
      </w:tabs>
      <w:spacing w:before="120" w:after="120" w:line="240" w:lineRule="auto"/>
      <w:outlineLvl w:val="6"/>
    </w:pPr>
    <w:rPr>
      <w:noProof w:val="0"/>
      <w:szCs w:val="20"/>
      <w:lang w:eastAsia="cs-CZ" w:bidi="ar-SA"/>
    </w:rPr>
  </w:style>
  <w:style w:type="paragraph" w:customStyle="1" w:styleId="Nadpis-11">
    <w:name w:val="Nadpis-1.1"/>
    <w:basedOn w:val="Normln"/>
    <w:rsid w:val="006415EE"/>
    <w:pPr>
      <w:keepNext/>
      <w:numPr>
        <w:ilvl w:val="1"/>
        <w:numId w:val="40"/>
      </w:numPr>
      <w:spacing w:before="360" w:after="120" w:line="240" w:lineRule="auto"/>
    </w:pPr>
    <w:rPr>
      <w:b/>
      <w:noProof w:val="0"/>
      <w:lang w:eastAsia="cs-CZ" w:bidi="ar-SA"/>
    </w:rPr>
  </w:style>
  <w:style w:type="paragraph" w:customStyle="1" w:styleId="StylTunZarovnatdoblokuPed6b">
    <w:name w:val="Styl Tučné Zarovnat do bloku Před:  6 b."/>
    <w:basedOn w:val="Normln"/>
    <w:rsid w:val="006415EE"/>
    <w:pPr>
      <w:spacing w:before="120" w:after="120" w:line="240" w:lineRule="auto"/>
    </w:pPr>
    <w:rPr>
      <w:b/>
      <w:bCs/>
      <w:noProof w:val="0"/>
      <w:szCs w:val="20"/>
      <w:u w:val="single"/>
      <w:lang w:eastAsia="cs-CZ" w:bidi="ar-SA"/>
    </w:rPr>
  </w:style>
  <w:style w:type="paragraph" w:customStyle="1" w:styleId="StylTunKurzvaZarovnatdoblokuPed6b">
    <w:name w:val="Styl Tučné Kurzíva Zarovnat do bloku Před:  6 b."/>
    <w:basedOn w:val="Normln"/>
    <w:rsid w:val="006415EE"/>
    <w:pPr>
      <w:spacing w:before="120" w:after="120" w:line="240" w:lineRule="auto"/>
    </w:pPr>
    <w:rPr>
      <w:bCs/>
      <w:i/>
      <w:iCs/>
      <w:noProof w:val="0"/>
      <w:szCs w:val="20"/>
      <w:u w:val="single"/>
      <w:lang w:eastAsia="cs-CZ" w:bidi="ar-SA"/>
    </w:rPr>
  </w:style>
  <w:style w:type="paragraph" w:customStyle="1" w:styleId="poznamkadole">
    <w:name w:val="poznamkadole"/>
    <w:basedOn w:val="Normln"/>
    <w:rsid w:val="006415EE"/>
    <w:pPr>
      <w:spacing w:before="100" w:beforeAutospacing="1" w:after="100" w:afterAutospacing="1" w:line="240" w:lineRule="auto"/>
    </w:pPr>
    <w:rPr>
      <w:rFonts w:ascii="Arial Unicode MS" w:eastAsia="Arial Unicode MS" w:hAnsi="Arial Unicode MS" w:cs="Arial Unicode MS"/>
      <w:noProof w:val="0"/>
      <w:sz w:val="17"/>
      <w:szCs w:val="17"/>
      <w:lang w:eastAsia="cs-CZ" w:bidi="ar-SA"/>
    </w:rPr>
  </w:style>
  <w:style w:type="paragraph" w:styleId="Datum">
    <w:name w:val="Date"/>
    <w:basedOn w:val="Normln"/>
    <w:link w:val="DatumChar"/>
    <w:semiHidden/>
    <w:rsid w:val="006415EE"/>
    <w:pPr>
      <w:spacing w:before="100" w:beforeAutospacing="1" w:after="100" w:afterAutospacing="1" w:line="240" w:lineRule="auto"/>
    </w:pPr>
    <w:rPr>
      <w:rFonts w:ascii="Arial Unicode MS" w:eastAsia="Arial Unicode MS" w:hAnsi="Arial Unicode MS" w:cs="Arial Unicode MS"/>
      <w:noProof w:val="0"/>
      <w:lang w:eastAsia="cs-CZ" w:bidi="ar-SA"/>
    </w:rPr>
  </w:style>
  <w:style w:type="character" w:customStyle="1" w:styleId="DatumChar">
    <w:name w:val="Datum Char"/>
    <w:basedOn w:val="Standardnpsmoodstavce"/>
    <w:link w:val="Datum"/>
    <w:semiHidden/>
    <w:rsid w:val="006415EE"/>
    <w:rPr>
      <w:rFonts w:ascii="Arial Unicode MS" w:eastAsia="Arial Unicode MS" w:hAnsi="Arial Unicode MS" w:cs="Arial Unicode MS"/>
      <w:sz w:val="24"/>
      <w:szCs w:val="24"/>
    </w:rPr>
  </w:style>
  <w:style w:type="paragraph" w:customStyle="1" w:styleId="perex">
    <w:name w:val="perex"/>
    <w:basedOn w:val="Normln"/>
    <w:rsid w:val="006415EE"/>
    <w:pPr>
      <w:spacing w:before="100" w:beforeAutospacing="1" w:after="100" w:afterAutospacing="1" w:line="240" w:lineRule="auto"/>
    </w:pPr>
    <w:rPr>
      <w:rFonts w:ascii="Arial Unicode MS" w:eastAsia="Arial Unicode MS" w:hAnsi="Arial Unicode MS" w:cs="Arial Unicode MS"/>
      <w:noProof w:val="0"/>
      <w:lang w:eastAsia="cs-CZ" w:bidi="ar-SA"/>
    </w:rPr>
  </w:style>
  <w:style w:type="paragraph" w:customStyle="1" w:styleId="tdhlavickal">
    <w:name w:val="tdhlavickal"/>
    <w:basedOn w:val="Normln"/>
    <w:rsid w:val="006415EE"/>
    <w:pPr>
      <w:spacing w:before="100" w:beforeAutospacing="1" w:after="100" w:afterAutospacing="1" w:line="240" w:lineRule="auto"/>
    </w:pPr>
    <w:rPr>
      <w:rFonts w:ascii="Arial Unicode MS" w:eastAsia="Arial Unicode MS" w:hAnsi="Arial Unicode MS" w:cs="Arial Unicode MS"/>
      <w:b/>
      <w:bCs/>
      <w:noProof w:val="0"/>
      <w:sz w:val="18"/>
      <w:szCs w:val="18"/>
      <w:lang w:eastAsia="cs-CZ" w:bidi="ar-SA"/>
    </w:rPr>
  </w:style>
  <w:style w:type="paragraph" w:customStyle="1" w:styleId="tdhlavickat">
    <w:name w:val="tdhlavickat"/>
    <w:basedOn w:val="Normln"/>
    <w:rsid w:val="006415EE"/>
    <w:pPr>
      <w:shd w:val="clear" w:color="auto" w:fill="999999"/>
      <w:spacing w:before="100" w:beforeAutospacing="1" w:after="100" w:afterAutospacing="1" w:line="240" w:lineRule="auto"/>
      <w:jc w:val="center"/>
    </w:pPr>
    <w:rPr>
      <w:rFonts w:ascii="Arial Unicode MS" w:eastAsia="Arial Unicode MS" w:hAnsi="Arial Unicode MS" w:cs="Arial Unicode MS"/>
      <w:b/>
      <w:bCs/>
      <w:noProof w:val="0"/>
      <w:sz w:val="18"/>
      <w:szCs w:val="18"/>
      <w:lang w:eastAsia="cs-CZ" w:bidi="ar-SA"/>
    </w:rPr>
  </w:style>
  <w:style w:type="paragraph" w:customStyle="1" w:styleId="textnorm">
    <w:name w:val="textnorm"/>
    <w:basedOn w:val="Normln"/>
    <w:rsid w:val="006415EE"/>
    <w:pPr>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radektmava">
    <w:name w:val="radektmava"/>
    <w:basedOn w:val="Normln"/>
    <w:rsid w:val="006415EE"/>
    <w:pPr>
      <w:shd w:val="clear" w:color="auto" w:fill="CCCCCC"/>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tdzluta">
    <w:name w:val="tdzluta"/>
    <w:basedOn w:val="Normln"/>
    <w:rsid w:val="006415EE"/>
    <w:pPr>
      <w:shd w:val="clear" w:color="auto" w:fill="FFFF00"/>
      <w:spacing w:before="100" w:beforeAutospacing="1" w:after="100" w:afterAutospacing="1" w:line="240" w:lineRule="auto"/>
    </w:pPr>
    <w:rPr>
      <w:rFonts w:ascii="Arial Unicode MS" w:eastAsia="Arial Unicode MS" w:hAnsi="Arial Unicode MS" w:cs="Arial Unicode MS"/>
      <w:noProof w:val="0"/>
      <w:sz w:val="18"/>
      <w:szCs w:val="18"/>
      <w:lang w:eastAsia="cs-CZ" w:bidi="ar-SA"/>
    </w:rPr>
  </w:style>
  <w:style w:type="paragraph" w:customStyle="1" w:styleId="textcervena">
    <w:name w:val="textcervena"/>
    <w:basedOn w:val="Normln"/>
    <w:rsid w:val="006415EE"/>
    <w:pPr>
      <w:spacing w:before="100" w:beforeAutospacing="1" w:after="100" w:afterAutospacing="1" w:line="240" w:lineRule="auto"/>
    </w:pPr>
    <w:rPr>
      <w:rFonts w:ascii="Arial Unicode MS" w:eastAsia="Arial Unicode MS" w:hAnsi="Arial Unicode MS" w:cs="Arial Unicode MS"/>
      <w:noProof w:val="0"/>
      <w:color w:val="FF0000"/>
      <w:sz w:val="18"/>
      <w:szCs w:val="18"/>
      <w:lang w:eastAsia="cs-CZ" w:bidi="ar-SA"/>
    </w:rPr>
  </w:style>
  <w:style w:type="paragraph" w:customStyle="1" w:styleId="poznamkanahore">
    <w:name w:val="poznamkanahore"/>
    <w:basedOn w:val="Normln"/>
    <w:rsid w:val="006415EE"/>
    <w:pPr>
      <w:spacing w:before="100" w:beforeAutospacing="1" w:after="100" w:afterAutospacing="1" w:line="240" w:lineRule="auto"/>
    </w:pPr>
    <w:rPr>
      <w:rFonts w:ascii="Arial Unicode MS" w:eastAsia="Arial Unicode MS" w:hAnsi="Arial Unicode MS" w:cs="Arial Unicode MS"/>
      <w:i/>
      <w:iCs/>
      <w:noProof w:val="0"/>
      <w:sz w:val="18"/>
      <w:szCs w:val="18"/>
      <w:lang w:eastAsia="cs-CZ" w:bidi="ar-SA"/>
    </w:rPr>
  </w:style>
  <w:style w:type="paragraph" w:customStyle="1" w:styleId="index">
    <w:name w:val="index"/>
    <w:basedOn w:val="Normln"/>
    <w:rsid w:val="006415EE"/>
    <w:pPr>
      <w:spacing w:before="100" w:beforeAutospacing="1" w:after="100" w:afterAutospacing="1" w:line="240" w:lineRule="auto"/>
    </w:pPr>
    <w:rPr>
      <w:rFonts w:ascii="Arial Unicode MS" w:eastAsia="Arial Unicode MS" w:hAnsi="Arial Unicode MS" w:cs="Arial Unicode MS"/>
      <w:noProof w:val="0"/>
      <w:sz w:val="21"/>
      <w:szCs w:val="21"/>
      <w:lang w:eastAsia="cs-CZ" w:bidi="ar-SA"/>
    </w:rPr>
  </w:style>
  <w:style w:type="paragraph" w:customStyle="1" w:styleId="navigace">
    <w:name w:val="navigace"/>
    <w:basedOn w:val="Normln"/>
    <w:rsid w:val="006415EE"/>
    <w:pPr>
      <w:spacing w:before="100" w:beforeAutospacing="1" w:after="100" w:afterAutospacing="1" w:line="240" w:lineRule="auto"/>
      <w:jc w:val="right"/>
    </w:pPr>
    <w:rPr>
      <w:rFonts w:ascii="Arial Unicode MS" w:eastAsia="Arial Unicode MS" w:hAnsi="Arial Unicode MS" w:cs="Arial Unicode MS"/>
      <w:b/>
      <w:bCs/>
      <w:noProof w:val="0"/>
      <w:sz w:val="17"/>
      <w:szCs w:val="17"/>
      <w:lang w:eastAsia="cs-CZ" w:bidi="ar-SA"/>
    </w:rPr>
  </w:style>
  <w:style w:type="paragraph" w:customStyle="1" w:styleId="textcerny">
    <w:name w:val="text_cerny"/>
    <w:basedOn w:val="Normln"/>
    <w:rsid w:val="006415EE"/>
    <w:pPr>
      <w:spacing w:before="100" w:beforeAutospacing="1" w:after="100" w:afterAutospacing="1" w:line="240" w:lineRule="auto"/>
    </w:pPr>
    <w:rPr>
      <w:rFonts w:ascii="Verdana" w:eastAsia="Arial Unicode MS" w:hAnsi="Verdana" w:cs="Arial Unicode MS"/>
      <w:noProof w:val="0"/>
      <w:color w:val="000000"/>
      <w:sz w:val="17"/>
      <w:szCs w:val="17"/>
      <w:lang w:eastAsia="cs-CZ" w:bidi="ar-SA"/>
    </w:rPr>
  </w:style>
  <w:style w:type="character" w:customStyle="1" w:styleId="a">
    <w:name w:val="a"/>
    <w:basedOn w:val="Standardnpsmoodstavce"/>
    <w:rsid w:val="006415EE"/>
  </w:style>
  <w:style w:type="character" w:customStyle="1" w:styleId="bbtext">
    <w:name w:val="bbtext"/>
    <w:basedOn w:val="Standardnpsmoodstavce"/>
    <w:rsid w:val="006415EE"/>
  </w:style>
  <w:style w:type="paragraph" w:customStyle="1" w:styleId="Normlntun">
    <w:name w:val="Normální tučný"/>
    <w:basedOn w:val="Normln"/>
    <w:qFormat/>
    <w:rsid w:val="00EB3E11"/>
    <w:pPr>
      <w:keepNext/>
      <w:spacing w:before="120" w:after="120" w:line="240" w:lineRule="auto"/>
    </w:pPr>
    <w:rPr>
      <w:b/>
      <w:bCs/>
      <w:noProof w:val="0"/>
      <w:szCs w:val="20"/>
      <w:lang w:eastAsia="cs-CZ" w:bidi="ar-SA"/>
    </w:rPr>
  </w:style>
  <w:style w:type="paragraph" w:customStyle="1" w:styleId="Normlnkurzva">
    <w:name w:val="Normální kurzíva"/>
    <w:basedOn w:val="Normln"/>
    <w:rsid w:val="006415EE"/>
    <w:pPr>
      <w:spacing w:before="120" w:after="120" w:line="240" w:lineRule="auto"/>
    </w:pPr>
    <w:rPr>
      <w:i/>
      <w:iCs/>
      <w:noProof w:val="0"/>
      <w:sz w:val="20"/>
      <w:szCs w:val="20"/>
      <w:lang w:eastAsia="cs-CZ" w:bidi="ar-SA"/>
    </w:rPr>
  </w:style>
  <w:style w:type="paragraph" w:customStyle="1" w:styleId="Source">
    <w:name w:val="Source"/>
    <w:basedOn w:val="Normln"/>
    <w:rsid w:val="006415EE"/>
    <w:pPr>
      <w:spacing w:before="120" w:after="120" w:line="240" w:lineRule="auto"/>
    </w:pPr>
    <w:rPr>
      <w:noProof w:val="0"/>
      <w:sz w:val="16"/>
      <w:szCs w:val="20"/>
      <w:lang w:eastAsia="cs-CZ" w:bidi="ar-SA"/>
    </w:rPr>
  </w:style>
  <w:style w:type="paragraph" w:styleId="Zkladntextodsazen">
    <w:name w:val="Body Text Indent"/>
    <w:basedOn w:val="Normln"/>
    <w:link w:val="ZkladntextodsazenChar"/>
    <w:semiHidden/>
    <w:rsid w:val="006415EE"/>
    <w:pPr>
      <w:spacing w:after="120" w:line="240" w:lineRule="auto"/>
      <w:ind w:left="4248" w:hanging="4245"/>
    </w:pPr>
    <w:rPr>
      <w:rFonts w:cs="Arial"/>
      <w:noProof w:val="0"/>
      <w:sz w:val="20"/>
      <w:lang w:eastAsia="cs-CZ" w:bidi="ar-SA"/>
    </w:rPr>
  </w:style>
  <w:style w:type="character" w:customStyle="1" w:styleId="ZkladntextodsazenChar">
    <w:name w:val="Základní text odsazený Char"/>
    <w:basedOn w:val="Standardnpsmoodstavce"/>
    <w:link w:val="Zkladntextodsazen"/>
    <w:semiHidden/>
    <w:rsid w:val="006415EE"/>
    <w:rPr>
      <w:rFonts w:ascii="Arial" w:hAnsi="Arial" w:cs="Arial"/>
      <w:szCs w:val="24"/>
    </w:rPr>
  </w:style>
  <w:style w:type="paragraph" w:customStyle="1" w:styleId="Normlnsmezerou">
    <w:name w:val="Normální s mezerou"/>
    <w:basedOn w:val="Normln"/>
    <w:rsid w:val="006415EE"/>
    <w:pPr>
      <w:widowControl w:val="0"/>
      <w:autoSpaceDE w:val="0"/>
      <w:autoSpaceDN w:val="0"/>
      <w:adjustRightInd w:val="0"/>
      <w:spacing w:before="60" w:after="60" w:line="240" w:lineRule="auto"/>
      <w:ind w:firstLine="709"/>
    </w:pPr>
    <w:rPr>
      <w:rFonts w:cs="Arial"/>
      <w:noProof w:val="0"/>
      <w:lang w:eastAsia="cs-CZ" w:bidi="ar-SA"/>
    </w:rPr>
  </w:style>
  <w:style w:type="paragraph" w:styleId="Zkladntextodsazen3">
    <w:name w:val="Body Text Indent 3"/>
    <w:basedOn w:val="Normln"/>
    <w:link w:val="Zkladntextodsazen3Char"/>
    <w:semiHidden/>
    <w:rsid w:val="006415EE"/>
    <w:pPr>
      <w:spacing w:after="120" w:line="240" w:lineRule="auto"/>
      <w:ind w:left="60"/>
    </w:pPr>
    <w:rPr>
      <w:noProof w:val="0"/>
      <w:szCs w:val="20"/>
      <w:lang w:val="en-US" w:eastAsia="cs-CZ" w:bidi="ar-SA"/>
    </w:rPr>
  </w:style>
  <w:style w:type="character" w:customStyle="1" w:styleId="Zkladntextodsazen3Char">
    <w:name w:val="Základní text odsazený 3 Char"/>
    <w:basedOn w:val="Standardnpsmoodstavce"/>
    <w:link w:val="Zkladntextodsazen3"/>
    <w:semiHidden/>
    <w:rsid w:val="006415EE"/>
    <w:rPr>
      <w:rFonts w:ascii="Times New Roman" w:hAnsi="Times New Roman"/>
      <w:sz w:val="22"/>
      <w:lang w:val="en-US"/>
    </w:rPr>
  </w:style>
  <w:style w:type="paragraph" w:customStyle="1" w:styleId="Nadpes">
    <w:name w:val="Nadpes"/>
    <w:basedOn w:val="Nadpis2"/>
    <w:rsid w:val="006415EE"/>
    <w:pPr>
      <w:widowControl w:val="0"/>
      <w:numPr>
        <w:numId w:val="41"/>
      </w:numPr>
      <w:tabs>
        <w:tab w:val="center" w:pos="1134"/>
      </w:tabs>
      <w:autoSpaceDE w:val="0"/>
      <w:autoSpaceDN w:val="0"/>
      <w:adjustRightInd w:val="0"/>
      <w:spacing w:before="360" w:after="120" w:line="240" w:lineRule="auto"/>
    </w:pPr>
    <w:rPr>
      <w:bCs/>
      <w:iCs w:val="0"/>
      <w:noProof w:val="0"/>
      <w:color w:val="808000"/>
      <w:kern w:val="0"/>
      <w:sz w:val="28"/>
      <w:szCs w:val="24"/>
      <w:lang w:val="en-US" w:eastAsia="cs-CZ" w:bidi="ar-SA"/>
    </w:rPr>
  </w:style>
  <w:style w:type="paragraph" w:customStyle="1" w:styleId="Nadpepes">
    <w:name w:val="Nadpepes"/>
    <w:basedOn w:val="Nadpis2"/>
    <w:rsid w:val="006415EE"/>
    <w:pPr>
      <w:widowControl w:val="0"/>
      <w:tabs>
        <w:tab w:val="num" w:pos="360"/>
        <w:tab w:val="center" w:pos="1134"/>
      </w:tabs>
      <w:autoSpaceDE w:val="0"/>
      <w:autoSpaceDN w:val="0"/>
      <w:adjustRightInd w:val="0"/>
      <w:spacing w:before="360" w:after="120" w:line="240" w:lineRule="auto"/>
    </w:pPr>
    <w:rPr>
      <w:bCs/>
      <w:i/>
      <w:noProof w:val="0"/>
      <w:color w:val="808000"/>
      <w:kern w:val="0"/>
      <w:sz w:val="26"/>
      <w:szCs w:val="24"/>
      <w:lang w:val="en-US" w:eastAsia="cs-CZ" w:bidi="ar-SA"/>
    </w:rPr>
  </w:style>
  <w:style w:type="paragraph" w:customStyle="1" w:styleId="Nadpepepes">
    <w:name w:val="Nadpepepes"/>
    <w:basedOn w:val="Nadpis4"/>
    <w:rsid w:val="006415EE"/>
    <w:pPr>
      <w:numPr>
        <w:ilvl w:val="2"/>
        <w:numId w:val="41"/>
      </w:numPr>
      <w:tabs>
        <w:tab w:val="center" w:pos="4536"/>
        <w:tab w:val="left" w:pos="8306"/>
        <w:tab w:val="right" w:pos="10206"/>
      </w:tabs>
      <w:spacing w:after="0" w:line="240" w:lineRule="auto"/>
    </w:pPr>
    <w:rPr>
      <w:b/>
      <w:noProof w:val="0"/>
      <w:color w:val="808000"/>
      <w:sz w:val="22"/>
      <w:szCs w:val="20"/>
      <w:lang w:val="en-US" w:eastAsia="cs-CZ" w:bidi="ar-SA"/>
    </w:rPr>
  </w:style>
  <w:style w:type="paragraph" w:customStyle="1" w:styleId="Pedmtkomente1">
    <w:name w:val="Předmět komentáře1"/>
    <w:basedOn w:val="Textkomente"/>
    <w:next w:val="Textkomente"/>
    <w:semiHidden/>
    <w:rsid w:val="006415EE"/>
    <w:pPr>
      <w:spacing w:line="240" w:lineRule="auto"/>
      <w:jc w:val="left"/>
    </w:pPr>
    <w:rPr>
      <w:b/>
      <w:bCs/>
      <w:noProof w:val="0"/>
      <w:lang w:val="en-US" w:bidi="ar-SA"/>
    </w:rPr>
  </w:style>
  <w:style w:type="paragraph" w:customStyle="1" w:styleId="Textbubliny1">
    <w:name w:val="Text bubliny1"/>
    <w:basedOn w:val="Normln"/>
    <w:semiHidden/>
    <w:rsid w:val="006415EE"/>
    <w:pPr>
      <w:spacing w:line="240" w:lineRule="auto"/>
      <w:jc w:val="left"/>
    </w:pPr>
    <w:rPr>
      <w:rFonts w:ascii="Tahoma" w:hAnsi="Tahoma" w:cs="Tahoma"/>
      <w:noProof w:val="0"/>
      <w:sz w:val="16"/>
      <w:szCs w:val="16"/>
      <w:lang w:val="en-US" w:bidi="ar-SA"/>
    </w:rPr>
  </w:style>
  <w:style w:type="paragraph" w:styleId="Obsah4">
    <w:name w:val="toc 4"/>
    <w:basedOn w:val="Normln"/>
    <w:next w:val="Normln"/>
    <w:autoRedefine/>
    <w:uiPriority w:val="39"/>
    <w:rsid w:val="006415EE"/>
    <w:pPr>
      <w:ind w:left="720"/>
      <w:jc w:val="left"/>
    </w:pPr>
    <w:rPr>
      <w:rFonts w:asciiTheme="minorHAnsi" w:hAnsiTheme="minorHAnsi"/>
      <w:sz w:val="18"/>
      <w:szCs w:val="18"/>
    </w:rPr>
  </w:style>
  <w:style w:type="paragraph" w:styleId="Obsah5">
    <w:name w:val="toc 5"/>
    <w:basedOn w:val="Normln"/>
    <w:next w:val="Normln"/>
    <w:autoRedefine/>
    <w:uiPriority w:val="39"/>
    <w:rsid w:val="006415EE"/>
    <w:pPr>
      <w:ind w:left="960"/>
      <w:jc w:val="left"/>
    </w:pPr>
    <w:rPr>
      <w:rFonts w:asciiTheme="minorHAnsi" w:hAnsiTheme="minorHAnsi"/>
      <w:sz w:val="18"/>
      <w:szCs w:val="18"/>
    </w:rPr>
  </w:style>
  <w:style w:type="paragraph" w:styleId="Obsah6">
    <w:name w:val="toc 6"/>
    <w:basedOn w:val="Normln"/>
    <w:next w:val="Normln"/>
    <w:autoRedefine/>
    <w:uiPriority w:val="39"/>
    <w:rsid w:val="006415EE"/>
    <w:pPr>
      <w:ind w:left="1200"/>
      <w:jc w:val="left"/>
    </w:pPr>
    <w:rPr>
      <w:rFonts w:asciiTheme="minorHAnsi" w:hAnsiTheme="minorHAnsi"/>
      <w:sz w:val="18"/>
      <w:szCs w:val="18"/>
    </w:rPr>
  </w:style>
  <w:style w:type="paragraph" w:styleId="Obsah7">
    <w:name w:val="toc 7"/>
    <w:basedOn w:val="Normln"/>
    <w:next w:val="Normln"/>
    <w:autoRedefine/>
    <w:uiPriority w:val="39"/>
    <w:rsid w:val="006415EE"/>
    <w:pPr>
      <w:ind w:left="1440"/>
      <w:jc w:val="left"/>
    </w:pPr>
    <w:rPr>
      <w:rFonts w:asciiTheme="minorHAnsi" w:hAnsiTheme="minorHAnsi"/>
      <w:sz w:val="18"/>
      <w:szCs w:val="18"/>
    </w:rPr>
  </w:style>
  <w:style w:type="paragraph" w:styleId="Obsah8">
    <w:name w:val="toc 8"/>
    <w:basedOn w:val="Normln"/>
    <w:next w:val="Normln"/>
    <w:autoRedefine/>
    <w:uiPriority w:val="39"/>
    <w:rsid w:val="006415EE"/>
    <w:pPr>
      <w:ind w:left="1680"/>
      <w:jc w:val="left"/>
    </w:pPr>
    <w:rPr>
      <w:rFonts w:asciiTheme="minorHAnsi" w:hAnsiTheme="minorHAnsi"/>
      <w:sz w:val="18"/>
      <w:szCs w:val="18"/>
    </w:rPr>
  </w:style>
  <w:style w:type="paragraph" w:styleId="Obsah9">
    <w:name w:val="toc 9"/>
    <w:basedOn w:val="Normln"/>
    <w:next w:val="Normln"/>
    <w:autoRedefine/>
    <w:uiPriority w:val="39"/>
    <w:rsid w:val="006415EE"/>
    <w:pPr>
      <w:ind w:left="1920"/>
      <w:jc w:val="left"/>
    </w:pPr>
    <w:rPr>
      <w:rFonts w:asciiTheme="minorHAnsi" w:hAnsiTheme="minorHAnsi"/>
      <w:sz w:val="18"/>
      <w:szCs w:val="18"/>
    </w:rPr>
  </w:style>
  <w:style w:type="paragraph" w:customStyle="1" w:styleId="Nadpis2Heading2FirmHeading2Firm13">
    <w:name w:val="Nadpis 2;Heading 2 Firm;Heading 2 Firm13"/>
    <w:basedOn w:val="Normln"/>
    <w:rsid w:val="006415EE"/>
    <w:pPr>
      <w:spacing w:after="120" w:line="240" w:lineRule="auto"/>
    </w:pPr>
    <w:rPr>
      <w:noProof w:val="0"/>
      <w:sz w:val="20"/>
      <w:szCs w:val="20"/>
      <w:lang w:eastAsia="cs-CZ" w:bidi="ar-SA"/>
    </w:rPr>
  </w:style>
  <w:style w:type="paragraph" w:customStyle="1" w:styleId="Nadpis2Heading2FirmHeading2Firm12">
    <w:name w:val="Nadpis 2;Heading 2 Firm;Heading 2 Firm12"/>
    <w:basedOn w:val="Normln"/>
    <w:rsid w:val="006415EE"/>
    <w:pPr>
      <w:spacing w:after="120" w:line="240" w:lineRule="auto"/>
    </w:pPr>
    <w:rPr>
      <w:noProof w:val="0"/>
      <w:sz w:val="20"/>
      <w:szCs w:val="20"/>
      <w:lang w:eastAsia="cs-CZ" w:bidi="ar-SA"/>
    </w:rPr>
  </w:style>
  <w:style w:type="paragraph" w:customStyle="1" w:styleId="Nadpis2Heading2FirmHeading2Firm11">
    <w:name w:val="Nadpis 2;Heading 2 Firm;Heading 2 Firm11"/>
    <w:basedOn w:val="Normln"/>
    <w:rsid w:val="006415EE"/>
    <w:pPr>
      <w:spacing w:after="120" w:line="240" w:lineRule="auto"/>
    </w:pPr>
    <w:rPr>
      <w:noProof w:val="0"/>
      <w:sz w:val="20"/>
      <w:szCs w:val="20"/>
      <w:lang w:eastAsia="cs-CZ" w:bidi="ar-SA"/>
    </w:rPr>
  </w:style>
  <w:style w:type="character" w:customStyle="1" w:styleId="SourceChar">
    <w:name w:val="Source Char"/>
    <w:basedOn w:val="Standardnpsmoodstavce"/>
    <w:rsid w:val="006415EE"/>
    <w:rPr>
      <w:sz w:val="16"/>
      <w:lang w:val="en-GB" w:eastAsia="cs-CZ" w:bidi="ar-SA"/>
    </w:rPr>
  </w:style>
  <w:style w:type="paragraph" w:customStyle="1" w:styleId="font5">
    <w:name w:val="font5"/>
    <w:basedOn w:val="Normln"/>
    <w:rsid w:val="006415EE"/>
    <w:pPr>
      <w:spacing w:before="100" w:beforeAutospacing="1" w:after="100" w:afterAutospacing="1" w:line="240" w:lineRule="auto"/>
      <w:jc w:val="left"/>
    </w:pPr>
    <w:rPr>
      <w:rFonts w:ascii="Tahoma" w:eastAsia="Arial Unicode MS" w:hAnsi="Tahoma" w:cs="Tahoma"/>
      <w:noProof w:val="0"/>
      <w:color w:val="000000"/>
      <w:sz w:val="16"/>
      <w:szCs w:val="16"/>
      <w:lang w:eastAsia="cs-CZ" w:bidi="ar-SA"/>
    </w:rPr>
  </w:style>
  <w:style w:type="paragraph" w:customStyle="1" w:styleId="font6">
    <w:name w:val="font6"/>
    <w:basedOn w:val="Normln"/>
    <w:rsid w:val="006415EE"/>
    <w:pPr>
      <w:spacing w:before="100" w:beforeAutospacing="1" w:after="100" w:afterAutospacing="1" w:line="240" w:lineRule="auto"/>
      <w:jc w:val="left"/>
    </w:pPr>
    <w:rPr>
      <w:rFonts w:ascii="Tahoma" w:eastAsia="Arial Unicode MS" w:hAnsi="Tahoma" w:cs="Tahoma"/>
      <w:b/>
      <w:bCs/>
      <w:noProof w:val="0"/>
      <w:color w:val="000000"/>
      <w:sz w:val="16"/>
      <w:szCs w:val="16"/>
      <w:lang w:eastAsia="cs-CZ" w:bidi="ar-SA"/>
    </w:rPr>
  </w:style>
  <w:style w:type="paragraph" w:customStyle="1" w:styleId="xl24">
    <w:name w:val="xl24"/>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25">
    <w:name w:val="xl25"/>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26">
    <w:name w:val="xl26"/>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27">
    <w:name w:val="xl27"/>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28">
    <w:name w:val="xl28"/>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29">
    <w:name w:val="xl29"/>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0">
    <w:name w:val="xl30"/>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1">
    <w:name w:val="xl31"/>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2">
    <w:name w:val="xl32"/>
    <w:basedOn w:val="Normln"/>
    <w:rsid w:val="006415EE"/>
    <w:pPr>
      <w:pBdr>
        <w:top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3">
    <w:name w:val="xl33"/>
    <w:basedOn w:val="Normln"/>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5">
    <w:name w:val="xl35"/>
    <w:basedOn w:val="Normln"/>
    <w:rsid w:val="006415EE"/>
    <w:pP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36">
    <w:name w:val="xl36"/>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7">
    <w:name w:val="xl37"/>
    <w:basedOn w:val="Normln"/>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38">
    <w:name w:val="xl38"/>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39">
    <w:name w:val="xl39"/>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0">
    <w:name w:val="xl40"/>
    <w:basedOn w:val="Normln"/>
    <w:rsid w:val="006415EE"/>
    <w:pPr>
      <w:pBdr>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41">
    <w:name w:val="xl41"/>
    <w:basedOn w:val="Normln"/>
    <w:rsid w:val="006415EE"/>
    <w:pP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42">
    <w:name w:val="xl42"/>
    <w:basedOn w:val="Normln"/>
    <w:rsid w:val="006415EE"/>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43">
    <w:name w:val="xl43"/>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4">
    <w:name w:val="xl44"/>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5">
    <w:name w:val="xl45"/>
    <w:basedOn w:val="Normln"/>
    <w:rsid w:val="006415E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6">
    <w:name w:val="xl46"/>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7">
    <w:name w:val="xl47"/>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48">
    <w:name w:val="xl48"/>
    <w:basedOn w:val="Normln"/>
    <w:rsid w:val="006415E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49">
    <w:name w:val="xl49"/>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0">
    <w:name w:val="xl50"/>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51">
    <w:name w:val="xl51"/>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52">
    <w:name w:val="xl52"/>
    <w:basedOn w:val="Normln"/>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3">
    <w:name w:val="xl53"/>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4">
    <w:name w:val="xl54"/>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5">
    <w:name w:val="xl55"/>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56">
    <w:name w:val="xl56"/>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57">
    <w:name w:val="xl57"/>
    <w:basedOn w:val="Normln"/>
    <w:rsid w:val="006415EE"/>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58">
    <w:name w:val="xl58"/>
    <w:basedOn w:val="Normln"/>
    <w:rsid w:val="006415E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59">
    <w:name w:val="xl59"/>
    <w:basedOn w:val="Normln"/>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60">
    <w:name w:val="xl60"/>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61">
    <w:name w:val="xl61"/>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2">
    <w:name w:val="xl62"/>
    <w:basedOn w:val="Normln"/>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3">
    <w:name w:val="xl63"/>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4">
    <w:name w:val="xl64"/>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5">
    <w:name w:val="xl65"/>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6">
    <w:name w:val="xl66"/>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7">
    <w:name w:val="xl67"/>
    <w:basedOn w:val="Normln"/>
    <w:rsid w:val="006415E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68">
    <w:name w:val="xl68"/>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69">
    <w:name w:val="xl69"/>
    <w:basedOn w:val="Normln"/>
    <w:rsid w:val="006415E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0">
    <w:name w:val="xl70"/>
    <w:basedOn w:val="Normln"/>
    <w:rsid w:val="006415EE"/>
    <w:pPr>
      <w:pBdr>
        <w:top w:val="single" w:sz="4" w:space="0" w:color="auto"/>
        <w:lef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1">
    <w:name w:val="xl71"/>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72">
    <w:name w:val="xl72"/>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73">
    <w:name w:val="xl73"/>
    <w:basedOn w:val="Normln"/>
    <w:rsid w:val="006415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4">
    <w:name w:val="xl74"/>
    <w:basedOn w:val="Normln"/>
    <w:rsid w:val="006415E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5">
    <w:name w:val="xl75"/>
    <w:basedOn w:val="Normln"/>
    <w:rsid w:val="006415EE"/>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76">
    <w:name w:val="xl76"/>
    <w:basedOn w:val="Normln"/>
    <w:rsid w:val="006415EE"/>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7">
    <w:name w:val="xl77"/>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78">
    <w:name w:val="xl78"/>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79">
    <w:name w:val="xl79"/>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80">
    <w:name w:val="xl80"/>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81">
    <w:name w:val="xl81"/>
    <w:basedOn w:val="Normln"/>
    <w:rsid w:val="006415EE"/>
    <w:pPr>
      <w:pBdr>
        <w:left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82">
    <w:name w:val="xl82"/>
    <w:basedOn w:val="Normln"/>
    <w:rsid w:val="006415EE"/>
    <w:pPr>
      <w:pBdr>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3">
    <w:name w:val="xl83"/>
    <w:basedOn w:val="Normln"/>
    <w:rsid w:val="006415EE"/>
    <w:pPr>
      <w:pBdr>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4">
    <w:name w:val="xl84"/>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5">
    <w:name w:val="xl85"/>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86">
    <w:name w:val="xl86"/>
    <w:basedOn w:val="Normln"/>
    <w:rsid w:val="006415EE"/>
    <w:pPr>
      <w:pBdr>
        <w:left w:val="single" w:sz="8" w:space="0" w:color="auto"/>
        <w:bottom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7">
    <w:name w:val="xl87"/>
    <w:basedOn w:val="Normln"/>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8">
    <w:name w:val="xl88"/>
    <w:basedOn w:val="Normln"/>
    <w:rsid w:val="006415EE"/>
    <w:pPr>
      <w:pBdr>
        <w:top w:val="single" w:sz="4"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89">
    <w:name w:val="xl89"/>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0">
    <w:name w:val="xl90"/>
    <w:basedOn w:val="Normln"/>
    <w:rsid w:val="006415EE"/>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1">
    <w:name w:val="xl91"/>
    <w:basedOn w:val="Normln"/>
    <w:rsid w:val="006415EE"/>
    <w:pPr>
      <w:pBdr>
        <w:lef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2">
    <w:name w:val="xl92"/>
    <w:basedOn w:val="Normln"/>
    <w:rsid w:val="006415EE"/>
    <w:pPr>
      <w:pBdr>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3">
    <w:name w:val="xl93"/>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94">
    <w:name w:val="xl94"/>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95">
    <w:name w:val="xl95"/>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6">
    <w:name w:val="xl96"/>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7">
    <w:name w:val="xl97"/>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98">
    <w:name w:val="xl98"/>
    <w:basedOn w:val="Normln"/>
    <w:rsid w:val="006415EE"/>
    <w:pPr>
      <w:pBdr>
        <w:top w:val="single" w:sz="8" w:space="0" w:color="auto"/>
        <w:left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99">
    <w:name w:val="xl99"/>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0">
    <w:name w:val="xl100"/>
    <w:basedOn w:val="Normln"/>
    <w:rsid w:val="006415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1">
    <w:name w:val="xl101"/>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02">
    <w:name w:val="xl102"/>
    <w:basedOn w:val="Normln"/>
    <w:rsid w:val="006415EE"/>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03">
    <w:name w:val="xl103"/>
    <w:basedOn w:val="Normln"/>
    <w:rsid w:val="006415EE"/>
    <w:pPr>
      <w:pBdr>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4">
    <w:name w:val="xl104"/>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5">
    <w:name w:val="xl105"/>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06">
    <w:name w:val="xl106"/>
    <w:basedOn w:val="Normln"/>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07">
    <w:name w:val="xl107"/>
    <w:basedOn w:val="Normln"/>
    <w:rsid w:val="006415E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8">
    <w:name w:val="xl108"/>
    <w:basedOn w:val="Normln"/>
    <w:rsid w:val="006415EE"/>
    <w:pPr>
      <w:pBdr>
        <w:top w:val="single" w:sz="8"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09">
    <w:name w:val="xl109"/>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0">
    <w:name w:val="xl110"/>
    <w:basedOn w:val="Normln"/>
    <w:rsid w:val="006415EE"/>
    <w:pPr>
      <w:pBdr>
        <w:top w:val="single" w:sz="8"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1">
    <w:name w:val="xl111"/>
    <w:basedOn w:val="Normln"/>
    <w:rsid w:val="006415E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color w:val="FF0000"/>
      <w:lang w:eastAsia="cs-CZ" w:bidi="ar-SA"/>
    </w:rPr>
  </w:style>
  <w:style w:type="paragraph" w:customStyle="1" w:styleId="xl112">
    <w:name w:val="xl112"/>
    <w:basedOn w:val="Normln"/>
    <w:rsid w:val="006415EE"/>
    <w:pPr>
      <w:pBdr>
        <w:top w:val="single" w:sz="4" w:space="0" w:color="auto"/>
        <w:bottom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3">
    <w:name w:val="xl113"/>
    <w:basedOn w:val="Normln"/>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4">
    <w:name w:val="xl114"/>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15">
    <w:name w:val="xl115"/>
    <w:basedOn w:val="Normln"/>
    <w:rsid w:val="006415EE"/>
    <w:pPr>
      <w:pBdr>
        <w:top w:val="single" w:sz="4"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16">
    <w:name w:val="xl116"/>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noProof w:val="0"/>
      <w:lang w:eastAsia="cs-CZ" w:bidi="ar-SA"/>
    </w:rPr>
  </w:style>
  <w:style w:type="paragraph" w:customStyle="1" w:styleId="xl117">
    <w:name w:val="xl117"/>
    <w:basedOn w:val="Normln"/>
    <w:rsid w:val="006415E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i/>
      <w:iCs/>
      <w:noProof w:val="0"/>
      <w:lang w:eastAsia="cs-CZ" w:bidi="ar-SA"/>
    </w:rPr>
  </w:style>
  <w:style w:type="paragraph" w:customStyle="1" w:styleId="xl118">
    <w:name w:val="xl118"/>
    <w:basedOn w:val="Normln"/>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19">
    <w:name w:val="xl119"/>
    <w:basedOn w:val="Normln"/>
    <w:rsid w:val="006415EE"/>
    <w:pPr>
      <w:pBdr>
        <w:top w:val="single" w:sz="8" w:space="0" w:color="auto"/>
        <w:left w:val="single" w:sz="4" w:space="0" w:color="auto"/>
        <w:bottom w:val="single" w:sz="8" w:space="0" w:color="auto"/>
      </w:pBdr>
      <w:spacing w:before="100" w:beforeAutospacing="1" w:after="100" w:afterAutospacing="1" w:line="240" w:lineRule="auto"/>
      <w:jc w:val="center"/>
    </w:pPr>
    <w:rPr>
      <w:rFonts w:eastAsia="Arial Unicode MS" w:cs="Arial Unicode MS"/>
      <w:b/>
      <w:bCs/>
      <w:noProof w:val="0"/>
      <w:lang w:eastAsia="cs-CZ" w:bidi="ar-SA"/>
    </w:rPr>
  </w:style>
  <w:style w:type="paragraph" w:customStyle="1" w:styleId="xl120">
    <w:name w:val="xl120"/>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21">
    <w:name w:val="xl121"/>
    <w:basedOn w:val="Normln"/>
    <w:rsid w:val="006415EE"/>
    <w:pPr>
      <w:pBdr>
        <w:top w:val="single" w:sz="8"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2">
    <w:name w:val="xl122"/>
    <w:basedOn w:val="Normln"/>
    <w:rsid w:val="006415EE"/>
    <w:pPr>
      <w:pBdr>
        <w:top w:val="single" w:sz="4" w:space="0" w:color="auto"/>
        <w:lef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23">
    <w:name w:val="xl123"/>
    <w:basedOn w:val="Normln"/>
    <w:rsid w:val="006415EE"/>
    <w:pPr>
      <w:pBdr>
        <w:top w:val="single" w:sz="4" w:space="0" w:color="auto"/>
        <w:left w:val="single" w:sz="4" w:space="0" w:color="auto"/>
        <w:bottom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4">
    <w:name w:val="xl124"/>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25">
    <w:name w:val="xl125"/>
    <w:basedOn w:val="Normln"/>
    <w:rsid w:val="006415EE"/>
    <w:pPr>
      <w:pBdr>
        <w:top w:val="single" w:sz="4" w:space="0" w:color="auto"/>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6">
    <w:name w:val="xl126"/>
    <w:basedOn w:val="Normln"/>
    <w:rsid w:val="006415EE"/>
    <w:pPr>
      <w:pBdr>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7">
    <w:name w:val="xl127"/>
    <w:basedOn w:val="Normln"/>
    <w:rsid w:val="006415EE"/>
    <w:pPr>
      <w:pBdr>
        <w:top w:val="single" w:sz="4" w:space="0" w:color="auto"/>
        <w:left w:val="single" w:sz="4" w:space="0" w:color="auto"/>
        <w:bottom w:val="single" w:sz="4" w:space="0" w:color="auto"/>
      </w:pBdr>
      <w:spacing w:before="100" w:beforeAutospacing="1" w:after="100" w:afterAutospacing="1" w:line="240" w:lineRule="auto"/>
      <w:jc w:val="left"/>
    </w:pPr>
    <w:rPr>
      <w:rFonts w:eastAsia="Arial Unicode MS" w:cs="Arial Unicode MS"/>
      <w:noProof w:val="0"/>
      <w:lang w:eastAsia="cs-CZ" w:bidi="ar-SA"/>
    </w:rPr>
  </w:style>
  <w:style w:type="paragraph" w:customStyle="1" w:styleId="xl128">
    <w:name w:val="xl128"/>
    <w:basedOn w:val="Normln"/>
    <w:rsid w:val="006415EE"/>
    <w:pPr>
      <w:pBdr>
        <w:left w:val="single" w:sz="4" w:space="0" w:color="auto"/>
        <w:bottom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29">
    <w:name w:val="xl129"/>
    <w:basedOn w:val="Normln"/>
    <w:rsid w:val="006415EE"/>
    <w:pPr>
      <w:pBdr>
        <w:lef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30">
    <w:name w:val="xl130"/>
    <w:basedOn w:val="Normln"/>
    <w:rsid w:val="006415EE"/>
    <w:pPr>
      <w:pBdr>
        <w:left w:val="single" w:sz="4"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1">
    <w:name w:val="xl131"/>
    <w:basedOn w:val="Normln"/>
    <w:rsid w:val="006415EE"/>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2">
    <w:name w:val="xl132"/>
    <w:basedOn w:val="Normln"/>
    <w:rsid w:val="006415EE"/>
    <w:pPr>
      <w:pBdr>
        <w:top w:val="single" w:sz="4" w:space="0" w:color="auto"/>
        <w:left w:val="single" w:sz="4" w:space="0" w:color="auto"/>
        <w:right w:val="single" w:sz="8" w:space="0" w:color="auto"/>
      </w:pBd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paragraph" w:customStyle="1" w:styleId="xl133">
    <w:name w:val="xl133"/>
    <w:basedOn w:val="Normln"/>
    <w:rsid w:val="006415EE"/>
    <w:pPr>
      <w:pBdr>
        <w:top w:val="single" w:sz="8"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34">
    <w:name w:val="xl134"/>
    <w:basedOn w:val="Normln"/>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35">
    <w:name w:val="xl135"/>
    <w:basedOn w:val="Normln"/>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36">
    <w:name w:val="xl136"/>
    <w:basedOn w:val="Normln"/>
    <w:rsid w:val="006415EE"/>
    <w:pPr>
      <w:pBdr>
        <w:top w:val="single" w:sz="8" w:space="0" w:color="auto"/>
        <w:left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7">
    <w:name w:val="xl137"/>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8">
    <w:name w:val="xl138"/>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39">
    <w:name w:val="xl139"/>
    <w:basedOn w:val="Normln"/>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0">
    <w:name w:val="xl140"/>
    <w:basedOn w:val="Normln"/>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i/>
      <w:iCs/>
      <w:noProof w:val="0"/>
      <w:lang w:eastAsia="cs-CZ" w:bidi="ar-SA"/>
    </w:rPr>
  </w:style>
  <w:style w:type="paragraph" w:customStyle="1" w:styleId="xl141">
    <w:name w:val="xl141"/>
    <w:basedOn w:val="Normln"/>
    <w:rsid w:val="006415EE"/>
    <w:pPr>
      <w:pBdr>
        <w:top w:val="single" w:sz="8" w:space="0" w:color="auto"/>
        <w:bottom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2">
    <w:name w:val="xl142"/>
    <w:basedOn w:val="Normln"/>
    <w:rsid w:val="006415EE"/>
    <w:pPr>
      <w:pBdr>
        <w:top w:val="single" w:sz="8" w:space="0" w:color="auto"/>
        <w:bottom w:val="single" w:sz="8" w:space="0" w:color="auto"/>
        <w:right w:val="single" w:sz="8" w:space="0" w:color="auto"/>
      </w:pBdr>
      <w:shd w:val="clear" w:color="auto" w:fill="808000"/>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3">
    <w:name w:val="xl143"/>
    <w:basedOn w:val="Normln"/>
    <w:rsid w:val="006415EE"/>
    <w:pPr>
      <w:pBdr>
        <w:top w:val="single" w:sz="8" w:space="0" w:color="auto"/>
        <w:left w:val="single" w:sz="8" w:space="0" w:color="auto"/>
        <w:bottom w:val="single" w:sz="8" w:space="0" w:color="auto"/>
      </w:pBdr>
      <w:shd w:val="clear" w:color="auto" w:fill="808000"/>
      <w:spacing w:before="100" w:beforeAutospacing="1" w:after="100" w:afterAutospacing="1" w:line="240" w:lineRule="auto"/>
      <w:jc w:val="left"/>
    </w:pPr>
    <w:rPr>
      <w:rFonts w:eastAsia="Arial Unicode MS" w:cs="Arial Unicode MS"/>
      <w:b/>
      <w:bCs/>
      <w:noProof w:val="0"/>
      <w:color w:val="FFFFFF"/>
      <w:lang w:eastAsia="cs-CZ" w:bidi="ar-SA"/>
    </w:rPr>
  </w:style>
  <w:style w:type="paragraph" w:customStyle="1" w:styleId="xl144">
    <w:name w:val="xl144"/>
    <w:basedOn w:val="Normln"/>
    <w:rsid w:val="006415EE"/>
    <w:pPr>
      <w:pBdr>
        <w:top w:val="single" w:sz="4" w:space="0" w:color="auto"/>
        <w:left w:val="single" w:sz="8"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5">
    <w:name w:val="xl145"/>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6">
    <w:name w:val="xl146"/>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7">
    <w:name w:val="xl147"/>
    <w:basedOn w:val="Normln"/>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34">
    <w:name w:val="xl34"/>
    <w:basedOn w:val="Normln"/>
    <w:rsid w:val="006415EE"/>
    <w:pPr>
      <w:pBdr>
        <w:top w:val="single" w:sz="8" w:space="0" w:color="auto"/>
      </w:pBd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xl148">
    <w:name w:val="xl148"/>
    <w:basedOn w:val="Normln"/>
    <w:rsid w:val="006415EE"/>
    <w:pPr>
      <w:pBdr>
        <w:left w:val="single" w:sz="4" w:space="0" w:color="auto"/>
        <w:bottom w:val="single" w:sz="4" w:space="0" w:color="auto"/>
        <w:right w:val="single" w:sz="4" w:space="0" w:color="auto"/>
      </w:pBdr>
      <w:spacing w:before="100" w:beforeAutospacing="1" w:after="100" w:afterAutospacing="1" w:line="240" w:lineRule="auto"/>
      <w:jc w:val="left"/>
    </w:pPr>
    <w:rPr>
      <w:rFonts w:eastAsia="Arial Unicode MS" w:cs="Arial Unicode MS"/>
      <w:b/>
      <w:bCs/>
      <w:noProof w:val="0"/>
      <w:lang w:eastAsia="cs-CZ" w:bidi="ar-SA"/>
    </w:rPr>
  </w:style>
  <w:style w:type="paragraph" w:customStyle="1" w:styleId="xl149">
    <w:name w:val="xl149"/>
    <w:basedOn w:val="Normln"/>
    <w:rsid w:val="006415EE"/>
    <w:pPr>
      <w:pBdr>
        <w:left w:val="single" w:sz="4" w:space="0" w:color="auto"/>
        <w:bottom w:val="single" w:sz="4" w:space="0" w:color="auto"/>
        <w:right w:val="single" w:sz="8" w:space="0" w:color="auto"/>
      </w:pBdr>
      <w:spacing w:before="100" w:beforeAutospacing="1" w:after="100" w:afterAutospacing="1" w:line="240" w:lineRule="auto"/>
      <w:jc w:val="left"/>
    </w:pPr>
    <w:rPr>
      <w:rFonts w:eastAsia="Arial Unicode MS" w:cs="Arial Unicode MS"/>
      <w:b/>
      <w:bCs/>
      <w:noProof w:val="0"/>
      <w:lang w:eastAsia="cs-CZ" w:bidi="ar-SA"/>
    </w:rPr>
  </w:style>
  <w:style w:type="character" w:customStyle="1" w:styleId="cun1">
    <w:name w:val="cun1"/>
    <w:basedOn w:val="Standardnpsmoodstavce"/>
    <w:rsid w:val="006415EE"/>
    <w:rPr>
      <w:sz w:val="16"/>
      <w:szCs w:val="16"/>
    </w:rPr>
  </w:style>
  <w:style w:type="character" w:customStyle="1" w:styleId="cu1">
    <w:name w:val="cu1"/>
    <w:basedOn w:val="Standardnpsmoodstavce"/>
    <w:rsid w:val="006415EE"/>
    <w:rPr>
      <w:i/>
      <w:iCs/>
      <w:sz w:val="16"/>
      <w:szCs w:val="16"/>
    </w:rPr>
  </w:style>
  <w:style w:type="paragraph" w:customStyle="1" w:styleId="source0">
    <w:name w:val="source"/>
    <w:basedOn w:val="Normln"/>
    <w:rsid w:val="006415EE"/>
    <w:pPr>
      <w:spacing w:line="240" w:lineRule="auto"/>
    </w:pPr>
    <w:rPr>
      <w:noProof w:val="0"/>
      <w:sz w:val="16"/>
      <w:lang w:val="en-US" w:eastAsia="cs-CZ" w:bidi="ar-SA"/>
    </w:rPr>
  </w:style>
  <w:style w:type="paragraph" w:customStyle="1" w:styleId="center">
    <w:name w:val="center"/>
    <w:basedOn w:val="Normln"/>
    <w:rsid w:val="006415EE"/>
    <w:pPr>
      <w:spacing w:before="100" w:beforeAutospacing="1" w:after="100" w:afterAutospacing="1" w:line="240" w:lineRule="auto"/>
      <w:jc w:val="center"/>
    </w:pPr>
    <w:rPr>
      <w:rFonts w:ascii="Arial Unicode MS" w:eastAsia="Arial Unicode MS" w:hAnsi="Arial Unicode MS" w:cs="Arial Unicode MS"/>
      <w:noProof w:val="0"/>
      <w:lang w:eastAsia="cs-CZ" w:bidi="ar-SA"/>
    </w:rPr>
  </w:style>
  <w:style w:type="character" w:customStyle="1" w:styleId="vtwelve1">
    <w:name w:val="vtwelve1"/>
    <w:basedOn w:val="Standardnpsmoodstavce"/>
    <w:rsid w:val="006415EE"/>
    <w:rPr>
      <w:rFonts w:ascii="Verdana" w:hAnsi="Verdana" w:hint="default"/>
      <w:sz w:val="18"/>
      <w:szCs w:val="18"/>
    </w:rPr>
  </w:style>
  <w:style w:type="numbering" w:customStyle="1" w:styleId="NoList3">
    <w:name w:val="No List3"/>
    <w:next w:val="Bezseznamu"/>
    <w:uiPriority w:val="99"/>
    <w:semiHidden/>
    <w:unhideWhenUsed/>
    <w:rsid w:val="006415EE"/>
  </w:style>
  <w:style w:type="character" w:customStyle="1" w:styleId="CharChar19">
    <w:name w:val="Char Char19"/>
    <w:basedOn w:val="Standardnpsmoodstavce"/>
    <w:rsid w:val="006415EE"/>
    <w:rPr>
      <w:rFonts w:ascii="Arial" w:hAnsi="Arial"/>
      <w:b/>
      <w:bCs/>
      <w:i/>
      <w:iCs/>
      <w:sz w:val="26"/>
      <w:szCs w:val="26"/>
    </w:rPr>
  </w:style>
  <w:style w:type="character" w:customStyle="1" w:styleId="CharChar18">
    <w:name w:val="Char Char18"/>
    <w:basedOn w:val="Standardnpsmoodstavce"/>
    <w:rsid w:val="006415EE"/>
    <w:rPr>
      <w:b/>
      <w:bCs/>
      <w:szCs w:val="22"/>
    </w:rPr>
  </w:style>
  <w:style w:type="character" w:customStyle="1" w:styleId="CharChar17">
    <w:name w:val="Char Char17"/>
    <w:basedOn w:val="Standardnpsmoodstavce"/>
    <w:rsid w:val="006415EE"/>
    <w:rPr>
      <w:sz w:val="24"/>
      <w:szCs w:val="24"/>
    </w:rPr>
  </w:style>
  <w:style w:type="character" w:customStyle="1" w:styleId="CharChar16">
    <w:name w:val="Char Char16"/>
    <w:basedOn w:val="Standardnpsmoodstavce"/>
    <w:rsid w:val="006415EE"/>
    <w:rPr>
      <w:i/>
      <w:iCs/>
      <w:sz w:val="24"/>
      <w:szCs w:val="24"/>
    </w:rPr>
  </w:style>
  <w:style w:type="character" w:customStyle="1" w:styleId="CharChar15">
    <w:name w:val="Char Char15"/>
    <w:basedOn w:val="Standardnpsmoodstavce"/>
    <w:rsid w:val="006415EE"/>
    <w:rPr>
      <w:rFonts w:ascii="Arial" w:hAnsi="Arial" w:cs="Arial"/>
      <w:szCs w:val="22"/>
    </w:rPr>
  </w:style>
  <w:style w:type="character" w:customStyle="1" w:styleId="CharChar14">
    <w:name w:val="Char Char14"/>
    <w:basedOn w:val="Standardnpsmoodstavce"/>
    <w:rsid w:val="006415EE"/>
    <w:rPr>
      <w:rFonts w:ascii="Arial" w:hAnsi="Arial"/>
      <w:szCs w:val="24"/>
      <w:lang w:val="cs-CZ" w:eastAsia="cs-CZ" w:bidi="ar-SA"/>
    </w:rPr>
  </w:style>
  <w:style w:type="character" w:customStyle="1" w:styleId="CharChar13">
    <w:name w:val="Char Char13"/>
    <w:basedOn w:val="Standardnpsmoodstavce"/>
    <w:semiHidden/>
    <w:rsid w:val="006415EE"/>
    <w:rPr>
      <w:rFonts w:ascii="Arial" w:hAnsi="Arial"/>
      <w:sz w:val="16"/>
      <w:lang w:val="cs-CZ" w:eastAsia="cs-CZ" w:bidi="ar-SA"/>
    </w:rPr>
  </w:style>
  <w:style w:type="paragraph" w:customStyle="1" w:styleId="footnote">
    <w:name w:val="footnote"/>
    <w:basedOn w:val="Textpoznpodarou"/>
    <w:rsid w:val="006415EE"/>
    <w:pPr>
      <w:spacing w:after="120" w:line="288" w:lineRule="auto"/>
    </w:pPr>
    <w:rPr>
      <w:rFonts w:ascii="Arial" w:hAnsi="Arial"/>
      <w:sz w:val="16"/>
    </w:rPr>
  </w:style>
  <w:style w:type="character" w:customStyle="1" w:styleId="footnoteChar">
    <w:name w:val="footnote Char"/>
    <w:rsid w:val="006415EE"/>
    <w:rPr>
      <w:rFonts w:ascii="Arial" w:hAnsi="Arial"/>
      <w:sz w:val="16"/>
      <w:lang w:val="cs-CZ" w:eastAsia="cs-CZ" w:bidi="ar-SA"/>
    </w:rPr>
  </w:style>
  <w:style w:type="paragraph" w:customStyle="1" w:styleId="StyleHeading2Italic">
    <w:name w:val="Style Heading 2 + Italic"/>
    <w:basedOn w:val="Nadpis2"/>
    <w:rsid w:val="006415EE"/>
    <w:pPr>
      <w:tabs>
        <w:tab w:val="num" w:pos="576"/>
      </w:tabs>
      <w:spacing w:before="0" w:after="120" w:line="288" w:lineRule="auto"/>
    </w:pPr>
    <w:rPr>
      <w:bCs/>
      <w:noProof w:val="0"/>
      <w:color w:val="000080"/>
      <w:kern w:val="0"/>
      <w:sz w:val="20"/>
      <w:lang w:eastAsia="cs-CZ" w:bidi="ar-SA"/>
    </w:rPr>
  </w:style>
  <w:style w:type="character" w:customStyle="1" w:styleId="CharChar11">
    <w:name w:val="Char Char11"/>
    <w:basedOn w:val="Standardnpsmoodstavce"/>
    <w:rsid w:val="006415EE"/>
    <w:rPr>
      <w:rFonts w:ascii="Arial Narrow" w:hAnsi="Arial Narrow"/>
      <w:szCs w:val="24"/>
      <w:lang w:val="cs-CZ" w:eastAsia="cs-CZ" w:bidi="ar-SA"/>
    </w:rPr>
  </w:style>
  <w:style w:type="paragraph" w:customStyle="1" w:styleId="Zdroj">
    <w:name w:val="Zdroj"/>
    <w:basedOn w:val="Normln"/>
    <w:next w:val="Normln"/>
    <w:rsid w:val="006415EE"/>
    <w:pPr>
      <w:spacing w:after="120" w:line="288" w:lineRule="auto"/>
    </w:pPr>
    <w:rPr>
      <w:noProof w:val="0"/>
      <w:sz w:val="18"/>
      <w:lang w:eastAsia="cs-CZ" w:bidi="ar-SA"/>
    </w:rPr>
  </w:style>
  <w:style w:type="character" w:customStyle="1" w:styleId="ZdrojChar">
    <w:name w:val="Zdroj Char"/>
    <w:basedOn w:val="Standardnpsmoodstavce"/>
    <w:rsid w:val="006415EE"/>
    <w:rPr>
      <w:rFonts w:ascii="Arial" w:hAnsi="Arial"/>
      <w:sz w:val="18"/>
      <w:szCs w:val="24"/>
      <w:lang w:val="cs-CZ" w:eastAsia="cs-CZ" w:bidi="ar-SA"/>
    </w:rPr>
  </w:style>
  <w:style w:type="table" w:customStyle="1" w:styleId="TableGrid2">
    <w:name w:val="Table Grid2"/>
    <w:basedOn w:val="Normlntabulka"/>
    <w:next w:val="Mkatabulky"/>
    <w:uiPriority w:val="59"/>
    <w:rsid w:val="006415EE"/>
    <w:rPr>
      <w:rFonts w:ascii="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
    <w:name w:val="Box"/>
    <w:basedOn w:val="Normln"/>
    <w:rsid w:val="006415EE"/>
    <w:pPr>
      <w:pBdr>
        <w:top w:val="single" w:sz="12" w:space="1" w:color="808080"/>
        <w:left w:val="single" w:sz="12" w:space="4" w:color="808080"/>
        <w:bottom w:val="single" w:sz="12" w:space="1" w:color="808080"/>
        <w:right w:val="single" w:sz="12" w:space="4" w:color="808080"/>
      </w:pBdr>
      <w:spacing w:after="120" w:line="288" w:lineRule="auto"/>
    </w:pPr>
    <w:rPr>
      <w:noProof w:val="0"/>
      <w:sz w:val="20"/>
      <w:lang w:eastAsia="cs-CZ" w:bidi="ar-SA"/>
    </w:rPr>
  </w:style>
  <w:style w:type="character" w:customStyle="1" w:styleId="google-src-text">
    <w:name w:val="google-src-text"/>
    <w:basedOn w:val="Standardnpsmoodstavce"/>
    <w:rsid w:val="006415EE"/>
  </w:style>
  <w:style w:type="character" w:customStyle="1" w:styleId="CharChar10">
    <w:name w:val="Char Char10"/>
    <w:basedOn w:val="Standardnpsmoodstavce"/>
    <w:rsid w:val="006415EE"/>
    <w:rPr>
      <w:rFonts w:ascii="Arial" w:hAnsi="Arial"/>
      <w:lang w:val="cs-CZ" w:eastAsia="cs-CZ" w:bidi="ar-SA"/>
    </w:rPr>
  </w:style>
  <w:style w:type="character" w:customStyle="1" w:styleId="CharChar9">
    <w:name w:val="Char Char9"/>
    <w:basedOn w:val="Standardnpsmoodstavce"/>
    <w:rsid w:val="006415EE"/>
    <w:rPr>
      <w:rFonts w:ascii="Tahoma" w:hAnsi="Tahoma" w:cs="Tahoma"/>
      <w:sz w:val="16"/>
      <w:szCs w:val="16"/>
      <w:lang w:val="cs-CZ" w:eastAsia="cs-CZ" w:bidi="ar-SA"/>
    </w:rPr>
  </w:style>
  <w:style w:type="paragraph" w:customStyle="1" w:styleId="normln0">
    <w:name w:val="normální"/>
    <w:basedOn w:val="Normln"/>
    <w:rsid w:val="006415EE"/>
    <w:pPr>
      <w:spacing w:before="60" w:after="60" w:line="300" w:lineRule="auto"/>
    </w:pPr>
    <w:rPr>
      <w:noProof w:val="0"/>
      <w:sz w:val="20"/>
      <w:szCs w:val="20"/>
      <w:lang w:eastAsia="cs-CZ" w:bidi="ar-SA"/>
    </w:rPr>
  </w:style>
  <w:style w:type="paragraph" w:customStyle="1" w:styleId="Normln1">
    <w:name w:val="Normální 1"/>
    <w:basedOn w:val="Normln"/>
    <w:next w:val="Normln"/>
    <w:rsid w:val="006415EE"/>
    <w:pPr>
      <w:spacing w:after="120" w:line="288" w:lineRule="auto"/>
    </w:pPr>
    <w:rPr>
      <w:noProof w:val="0"/>
      <w:szCs w:val="20"/>
      <w:lang w:bidi="ar-SA"/>
    </w:rPr>
  </w:style>
  <w:style w:type="character" w:customStyle="1" w:styleId="CharChar8">
    <w:name w:val="Char Char8"/>
    <w:basedOn w:val="CharChar10"/>
    <w:rsid w:val="006415EE"/>
    <w:rPr>
      <w:rFonts w:ascii="Arial" w:hAnsi="Arial"/>
      <w:b/>
      <w:bCs/>
      <w:lang w:val="cs-CZ" w:eastAsia="cs-CZ" w:bidi="ar-SA"/>
    </w:rPr>
  </w:style>
  <w:style w:type="paragraph" w:customStyle="1" w:styleId="orm">
    <w:name w:val="orm"/>
    <w:basedOn w:val="Titulek"/>
    <w:rsid w:val="006415EE"/>
    <w:pPr>
      <w:widowControl w:val="0"/>
      <w:spacing w:before="0" w:line="288" w:lineRule="auto"/>
      <w:contextualSpacing w:val="0"/>
      <w:jc w:val="left"/>
    </w:pPr>
    <w:rPr>
      <w:rFonts w:ascii="Garamond" w:hAnsi="Garamond"/>
      <w:bCs/>
      <w:i/>
      <w:noProof w:val="0"/>
      <w:color w:val="000000"/>
      <w:spacing w:val="0"/>
      <w:sz w:val="20"/>
      <w:szCs w:val="20"/>
      <w:lang w:eastAsia="cs-CZ" w:bidi="ar-SA"/>
    </w:rPr>
  </w:style>
  <w:style w:type="character" w:customStyle="1" w:styleId="CharChar12">
    <w:name w:val="Char Char12"/>
    <w:basedOn w:val="Standardnpsmoodstavce"/>
    <w:rsid w:val="006415EE"/>
    <w:rPr>
      <w:rFonts w:ascii="Arial" w:eastAsia="Times New Roman" w:hAnsi="Arial"/>
      <w:sz w:val="16"/>
    </w:rPr>
  </w:style>
  <w:style w:type="paragraph" w:customStyle="1" w:styleId="CM4">
    <w:name w:val="CM4"/>
    <w:basedOn w:val="Default"/>
    <w:next w:val="Default"/>
    <w:uiPriority w:val="99"/>
    <w:rsid w:val="006415EE"/>
  </w:style>
  <w:style w:type="character" w:customStyle="1" w:styleId="CharChar7">
    <w:name w:val="Char Char7"/>
    <w:basedOn w:val="Standardnpsmoodstavce"/>
    <w:rsid w:val="006415EE"/>
    <w:rPr>
      <w:rFonts w:ascii="Arial" w:hAnsi="Arial"/>
      <w:i/>
      <w:iCs/>
      <w:sz w:val="22"/>
      <w:szCs w:val="24"/>
      <w:lang w:val="cs-CZ" w:eastAsia="cs-CZ" w:bidi="ar-SA"/>
    </w:rPr>
  </w:style>
  <w:style w:type="character" w:customStyle="1" w:styleId="CharChar6">
    <w:name w:val="Char Char6"/>
    <w:basedOn w:val="Standardnpsmoodstavce"/>
    <w:rsid w:val="006415EE"/>
    <w:rPr>
      <w:rFonts w:ascii="Arial" w:hAnsi="Arial"/>
      <w:sz w:val="32"/>
      <w:lang w:val="cs-CZ" w:eastAsia="cs-CZ" w:bidi="ar-SA"/>
    </w:rPr>
  </w:style>
  <w:style w:type="paragraph" w:customStyle="1" w:styleId="Nadpisobsahuaseznamu">
    <w:name w:val="Nadpis obsahu a seznamu"/>
    <w:basedOn w:val="Obsah1"/>
    <w:rsid w:val="006415EE"/>
    <w:pPr>
      <w:spacing w:before="240" w:after="240"/>
    </w:pPr>
    <w:rPr>
      <w:rFonts w:ascii="Arial" w:hAnsi="Arial" w:cs="Arial"/>
      <w:sz w:val="28"/>
      <w:lang w:eastAsia="cs-CZ"/>
    </w:rPr>
  </w:style>
  <w:style w:type="paragraph" w:customStyle="1" w:styleId="Zkratky">
    <w:name w:val="Zkratky"/>
    <w:basedOn w:val="Normln"/>
    <w:rsid w:val="006415EE"/>
    <w:pPr>
      <w:tabs>
        <w:tab w:val="left" w:leader="dot" w:pos="2835"/>
      </w:tabs>
      <w:spacing w:before="120" w:after="120" w:line="240" w:lineRule="auto"/>
      <w:jc w:val="left"/>
    </w:pPr>
    <w:rPr>
      <w:noProof w:val="0"/>
      <w:lang w:eastAsia="cs-CZ" w:bidi="ar-SA"/>
    </w:rPr>
  </w:style>
  <w:style w:type="paragraph" w:customStyle="1" w:styleId="Zhlavtabulky">
    <w:name w:val="Záhlaví tabulky"/>
    <w:basedOn w:val="Normln"/>
    <w:rsid w:val="006415EE"/>
    <w:pPr>
      <w:spacing w:before="120" w:after="120" w:line="240" w:lineRule="auto"/>
      <w:jc w:val="center"/>
    </w:pPr>
    <w:rPr>
      <w:b/>
      <w:noProof w:val="0"/>
      <w:lang w:eastAsia="cs-CZ" w:bidi="ar-SA"/>
    </w:rPr>
  </w:style>
  <w:style w:type="paragraph" w:customStyle="1" w:styleId="Bullet1">
    <w:name w:val="Bullet 1"/>
    <w:basedOn w:val="Normln"/>
    <w:rsid w:val="006415EE"/>
    <w:pPr>
      <w:numPr>
        <w:numId w:val="42"/>
      </w:numPr>
      <w:spacing w:before="120" w:after="120" w:line="240" w:lineRule="auto"/>
      <w:jc w:val="left"/>
    </w:pPr>
    <w:rPr>
      <w:noProof w:val="0"/>
      <w:lang w:eastAsia="cs-CZ" w:bidi="ar-SA"/>
    </w:rPr>
  </w:style>
  <w:style w:type="paragraph" w:customStyle="1" w:styleId="Bullet2">
    <w:name w:val="Bullet 2"/>
    <w:basedOn w:val="Normln"/>
    <w:rsid w:val="006415EE"/>
    <w:pPr>
      <w:numPr>
        <w:numId w:val="43"/>
      </w:numPr>
      <w:tabs>
        <w:tab w:val="clear" w:pos="720"/>
        <w:tab w:val="left" w:pos="851"/>
      </w:tabs>
      <w:spacing w:before="120" w:after="120" w:line="240" w:lineRule="auto"/>
      <w:ind w:left="851" w:hanging="284"/>
      <w:jc w:val="left"/>
    </w:pPr>
    <w:rPr>
      <w:noProof w:val="0"/>
      <w:lang w:eastAsia="cs-CZ" w:bidi="ar-SA"/>
    </w:rPr>
  </w:style>
  <w:style w:type="character" w:customStyle="1" w:styleId="CharChar5">
    <w:name w:val="Char Char5"/>
    <w:basedOn w:val="Standardnpsmoodstavce"/>
    <w:rsid w:val="006415EE"/>
    <w:rPr>
      <w:rFonts w:ascii="Arial" w:hAnsi="Arial"/>
      <w:b/>
      <w:bCs/>
      <w:sz w:val="22"/>
      <w:szCs w:val="24"/>
      <w:lang w:val="cs-CZ" w:eastAsia="cs-CZ" w:bidi="ar-SA"/>
    </w:rPr>
  </w:style>
  <w:style w:type="character" w:customStyle="1" w:styleId="CharChar4">
    <w:name w:val="Char Char4"/>
    <w:basedOn w:val="Standardnpsmoodstavce"/>
    <w:rsid w:val="006415EE"/>
    <w:rPr>
      <w:rFonts w:ascii="Arial" w:hAnsi="Arial"/>
      <w:sz w:val="22"/>
      <w:szCs w:val="24"/>
      <w:lang w:val="cs-CZ" w:eastAsia="cs-CZ" w:bidi="ar-SA"/>
    </w:rPr>
  </w:style>
  <w:style w:type="character" w:customStyle="1" w:styleId="textemarge">
    <w:name w:val="textemarge"/>
    <w:basedOn w:val="Standardnpsmoodstavce"/>
    <w:rsid w:val="006415EE"/>
  </w:style>
  <w:style w:type="character" w:customStyle="1" w:styleId="CharChar3">
    <w:name w:val="Char Char3"/>
    <w:basedOn w:val="Standardnpsmoodstavce"/>
    <w:rsid w:val="006415EE"/>
    <w:rPr>
      <w:rFonts w:ascii="Arial" w:hAnsi="Arial"/>
      <w:color w:val="FF0000"/>
      <w:sz w:val="22"/>
      <w:szCs w:val="24"/>
      <w:lang w:val="cs-CZ" w:eastAsia="cs-CZ" w:bidi="ar-SA"/>
    </w:rPr>
  </w:style>
  <w:style w:type="paragraph" w:styleId="Zkladntextodsazen2">
    <w:name w:val="Body Text Indent 2"/>
    <w:basedOn w:val="Normln"/>
    <w:link w:val="Zkladntextodsazen2Char"/>
    <w:semiHidden/>
    <w:rsid w:val="006415EE"/>
    <w:pPr>
      <w:tabs>
        <w:tab w:val="num" w:pos="720"/>
      </w:tabs>
      <w:spacing w:before="120" w:after="120" w:line="240" w:lineRule="auto"/>
      <w:ind w:left="720" w:hanging="360"/>
    </w:pPr>
    <w:rPr>
      <w:noProof w:val="0"/>
      <w:color w:val="0000FF"/>
      <w:lang w:eastAsia="cs-CZ" w:bidi="ar-SA"/>
    </w:rPr>
  </w:style>
  <w:style w:type="character" w:customStyle="1" w:styleId="Zkladntextodsazen2Char">
    <w:name w:val="Základní text odsazený 2 Char"/>
    <w:basedOn w:val="Standardnpsmoodstavce"/>
    <w:link w:val="Zkladntextodsazen2"/>
    <w:semiHidden/>
    <w:rsid w:val="006415EE"/>
    <w:rPr>
      <w:rFonts w:ascii="Arial" w:hAnsi="Arial"/>
      <w:color w:val="0000FF"/>
      <w:sz w:val="24"/>
      <w:szCs w:val="24"/>
    </w:rPr>
  </w:style>
  <w:style w:type="character" w:customStyle="1" w:styleId="CharChar2">
    <w:name w:val="Char Char2"/>
    <w:basedOn w:val="Standardnpsmoodstavce"/>
    <w:rsid w:val="006415EE"/>
    <w:rPr>
      <w:rFonts w:ascii="Arial" w:hAnsi="Arial"/>
      <w:color w:val="0000FF"/>
      <w:sz w:val="24"/>
      <w:szCs w:val="24"/>
      <w:lang w:val="cs-CZ" w:eastAsia="cs-CZ" w:bidi="ar-SA"/>
    </w:rPr>
  </w:style>
  <w:style w:type="character" w:customStyle="1" w:styleId="CharChar1">
    <w:name w:val="Char Char1"/>
    <w:basedOn w:val="Standardnpsmoodstavce"/>
    <w:rsid w:val="006415EE"/>
    <w:rPr>
      <w:b/>
      <w:bCs/>
      <w:sz w:val="24"/>
      <w:lang w:val="cs-CZ" w:eastAsia="cs-CZ" w:bidi="ar-SA"/>
    </w:rPr>
  </w:style>
  <w:style w:type="paragraph" w:styleId="Prosttext">
    <w:name w:val="Plain Text"/>
    <w:basedOn w:val="Normln"/>
    <w:link w:val="ProsttextChar"/>
    <w:uiPriority w:val="99"/>
    <w:semiHidden/>
    <w:rsid w:val="006415EE"/>
    <w:pPr>
      <w:spacing w:line="240" w:lineRule="auto"/>
      <w:jc w:val="left"/>
    </w:pPr>
    <w:rPr>
      <w:rFonts w:ascii="Consolas" w:eastAsia="Arial Unicode MS" w:hAnsi="Consolas" w:cs="Arial Unicode MS"/>
      <w:noProof w:val="0"/>
      <w:sz w:val="21"/>
      <w:szCs w:val="21"/>
      <w:lang w:eastAsia="cs-CZ" w:bidi="ar-SA"/>
    </w:rPr>
  </w:style>
  <w:style w:type="character" w:customStyle="1" w:styleId="ProsttextChar">
    <w:name w:val="Prostý text Char"/>
    <w:basedOn w:val="Standardnpsmoodstavce"/>
    <w:link w:val="Prosttext"/>
    <w:uiPriority w:val="99"/>
    <w:semiHidden/>
    <w:rsid w:val="006415EE"/>
    <w:rPr>
      <w:rFonts w:ascii="Consolas" w:eastAsia="Arial Unicode MS" w:hAnsi="Consolas" w:cs="Arial Unicode MS"/>
      <w:sz w:val="21"/>
      <w:szCs w:val="21"/>
    </w:rPr>
  </w:style>
  <w:style w:type="character" w:customStyle="1" w:styleId="CharChar">
    <w:name w:val="Char Char"/>
    <w:basedOn w:val="Standardnpsmoodstavce"/>
    <w:rsid w:val="006415EE"/>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6415EE"/>
    <w:pPr>
      <w:keepNext w:val="0"/>
      <w:widowControl w:val="0"/>
      <w:spacing w:before="120" w:after="120"/>
      <w:jc w:val="left"/>
      <w:outlineLvl w:val="9"/>
    </w:pPr>
    <w:rPr>
      <w:rFonts w:ascii="Cambria" w:hAnsi="Cambria"/>
      <w:noProof w:val="0"/>
      <w:color w:val="365F91"/>
      <w:kern w:val="0"/>
      <w:szCs w:val="28"/>
      <w:lang w:bidi="ar-SA"/>
    </w:rPr>
  </w:style>
  <w:style w:type="paragraph" w:customStyle="1" w:styleId="Odstavecseseznamem2">
    <w:name w:val="Odstavec se seznamem2"/>
    <w:basedOn w:val="Normln"/>
    <w:rsid w:val="006415EE"/>
    <w:pPr>
      <w:spacing w:after="200"/>
      <w:ind w:left="720"/>
      <w:contextualSpacing/>
      <w:jc w:val="left"/>
    </w:pPr>
    <w:rPr>
      <w:rFonts w:ascii="Verdana" w:eastAsia="Calibri" w:hAnsi="Verdana"/>
      <w:noProof w:val="0"/>
      <w:sz w:val="18"/>
      <w:szCs w:val="18"/>
      <w:lang w:bidi="ar-SA"/>
    </w:rPr>
  </w:style>
  <w:style w:type="paragraph" w:customStyle="1" w:styleId="bodytext">
    <w:name w:val="bodytext"/>
    <w:basedOn w:val="Normln"/>
    <w:rsid w:val="006415EE"/>
    <w:pPr>
      <w:spacing w:before="100" w:beforeAutospacing="1" w:after="100" w:afterAutospacing="1" w:line="240" w:lineRule="auto"/>
      <w:jc w:val="left"/>
    </w:pPr>
    <w:rPr>
      <w:rFonts w:ascii="Arial Unicode MS" w:eastAsia="Arial Unicode MS" w:hAnsi="Arial Unicode MS" w:cs="Arial Unicode MS"/>
      <w:noProof w:val="0"/>
      <w:lang w:eastAsia="cs-CZ" w:bidi="ar-SA"/>
    </w:rPr>
  </w:style>
  <w:style w:type="paragraph" w:customStyle="1" w:styleId="OdrazkaIstav">
    <w:name w:val="Odrazka_I_stav"/>
    <w:basedOn w:val="Normln"/>
    <w:rsid w:val="006415EE"/>
    <w:pPr>
      <w:numPr>
        <w:numId w:val="44"/>
      </w:numPr>
      <w:tabs>
        <w:tab w:val="left" w:pos="284"/>
      </w:tabs>
      <w:spacing w:before="60" w:after="60" w:line="240" w:lineRule="auto"/>
    </w:pPr>
    <w:rPr>
      <w:rFonts w:cs="Arial"/>
      <w:sz w:val="20"/>
      <w:szCs w:val="20"/>
      <w:lang w:eastAsia="cs-CZ" w:bidi="ar-SA"/>
    </w:rPr>
  </w:style>
  <w:style w:type="table" w:customStyle="1" w:styleId="TableGrid3">
    <w:name w:val="Table Grid3"/>
    <w:basedOn w:val="Normlntabulka"/>
    <w:next w:val="Mkatabulky"/>
    <w:uiPriority w:val="59"/>
    <w:rsid w:val="006415EE"/>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ion">
    <w:name w:val="Vision"/>
    <w:basedOn w:val="Normln"/>
    <w:rsid w:val="006415EE"/>
    <w:pPr>
      <w:spacing w:before="120" w:after="120" w:line="240" w:lineRule="auto"/>
    </w:pPr>
    <w:rPr>
      <w:rFonts w:ascii="Garamond" w:eastAsia="Calibri" w:hAnsi="Garamond"/>
      <w:i/>
      <w:noProof w:val="0"/>
      <w:szCs w:val="22"/>
      <w:lang w:bidi="ar-SA"/>
    </w:rPr>
  </w:style>
  <w:style w:type="numbering" w:customStyle="1" w:styleId="NoList4">
    <w:name w:val="No List4"/>
    <w:next w:val="Bezseznamu"/>
    <w:uiPriority w:val="99"/>
    <w:semiHidden/>
    <w:unhideWhenUsed/>
    <w:rsid w:val="006415EE"/>
  </w:style>
  <w:style w:type="paragraph" w:customStyle="1" w:styleId="documentannotation">
    <w:name w:val="documentannotation"/>
    <w:basedOn w:val="Normln"/>
    <w:rsid w:val="006415EE"/>
    <w:pPr>
      <w:spacing w:before="100" w:beforeAutospacing="1" w:after="100" w:afterAutospacing="1" w:line="240" w:lineRule="auto"/>
      <w:jc w:val="left"/>
    </w:pPr>
    <w:rPr>
      <w:noProof w:val="0"/>
      <w:lang w:val="en-US" w:bidi="ar-SA"/>
    </w:rPr>
  </w:style>
  <w:style w:type="character" w:customStyle="1" w:styleId="platne">
    <w:name w:val="platne"/>
    <w:basedOn w:val="Standardnpsmoodstavce"/>
    <w:rsid w:val="006415EE"/>
  </w:style>
  <w:style w:type="character" w:customStyle="1" w:styleId="ZpatChar1">
    <w:name w:val="Zápatí Char1"/>
    <w:basedOn w:val="Standardnpsmoodstavce"/>
    <w:uiPriority w:val="99"/>
    <w:rsid w:val="006415EE"/>
    <w:rPr>
      <w:rFonts w:ascii="Garamond" w:hAnsi="Garamond"/>
      <w:sz w:val="24"/>
      <w:szCs w:val="22"/>
      <w:lang w:val="en-GB"/>
    </w:rPr>
  </w:style>
  <w:style w:type="character" w:customStyle="1" w:styleId="apple-converted-space">
    <w:name w:val="apple-converted-space"/>
    <w:basedOn w:val="Standardnpsmoodstavce"/>
    <w:rsid w:val="006415EE"/>
  </w:style>
  <w:style w:type="paragraph" w:customStyle="1" w:styleId="ca">
    <w:name w:val="ca"/>
    <w:basedOn w:val="Normln"/>
    <w:rsid w:val="006415EE"/>
    <w:pPr>
      <w:spacing w:before="100" w:beforeAutospacing="1" w:after="100" w:afterAutospacing="1" w:line="240" w:lineRule="auto"/>
      <w:jc w:val="left"/>
    </w:pPr>
    <w:rPr>
      <w:noProof w:val="0"/>
      <w:lang w:val="en-US" w:bidi="ar-SA"/>
    </w:rPr>
  </w:style>
  <w:style w:type="character" w:customStyle="1" w:styleId="Caption1">
    <w:name w:val="Caption1"/>
    <w:basedOn w:val="Standardnpsmoodstavce"/>
    <w:rsid w:val="006415EE"/>
  </w:style>
  <w:style w:type="paragraph" w:customStyle="1" w:styleId="introduction">
    <w:name w:val="introduction"/>
    <w:basedOn w:val="Normln"/>
    <w:rsid w:val="006415EE"/>
    <w:pPr>
      <w:spacing w:before="100" w:beforeAutospacing="1" w:after="100" w:afterAutospacing="1" w:line="240" w:lineRule="auto"/>
      <w:jc w:val="left"/>
    </w:pPr>
    <w:rPr>
      <w:noProof w:val="0"/>
      <w:lang w:val="en-US" w:bidi="ar-SA"/>
    </w:rPr>
  </w:style>
  <w:style w:type="paragraph" w:customStyle="1" w:styleId="first-child">
    <w:name w:val="first-child"/>
    <w:basedOn w:val="Normln"/>
    <w:rsid w:val="006415EE"/>
    <w:pPr>
      <w:spacing w:before="100" w:beforeAutospacing="1" w:after="100" w:afterAutospacing="1" w:line="240" w:lineRule="auto"/>
      <w:jc w:val="left"/>
    </w:pPr>
    <w:rPr>
      <w:noProof w:val="0"/>
      <w:lang w:val="en-US" w:bidi="ar-SA"/>
    </w:rPr>
  </w:style>
  <w:style w:type="character" w:customStyle="1" w:styleId="quote-credit">
    <w:name w:val="quote-credit"/>
    <w:basedOn w:val="Standardnpsmoodstavce"/>
    <w:rsid w:val="006415EE"/>
  </w:style>
  <w:style w:type="character" w:customStyle="1" w:styleId="quote-credit-title">
    <w:name w:val="quote-credit-title"/>
    <w:basedOn w:val="Standardnpsmoodstavce"/>
    <w:rsid w:val="006415EE"/>
  </w:style>
  <w:style w:type="character" w:customStyle="1" w:styleId="A5">
    <w:name w:val="A5"/>
    <w:uiPriority w:val="99"/>
    <w:rsid w:val="006415EE"/>
    <w:rPr>
      <w:rFonts w:cs="Frutiger Next Pro"/>
      <w:color w:val="000000"/>
      <w:sz w:val="17"/>
      <w:szCs w:val="17"/>
    </w:rPr>
  </w:style>
  <w:style w:type="paragraph" w:customStyle="1" w:styleId="Listarrow">
    <w:name w:val="List arrow"/>
    <w:basedOn w:val="Default"/>
    <w:next w:val="Default"/>
    <w:uiPriority w:val="99"/>
    <w:rsid w:val="006415EE"/>
    <w:rPr>
      <w:rFonts w:ascii="Wingdings" w:eastAsia="Calibri" w:hAnsi="Wingdings" w:cs="Times New Roman"/>
      <w:color w:val="auto"/>
    </w:rPr>
  </w:style>
  <w:style w:type="paragraph" w:customStyle="1" w:styleId="Listeapuces">
    <w:name w:val="Liste a puces"/>
    <w:basedOn w:val="Default"/>
    <w:next w:val="Default"/>
    <w:uiPriority w:val="99"/>
    <w:rsid w:val="006415EE"/>
    <w:rPr>
      <w:rFonts w:ascii="Arial" w:eastAsia="Calibri" w:hAnsi="Arial" w:cs="Arial"/>
      <w:color w:val="auto"/>
    </w:rPr>
  </w:style>
  <w:style w:type="paragraph" w:customStyle="1" w:styleId="Titre3">
    <w:name w:val="Titre 3"/>
    <w:basedOn w:val="Default"/>
    <w:next w:val="Default"/>
    <w:uiPriority w:val="99"/>
    <w:rsid w:val="006415EE"/>
    <w:rPr>
      <w:rFonts w:ascii="Arial" w:eastAsia="Calibri" w:hAnsi="Arial" w:cs="Arial"/>
      <w:color w:val="auto"/>
    </w:rPr>
  </w:style>
  <w:style w:type="paragraph" w:customStyle="1" w:styleId="Example">
    <w:name w:val="Example"/>
    <w:basedOn w:val="Default"/>
    <w:next w:val="Default"/>
    <w:uiPriority w:val="99"/>
    <w:rsid w:val="006415EE"/>
    <w:rPr>
      <w:rFonts w:ascii="Arial" w:eastAsia="Calibri" w:hAnsi="Arial" w:cs="Arial"/>
      <w:color w:val="auto"/>
    </w:rPr>
  </w:style>
  <w:style w:type="character" w:customStyle="1" w:styleId="Appelnotedebasdep">
    <w:name w:val="Appel note de bas de p."/>
    <w:uiPriority w:val="99"/>
    <w:rsid w:val="006415EE"/>
    <w:rPr>
      <w:color w:val="000000"/>
    </w:rPr>
  </w:style>
  <w:style w:type="paragraph" w:customStyle="1" w:styleId="Titre2">
    <w:name w:val="Titre 2"/>
    <w:basedOn w:val="Default"/>
    <w:next w:val="Default"/>
    <w:uiPriority w:val="99"/>
    <w:rsid w:val="006415EE"/>
    <w:rPr>
      <w:rFonts w:ascii="Arial" w:eastAsia="Calibri" w:hAnsi="Arial" w:cs="Arial"/>
      <w:color w:val="auto"/>
    </w:rPr>
  </w:style>
  <w:style w:type="paragraph" w:customStyle="1" w:styleId="Titre4">
    <w:name w:val="Titre 4"/>
    <w:basedOn w:val="Default"/>
    <w:next w:val="Default"/>
    <w:uiPriority w:val="99"/>
    <w:rsid w:val="006415EE"/>
    <w:rPr>
      <w:rFonts w:ascii="Arial" w:eastAsia="Calibri" w:hAnsi="Arial" w:cs="Arial"/>
      <w:color w:val="auto"/>
    </w:rPr>
  </w:style>
  <w:style w:type="paragraph" w:customStyle="1" w:styleId="detail-odstavec">
    <w:name w:val="detail-odstavec"/>
    <w:basedOn w:val="Normln"/>
    <w:rsid w:val="006415EE"/>
    <w:pPr>
      <w:spacing w:before="100" w:beforeAutospacing="1" w:after="100" w:afterAutospacing="1" w:line="240" w:lineRule="auto"/>
      <w:jc w:val="left"/>
    </w:pPr>
    <w:rPr>
      <w:noProof w:val="0"/>
      <w:lang w:val="en-US" w:bidi="ar-SA"/>
    </w:rPr>
  </w:style>
  <w:style w:type="character" w:customStyle="1" w:styleId="zde">
    <w:name w:val="zde"/>
    <w:basedOn w:val="Standardnpsmoodstavce"/>
    <w:rsid w:val="006415EE"/>
  </w:style>
  <w:style w:type="paragraph" w:customStyle="1" w:styleId="CM1">
    <w:name w:val="CM1"/>
    <w:basedOn w:val="Default"/>
    <w:next w:val="Default"/>
    <w:uiPriority w:val="99"/>
    <w:rsid w:val="006415EE"/>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6415EE"/>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6415EE"/>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6415EE"/>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6415EE"/>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6415EE"/>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6415EE"/>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6415EE"/>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6415EE"/>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6415EE"/>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6415EE"/>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6415EE"/>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6415EE"/>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6415EE"/>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6415EE"/>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6415EE"/>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6415EE"/>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6415EE"/>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6415EE"/>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6415EE"/>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6415EE"/>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6415EE"/>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6415EE"/>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6415EE"/>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6415EE"/>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6415EE"/>
    <w:pPr>
      <w:widowControl w:val="0"/>
      <w:spacing w:line="358" w:lineRule="atLeast"/>
    </w:pPr>
    <w:rPr>
      <w:rFonts w:ascii="CMSSB X 10" w:eastAsia="Times New Roman" w:hAnsi="CMSSB X 10" w:cs="Times New Roman"/>
      <w:color w:val="auto"/>
    </w:rPr>
  </w:style>
  <w:style w:type="character" w:customStyle="1" w:styleId="ZhlavChar1">
    <w:name w:val="Záhlaví Char1"/>
    <w:basedOn w:val="Standardnpsmoodstavce"/>
    <w:rsid w:val="006415EE"/>
    <w:rPr>
      <w:rFonts w:ascii="Garamond" w:hAnsi="Garamond"/>
      <w:sz w:val="24"/>
      <w:szCs w:val="22"/>
      <w:lang w:val="en-GB"/>
    </w:rPr>
  </w:style>
  <w:style w:type="character" w:customStyle="1" w:styleId="Nadpis3Char1">
    <w:name w:val="Nadpis 3 Char1"/>
    <w:basedOn w:val="Standardnpsmoodstavce"/>
    <w:uiPriority w:val="9"/>
    <w:rsid w:val="006415EE"/>
    <w:rPr>
      <w:rFonts w:ascii="Cambria" w:eastAsia="Times New Roman" w:hAnsi="Cambria"/>
      <w:b/>
      <w:bCs/>
      <w:color w:val="B6B002"/>
      <w:sz w:val="24"/>
      <w:szCs w:val="22"/>
    </w:rPr>
  </w:style>
  <w:style w:type="character" w:customStyle="1" w:styleId="Nadpis4Char1">
    <w:name w:val="Nadpis 4 Char1"/>
    <w:basedOn w:val="Standardnpsmoodstavce"/>
    <w:uiPriority w:val="9"/>
    <w:rsid w:val="006415EE"/>
    <w:rPr>
      <w:rFonts w:ascii="Cambria" w:eastAsia="Times New Roman" w:hAnsi="Cambria"/>
      <w:b/>
      <w:bCs/>
      <w:i/>
      <w:iCs/>
      <w:color w:val="AC9B02"/>
      <w:sz w:val="22"/>
      <w:szCs w:val="22"/>
    </w:rPr>
  </w:style>
  <w:style w:type="paragraph" w:customStyle="1" w:styleId="Note">
    <w:name w:val="Note"/>
    <w:basedOn w:val="Titulek"/>
    <w:link w:val="NoteChar"/>
    <w:rsid w:val="006415EE"/>
    <w:pPr>
      <w:widowControl w:val="0"/>
      <w:spacing w:before="0" w:line="360" w:lineRule="auto"/>
      <w:ind w:left="1440"/>
      <w:contextualSpacing w:val="0"/>
      <w:jc w:val="left"/>
    </w:pPr>
    <w:rPr>
      <w:bCs/>
      <w:color w:val="000000"/>
    </w:rPr>
  </w:style>
  <w:style w:type="paragraph" w:customStyle="1" w:styleId="Text0">
    <w:name w:val="Text"/>
    <w:basedOn w:val="Default"/>
    <w:link w:val="TextChar"/>
    <w:rsid w:val="006415EE"/>
    <w:pPr>
      <w:widowControl w:val="0"/>
      <w:spacing w:line="538" w:lineRule="atLeast"/>
    </w:pPr>
    <w:rPr>
      <w:rFonts w:ascii="Times New Roman" w:hAnsi="Times New Roman"/>
    </w:rPr>
  </w:style>
  <w:style w:type="character" w:customStyle="1" w:styleId="NoteChar">
    <w:name w:val="Note Char"/>
    <w:basedOn w:val="TitulekChar"/>
    <w:link w:val="Note"/>
    <w:rsid w:val="006415EE"/>
    <w:rPr>
      <w:rFonts w:ascii="Times New Roman" w:hAnsi="Times New Roman"/>
      <w:b/>
      <w:bCs/>
      <w:noProof/>
      <w:color w:val="000000"/>
      <w:spacing w:val="10"/>
      <w:sz w:val="18"/>
      <w:szCs w:val="18"/>
      <w:lang w:eastAsia="en-US" w:bidi="en-US"/>
    </w:rPr>
  </w:style>
  <w:style w:type="character" w:customStyle="1" w:styleId="DefaultChar">
    <w:name w:val="Default Char"/>
    <w:basedOn w:val="Standardnpsmoodstavce"/>
    <w:link w:val="Default"/>
    <w:rsid w:val="006415EE"/>
    <w:rPr>
      <w:rFonts w:eastAsia="MS Mincho" w:cs="Calibri"/>
      <w:color w:val="000000"/>
      <w:sz w:val="24"/>
      <w:szCs w:val="24"/>
      <w:lang w:eastAsia="en-US"/>
    </w:rPr>
  </w:style>
  <w:style w:type="character" w:customStyle="1" w:styleId="TextChar">
    <w:name w:val="Text Char"/>
    <w:basedOn w:val="DefaultChar"/>
    <w:link w:val="Text0"/>
    <w:rsid w:val="006415EE"/>
    <w:rPr>
      <w:rFonts w:ascii="Times New Roman" w:eastAsia="MS Mincho" w:hAnsi="Times New Roman" w:cs="Calibri"/>
      <w:color w:val="000000"/>
      <w:sz w:val="24"/>
      <w:szCs w:val="24"/>
      <w:lang w:eastAsia="en-US"/>
    </w:rPr>
  </w:style>
  <w:style w:type="character" w:styleId="slodku">
    <w:name w:val="line number"/>
    <w:basedOn w:val="Standardnpsmoodstavce"/>
    <w:uiPriority w:val="99"/>
    <w:semiHidden/>
    <w:unhideWhenUsed/>
    <w:rsid w:val="006415EE"/>
  </w:style>
  <w:style w:type="character" w:customStyle="1" w:styleId="Nadpis5Char1">
    <w:name w:val="Nadpis 5 Char1"/>
    <w:basedOn w:val="Standardnpsmoodstavce"/>
    <w:uiPriority w:val="99"/>
    <w:rsid w:val="006415EE"/>
    <w:rPr>
      <w:rFonts w:eastAsia="Times New Roman"/>
      <w:b/>
      <w:bCs/>
      <w:i/>
      <w:iCs/>
      <w:sz w:val="26"/>
      <w:szCs w:val="26"/>
    </w:rPr>
  </w:style>
  <w:style w:type="character" w:customStyle="1" w:styleId="Nadpis6Char1">
    <w:name w:val="Nadpis 6 Char1"/>
    <w:basedOn w:val="Standardnpsmoodstavce"/>
    <w:uiPriority w:val="9"/>
    <w:rsid w:val="006415EE"/>
    <w:rPr>
      <w:rFonts w:eastAsia="Times New Roman"/>
      <w:b/>
      <w:bCs/>
      <w:sz w:val="24"/>
      <w:szCs w:val="22"/>
    </w:rPr>
  </w:style>
  <w:style w:type="character" w:customStyle="1" w:styleId="Nadpis7Char1">
    <w:name w:val="Nadpis 7 Char1"/>
    <w:basedOn w:val="Standardnpsmoodstavce"/>
    <w:uiPriority w:val="9"/>
    <w:rsid w:val="006415EE"/>
    <w:rPr>
      <w:rFonts w:eastAsia="Times New Roman"/>
      <w:sz w:val="24"/>
      <w:szCs w:val="24"/>
    </w:rPr>
  </w:style>
  <w:style w:type="character" w:customStyle="1" w:styleId="Nadpis8Char1">
    <w:name w:val="Nadpis 8 Char1"/>
    <w:basedOn w:val="Standardnpsmoodstavce"/>
    <w:uiPriority w:val="9"/>
    <w:rsid w:val="006415EE"/>
    <w:rPr>
      <w:rFonts w:eastAsia="Times New Roman"/>
      <w:i/>
      <w:iCs/>
      <w:sz w:val="24"/>
      <w:szCs w:val="24"/>
    </w:rPr>
  </w:style>
  <w:style w:type="character" w:customStyle="1" w:styleId="Nadpis9Char1">
    <w:name w:val="Nadpis 9 Char1"/>
    <w:basedOn w:val="Standardnpsmoodstavce"/>
    <w:uiPriority w:val="9"/>
    <w:rsid w:val="006415EE"/>
    <w:rPr>
      <w:rFonts w:ascii="Cambria" w:eastAsia="Times New Roman" w:hAnsi="Cambria"/>
      <w:sz w:val="24"/>
      <w:szCs w:val="22"/>
    </w:rPr>
  </w:style>
  <w:style w:type="character" w:customStyle="1" w:styleId="TextkomenteChar1">
    <w:name w:val="Text komentáře Char1"/>
    <w:aliases w:val="Text poznámky Char1"/>
    <w:basedOn w:val="Standardnpsmoodstavce"/>
    <w:rsid w:val="006415EE"/>
    <w:rPr>
      <w:rFonts w:ascii="Garamond" w:hAnsi="Garamond"/>
      <w:lang w:val="en-GB"/>
    </w:rPr>
  </w:style>
  <w:style w:type="paragraph" w:styleId="Hlavikaobsahu">
    <w:name w:val="toa heading"/>
    <w:basedOn w:val="Normln"/>
    <w:next w:val="Normln"/>
    <w:uiPriority w:val="99"/>
    <w:semiHidden/>
    <w:unhideWhenUsed/>
    <w:rsid w:val="006415EE"/>
    <w:pPr>
      <w:autoSpaceDE w:val="0"/>
      <w:autoSpaceDN w:val="0"/>
      <w:adjustRightInd w:val="0"/>
      <w:spacing w:before="120" w:after="200" w:line="360" w:lineRule="auto"/>
      <w:jc w:val="left"/>
    </w:pPr>
    <w:rPr>
      <w:rFonts w:asciiTheme="majorHAnsi" w:eastAsiaTheme="majorEastAsia" w:hAnsiTheme="majorHAnsi" w:cstheme="majorBidi"/>
      <w:b/>
      <w:bCs/>
      <w:noProof w:val="0"/>
      <w:lang w:val="en-US" w:bidi="ar-SA"/>
    </w:rPr>
  </w:style>
  <w:style w:type="paragraph" w:styleId="Seznamcitac">
    <w:name w:val="table of authorities"/>
    <w:basedOn w:val="Normln"/>
    <w:next w:val="Normln"/>
    <w:uiPriority w:val="99"/>
    <w:semiHidden/>
    <w:unhideWhenUsed/>
    <w:rsid w:val="006415EE"/>
    <w:pPr>
      <w:autoSpaceDE w:val="0"/>
      <w:autoSpaceDN w:val="0"/>
      <w:adjustRightInd w:val="0"/>
      <w:spacing w:before="120" w:line="360" w:lineRule="auto"/>
      <w:ind w:left="240" w:hanging="240"/>
      <w:jc w:val="left"/>
    </w:pPr>
    <w:rPr>
      <w:rFonts w:eastAsiaTheme="minorHAnsi" w:cs="Times-Roman"/>
      <w:noProof w:val="0"/>
      <w:szCs w:val="20"/>
      <w:lang w:val="en-US" w:bidi="ar-SA"/>
    </w:rPr>
  </w:style>
  <w:style w:type="paragraph" w:customStyle="1" w:styleId="free">
    <w:name w:val="free"/>
    <w:basedOn w:val="Normln"/>
    <w:rsid w:val="006415EE"/>
    <w:pPr>
      <w:spacing w:before="100" w:beforeAutospacing="1" w:after="100" w:afterAutospacing="1" w:line="240" w:lineRule="auto"/>
      <w:jc w:val="left"/>
    </w:pPr>
    <w:rPr>
      <w:noProof w:val="0"/>
      <w:lang w:eastAsia="cs-CZ" w:bidi="ar-SA"/>
    </w:rPr>
  </w:style>
  <w:style w:type="character" w:customStyle="1" w:styleId="PedmtkomenteChar1">
    <w:name w:val="Předmět komentáře Char1"/>
    <w:basedOn w:val="TextkomenteChar1"/>
    <w:uiPriority w:val="99"/>
    <w:semiHidden/>
    <w:rsid w:val="006415EE"/>
    <w:rPr>
      <w:rFonts w:ascii="Garamond" w:hAnsi="Garamond"/>
      <w:b/>
      <w:bCs/>
      <w:lang w:val="en-GB"/>
    </w:rPr>
  </w:style>
  <w:style w:type="paragraph" w:customStyle="1" w:styleId="definicetext">
    <w:name w:val="definice text"/>
    <w:basedOn w:val="Normln"/>
    <w:link w:val="definicetextChar"/>
    <w:rsid w:val="006415EE"/>
    <w:pPr>
      <w:spacing w:before="120" w:line="360" w:lineRule="auto"/>
      <w:ind w:left="720" w:right="567"/>
    </w:pPr>
    <w:rPr>
      <w:i/>
      <w:noProof w:val="0"/>
      <w:color w:val="000000" w:themeColor="text1"/>
      <w:lang w:val="en-US" w:bidi="ar-SA"/>
    </w:rPr>
  </w:style>
  <w:style w:type="paragraph" w:customStyle="1" w:styleId="definicenadpis">
    <w:name w:val="definice nadpis"/>
    <w:basedOn w:val="Normln"/>
    <w:link w:val="definicenadpisChar"/>
    <w:rsid w:val="006415EE"/>
    <w:pPr>
      <w:spacing w:before="120" w:line="360" w:lineRule="auto"/>
      <w:ind w:left="720"/>
    </w:pPr>
    <w:rPr>
      <w:b/>
      <w:i/>
      <w:noProof w:val="0"/>
      <w:szCs w:val="22"/>
      <w:lang w:val="en-US" w:bidi="ar-SA"/>
    </w:rPr>
  </w:style>
  <w:style w:type="character" w:customStyle="1" w:styleId="definicetextChar">
    <w:name w:val="definice text Char"/>
    <w:basedOn w:val="Standardnpsmoodstavce"/>
    <w:link w:val="definicetext"/>
    <w:rsid w:val="006415EE"/>
    <w:rPr>
      <w:rFonts w:ascii="Times New Roman" w:hAnsi="Times New Roman"/>
      <w:i/>
      <w:color w:val="000000" w:themeColor="text1"/>
      <w:sz w:val="24"/>
      <w:szCs w:val="24"/>
      <w:lang w:val="en-US" w:eastAsia="en-US"/>
    </w:rPr>
  </w:style>
  <w:style w:type="paragraph" w:customStyle="1" w:styleId="vpis">
    <w:name w:val="výpis"/>
    <w:basedOn w:val="Odstavecseseznamem"/>
    <w:link w:val="vpisChar"/>
    <w:rsid w:val="006415EE"/>
    <w:pPr>
      <w:numPr>
        <w:numId w:val="46"/>
      </w:numPr>
      <w:autoSpaceDE w:val="0"/>
      <w:autoSpaceDN w:val="0"/>
      <w:adjustRightInd w:val="0"/>
      <w:spacing w:before="120" w:line="360" w:lineRule="auto"/>
      <w:outlineLvl w:val="0"/>
    </w:pPr>
    <w:rPr>
      <w:b/>
      <w:i/>
      <w:lang w:bidi="ar-SA"/>
    </w:rPr>
  </w:style>
  <w:style w:type="character" w:customStyle="1" w:styleId="definicenadpisChar">
    <w:name w:val="definice nadpis Char"/>
    <w:basedOn w:val="Standardnpsmoodstavce"/>
    <w:link w:val="definicenadpis"/>
    <w:rsid w:val="006415EE"/>
    <w:rPr>
      <w:rFonts w:ascii="Times New Roman" w:hAnsi="Times New Roman"/>
      <w:b/>
      <w:i/>
      <w:sz w:val="24"/>
      <w:szCs w:val="22"/>
      <w:lang w:val="en-US" w:eastAsia="en-US"/>
    </w:rPr>
  </w:style>
  <w:style w:type="paragraph" w:customStyle="1" w:styleId="citace">
    <w:name w:val="citace"/>
    <w:basedOn w:val="Normlnweb"/>
    <w:link w:val="citaceChar0"/>
    <w:rsid w:val="006415EE"/>
    <w:rPr>
      <w:noProof/>
    </w:rPr>
  </w:style>
  <w:style w:type="character" w:customStyle="1" w:styleId="vpisChar">
    <w:name w:val="výpis Char"/>
    <w:basedOn w:val="OdstavecseseznamemChar"/>
    <w:link w:val="vpis"/>
    <w:rsid w:val="006415EE"/>
    <w:rPr>
      <w:rFonts w:ascii="Times New Roman" w:hAnsi="Times New Roman"/>
      <w:b/>
      <w:i/>
      <w:noProof/>
      <w:sz w:val="24"/>
      <w:szCs w:val="24"/>
      <w:lang w:val="cs-CZ" w:eastAsia="en-US"/>
    </w:rPr>
  </w:style>
  <w:style w:type="character" w:customStyle="1" w:styleId="NormlnwebChar">
    <w:name w:val="Normální (web) Char"/>
    <w:basedOn w:val="Standardnpsmoodstavce"/>
    <w:link w:val="Normlnweb"/>
    <w:uiPriority w:val="99"/>
    <w:rsid w:val="006415EE"/>
    <w:rPr>
      <w:rFonts w:ascii="Times New Roman" w:hAnsi="Times New Roman"/>
      <w:sz w:val="24"/>
      <w:szCs w:val="24"/>
    </w:rPr>
  </w:style>
  <w:style w:type="character" w:customStyle="1" w:styleId="citaceChar0">
    <w:name w:val="citace Char"/>
    <w:basedOn w:val="NormlnwebChar"/>
    <w:link w:val="citace"/>
    <w:rsid w:val="006415EE"/>
    <w:rPr>
      <w:rFonts w:ascii="Times New Roman" w:hAnsi="Times New Roman"/>
      <w:noProof/>
      <w:sz w:val="24"/>
      <w:szCs w:val="24"/>
    </w:rPr>
  </w:style>
  <w:style w:type="paragraph" w:customStyle="1" w:styleId="poznpodarou">
    <w:name w:val="pozn. pod čarou"/>
    <w:basedOn w:val="Normln"/>
    <w:link w:val="poznpodarouChar"/>
    <w:rsid w:val="006415EE"/>
    <w:pPr>
      <w:spacing w:before="120" w:after="120"/>
    </w:pPr>
    <w:rPr>
      <w:noProof w:val="0"/>
      <w:sz w:val="20"/>
      <w:szCs w:val="22"/>
      <w:lang w:val="en-US" w:bidi="ar-SA"/>
    </w:rPr>
  </w:style>
  <w:style w:type="character" w:customStyle="1" w:styleId="poznpodarouChar">
    <w:name w:val="pozn. pod čarou Char"/>
    <w:basedOn w:val="Standardnpsmoodstavce"/>
    <w:link w:val="poznpodarou"/>
    <w:rsid w:val="006415EE"/>
    <w:rPr>
      <w:rFonts w:ascii="Times New Roman" w:hAnsi="Times New Roman"/>
      <w:szCs w:val="22"/>
      <w:lang w:val="en-US" w:eastAsia="en-US"/>
    </w:rPr>
  </w:style>
  <w:style w:type="character" w:customStyle="1" w:styleId="bold">
    <w:name w:val="bold"/>
    <w:basedOn w:val="Standardnpsmoodstavce"/>
    <w:rsid w:val="006415EE"/>
  </w:style>
  <w:style w:type="character" w:customStyle="1" w:styleId="webname">
    <w:name w:val="webname"/>
    <w:basedOn w:val="Standardnpsmoodstavce"/>
    <w:rsid w:val="006415EE"/>
  </w:style>
  <w:style w:type="paragraph" w:styleId="Textvysvtlivek">
    <w:name w:val="endnote text"/>
    <w:basedOn w:val="Normln"/>
    <w:link w:val="TextvysvtlivekChar"/>
    <w:uiPriority w:val="99"/>
    <w:semiHidden/>
    <w:unhideWhenUsed/>
    <w:rsid w:val="006415EE"/>
    <w:pPr>
      <w:spacing w:line="240" w:lineRule="auto"/>
    </w:pPr>
    <w:rPr>
      <w:noProof w:val="0"/>
      <w:sz w:val="20"/>
      <w:szCs w:val="20"/>
      <w:lang w:val="en-US" w:bidi="ar-SA"/>
    </w:rPr>
  </w:style>
  <w:style w:type="character" w:customStyle="1" w:styleId="TextvysvtlivekChar">
    <w:name w:val="Text vysvětlivek Char"/>
    <w:basedOn w:val="Standardnpsmoodstavce"/>
    <w:link w:val="Textvysvtlivek"/>
    <w:uiPriority w:val="99"/>
    <w:semiHidden/>
    <w:rsid w:val="006415EE"/>
    <w:rPr>
      <w:rFonts w:ascii="Times New Roman" w:hAnsi="Times New Roman"/>
      <w:lang w:val="en-US" w:eastAsia="en-US"/>
    </w:rPr>
  </w:style>
  <w:style w:type="character" w:styleId="Odkaznavysvtlivky">
    <w:name w:val="endnote reference"/>
    <w:basedOn w:val="Standardnpsmoodstavce"/>
    <w:uiPriority w:val="99"/>
    <w:semiHidden/>
    <w:unhideWhenUsed/>
    <w:rsid w:val="006415EE"/>
    <w:rPr>
      <w:vertAlign w:val="superscript"/>
    </w:rPr>
  </w:style>
  <w:style w:type="character" w:customStyle="1" w:styleId="reference-accessdate">
    <w:name w:val="reference-accessdate"/>
    <w:basedOn w:val="Standardnpsmoodstavce"/>
    <w:rsid w:val="006415EE"/>
  </w:style>
  <w:style w:type="character" w:customStyle="1" w:styleId="articledate">
    <w:name w:val="articledate"/>
    <w:basedOn w:val="Standardnpsmoodstavce"/>
    <w:rsid w:val="006415EE"/>
  </w:style>
  <w:style w:type="character" w:customStyle="1" w:styleId="goog-trans-section">
    <w:name w:val="goog-trans-section"/>
    <w:basedOn w:val="Standardnpsmoodstavce"/>
    <w:rsid w:val="006415EE"/>
  </w:style>
  <w:style w:type="character" w:customStyle="1" w:styleId="Datum1">
    <w:name w:val="Datum1"/>
    <w:basedOn w:val="Standardnpsmoodstavce"/>
    <w:rsid w:val="006415EE"/>
  </w:style>
  <w:style w:type="character" w:customStyle="1" w:styleId="sep">
    <w:name w:val="sep"/>
    <w:basedOn w:val="Standardnpsmoodstavce"/>
    <w:rsid w:val="006415EE"/>
  </w:style>
  <w:style w:type="numbering" w:customStyle="1" w:styleId="NoList5">
    <w:name w:val="No List5"/>
    <w:next w:val="Bezseznamu"/>
    <w:uiPriority w:val="99"/>
    <w:semiHidden/>
    <w:unhideWhenUsed/>
    <w:rsid w:val="006415EE"/>
  </w:style>
  <w:style w:type="table" w:customStyle="1" w:styleId="TableGrid4">
    <w:name w:val="Table Grid4"/>
    <w:basedOn w:val="Normlntabulka"/>
    <w:next w:val="Mkatabulky"/>
    <w:uiPriority w:val="59"/>
    <w:rsid w:val="006415EE"/>
    <w:rPr>
      <w:rFonts w:eastAsia="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5B8D0E64CA4985BBFCEFDF165F36CC">
    <w:name w:val="3A5B8D0E64CA4985BBFCEFDF165F36CC"/>
    <w:rsid w:val="006415EE"/>
    <w:pPr>
      <w:spacing w:after="200" w:line="276" w:lineRule="auto"/>
    </w:pPr>
    <w:rPr>
      <w:sz w:val="22"/>
      <w:szCs w:val="22"/>
      <w:lang w:eastAsia="en-US"/>
    </w:rPr>
  </w:style>
  <w:style w:type="paragraph" w:customStyle="1" w:styleId="TITULNISTRANKA">
    <w:name w:val="TITULNI STRANKA"/>
    <w:basedOn w:val="Normln"/>
    <w:next w:val="Normln"/>
    <w:rsid w:val="006415EE"/>
    <w:pPr>
      <w:spacing w:line="360" w:lineRule="auto"/>
      <w:jc w:val="center"/>
    </w:pPr>
    <w:rPr>
      <w:rFonts w:cs="Arial"/>
      <w:b/>
      <w:smallCaps/>
      <w:noProof w:val="0"/>
      <w:sz w:val="36"/>
      <w:szCs w:val="36"/>
      <w:lang w:eastAsia="cs-CZ" w:bidi="ar-SA"/>
    </w:rPr>
  </w:style>
  <w:style w:type="paragraph" w:customStyle="1" w:styleId="Char4CharCharChar">
    <w:name w:val="Char4 Char Char Char"/>
    <w:basedOn w:val="Normln"/>
    <w:rsid w:val="006415EE"/>
    <w:pPr>
      <w:spacing w:after="160" w:line="240" w:lineRule="exact"/>
      <w:jc w:val="left"/>
    </w:pPr>
    <w:rPr>
      <w:rFonts w:ascii="Times New Roman Bold" w:hAnsi="Times New Roman Bold"/>
      <w:noProof w:val="0"/>
      <w:szCs w:val="26"/>
      <w:lang w:val="sk-SK" w:bidi="ar-SA"/>
    </w:rPr>
  </w:style>
  <w:style w:type="paragraph" w:customStyle="1" w:styleId="Char4CharCharChar2">
    <w:name w:val="Char4 Char Char Char2"/>
    <w:basedOn w:val="Normln"/>
    <w:rsid w:val="006415EE"/>
    <w:pPr>
      <w:spacing w:after="160" w:line="240" w:lineRule="exact"/>
      <w:jc w:val="left"/>
    </w:pPr>
    <w:rPr>
      <w:rFonts w:ascii="Times New Roman Bold" w:hAnsi="Times New Roman Bold"/>
      <w:noProof w:val="0"/>
      <w:szCs w:val="26"/>
      <w:lang w:val="sk-SK" w:bidi="ar-SA"/>
    </w:rPr>
  </w:style>
  <w:style w:type="numbering" w:customStyle="1" w:styleId="NoList6">
    <w:name w:val="No List6"/>
    <w:next w:val="Bezseznamu"/>
    <w:uiPriority w:val="99"/>
    <w:semiHidden/>
    <w:unhideWhenUsed/>
    <w:rsid w:val="006415EE"/>
  </w:style>
  <w:style w:type="paragraph" w:customStyle="1" w:styleId="Char4CharCharChar1">
    <w:name w:val="Char4 Char Char Char1"/>
    <w:basedOn w:val="Normln"/>
    <w:rsid w:val="006415EE"/>
    <w:pPr>
      <w:spacing w:after="160" w:line="240" w:lineRule="exact"/>
      <w:jc w:val="left"/>
    </w:pPr>
    <w:rPr>
      <w:rFonts w:ascii="Times New Roman Bold" w:hAnsi="Times New Roman Bold"/>
      <w:noProof w:val="0"/>
      <w:szCs w:val="26"/>
      <w:lang w:val="sk-SK" w:bidi="ar-SA"/>
    </w:rPr>
  </w:style>
  <w:style w:type="paragraph" w:customStyle="1" w:styleId="Rfrenceinstitutionelle">
    <w:name w:val="Référence institutionelle"/>
    <w:basedOn w:val="Normln"/>
    <w:next w:val="Normln"/>
    <w:rsid w:val="006415EE"/>
    <w:pPr>
      <w:spacing w:after="240" w:line="240" w:lineRule="auto"/>
      <w:ind w:left="5103"/>
      <w:jc w:val="left"/>
    </w:pPr>
    <w:rPr>
      <w:noProof w:val="0"/>
      <w:szCs w:val="20"/>
      <w:lang w:eastAsia="en-GB" w:bidi="ar-SA"/>
    </w:rPr>
  </w:style>
  <w:style w:type="paragraph" w:customStyle="1" w:styleId="Typedudocument">
    <w:name w:val="Type du document"/>
    <w:basedOn w:val="Normln"/>
    <w:next w:val="Normln"/>
    <w:rsid w:val="006415EE"/>
    <w:pPr>
      <w:spacing w:before="360" w:line="240" w:lineRule="auto"/>
      <w:jc w:val="center"/>
    </w:pPr>
    <w:rPr>
      <w:b/>
      <w:noProof w:val="0"/>
      <w:szCs w:val="20"/>
      <w:lang w:eastAsia="en-GB" w:bidi="ar-SA"/>
    </w:rPr>
  </w:style>
  <w:style w:type="paragraph" w:customStyle="1" w:styleId="Confidentialit">
    <w:name w:val="Confidentialité"/>
    <w:basedOn w:val="Normln"/>
    <w:next w:val="Normln"/>
    <w:rsid w:val="006415EE"/>
    <w:pPr>
      <w:spacing w:before="240" w:after="240" w:line="240" w:lineRule="auto"/>
      <w:ind w:left="5103"/>
    </w:pPr>
    <w:rPr>
      <w:noProof w:val="0"/>
      <w:szCs w:val="20"/>
      <w:u w:val="single"/>
      <w:lang w:eastAsia="en-GB" w:bidi="ar-SA"/>
    </w:rPr>
  </w:style>
  <w:style w:type="character" w:customStyle="1" w:styleId="tw4winMark">
    <w:name w:val="tw4winMark"/>
    <w:rsid w:val="006415EE"/>
    <w:rPr>
      <w:vanish/>
      <w:color w:val="800080"/>
      <w:vertAlign w:val="subscript"/>
    </w:rPr>
  </w:style>
  <w:style w:type="paragraph" w:customStyle="1" w:styleId="odst">
    <w:name w:val="odst"/>
    <w:basedOn w:val="Normln"/>
    <w:rsid w:val="006415EE"/>
    <w:pPr>
      <w:spacing w:before="100" w:beforeAutospacing="1" w:after="100" w:afterAutospacing="1" w:line="240" w:lineRule="auto"/>
      <w:jc w:val="left"/>
    </w:pPr>
    <w:rPr>
      <w:noProof w:val="0"/>
      <w:lang w:eastAsia="cs-CZ" w:bidi="ar-SA"/>
    </w:rPr>
  </w:style>
  <w:style w:type="character" w:customStyle="1" w:styleId="d-b">
    <w:name w:val="d-b"/>
    <w:basedOn w:val="Standardnpsmoodstavce"/>
    <w:rsid w:val="006415EE"/>
  </w:style>
  <w:style w:type="character" w:customStyle="1" w:styleId="fs-12">
    <w:name w:val="fs-12"/>
    <w:basedOn w:val="Standardnpsmoodstavce"/>
    <w:rsid w:val="006415EE"/>
  </w:style>
  <w:style w:type="character" w:customStyle="1" w:styleId="fs-11">
    <w:name w:val="fs-11"/>
    <w:basedOn w:val="Standardnpsmoodstavce"/>
    <w:rsid w:val="006415EE"/>
  </w:style>
  <w:style w:type="paragraph" w:customStyle="1" w:styleId="Barevnseznamzvraznn11">
    <w:name w:val="Barevný seznam – zvýraznění 11"/>
    <w:basedOn w:val="Normln"/>
    <w:link w:val="Barevnseznamzvraznn1Char"/>
    <w:uiPriority w:val="99"/>
    <w:rsid w:val="006415EE"/>
    <w:pPr>
      <w:spacing w:line="240" w:lineRule="auto"/>
      <w:ind w:left="720"/>
      <w:contextualSpacing/>
      <w:jc w:val="left"/>
    </w:pPr>
    <w:rPr>
      <w:noProof w:val="0"/>
      <w:sz w:val="20"/>
      <w:szCs w:val="20"/>
      <w:lang w:eastAsia="cs-CZ" w:bidi="ar-SA"/>
    </w:rPr>
  </w:style>
  <w:style w:type="paragraph" w:customStyle="1" w:styleId="Normodsaz">
    <w:name w:val="Norm.odsaz."/>
    <w:basedOn w:val="Normln"/>
    <w:uiPriority w:val="99"/>
    <w:rsid w:val="006415EE"/>
    <w:pPr>
      <w:autoSpaceDE w:val="0"/>
      <w:autoSpaceDN w:val="0"/>
      <w:spacing w:before="120" w:after="120" w:line="240" w:lineRule="auto"/>
    </w:pPr>
    <w:rPr>
      <w:rFonts w:eastAsia="Calibri"/>
      <w:noProof w:val="0"/>
      <w:lang w:eastAsia="cs-CZ" w:bidi="ar-SA"/>
    </w:rPr>
  </w:style>
  <w:style w:type="character" w:customStyle="1" w:styleId="Barevnseznamzvraznn1Char">
    <w:name w:val="Barevný seznam – zvýraznění 1 Char"/>
    <w:link w:val="Barevnseznamzvraznn11"/>
    <w:uiPriority w:val="99"/>
    <w:rsid w:val="006415EE"/>
    <w:rPr>
      <w:rFonts w:ascii="Times New Roman" w:hAnsi="Times New Roman"/>
    </w:rPr>
  </w:style>
  <w:style w:type="paragraph" w:customStyle="1" w:styleId="odrky1">
    <w:name w:val="odrážky1"/>
    <w:basedOn w:val="Normln"/>
    <w:uiPriority w:val="99"/>
    <w:rsid w:val="006415EE"/>
    <w:pPr>
      <w:widowControl w:val="0"/>
      <w:numPr>
        <w:numId w:val="48"/>
      </w:numPr>
      <w:autoSpaceDE w:val="0"/>
      <w:autoSpaceDN w:val="0"/>
      <w:adjustRightInd w:val="0"/>
      <w:spacing w:after="120" w:line="288" w:lineRule="auto"/>
      <w:contextualSpacing/>
    </w:pPr>
    <w:rPr>
      <w:rFonts w:cs="Arial"/>
      <w:noProof w:val="0"/>
      <w:lang w:eastAsia="cs-CZ" w:bidi="ar-SA"/>
    </w:rPr>
  </w:style>
  <w:style w:type="paragraph" w:customStyle="1" w:styleId="Nadpis10">
    <w:name w:val="Nadpis (1)"/>
    <w:basedOn w:val="Nadpis1"/>
    <w:link w:val="Nadpis1Char0"/>
    <w:rsid w:val="006415EE"/>
    <w:pPr>
      <w:keepNext w:val="0"/>
      <w:widowControl w:val="0"/>
      <w:spacing w:before="120" w:after="120" w:line="240" w:lineRule="auto"/>
    </w:pPr>
    <w:rPr>
      <w:rFonts w:ascii="Cambria" w:hAnsi="Cambria"/>
      <w:noProof w:val="0"/>
      <w:color w:val="B6B002"/>
      <w:kern w:val="0"/>
      <w:szCs w:val="28"/>
      <w:lang w:bidi="ar-SA"/>
    </w:rPr>
  </w:style>
  <w:style w:type="paragraph" w:customStyle="1" w:styleId="Nadpis20">
    <w:name w:val="Nadpis (2)"/>
    <w:basedOn w:val="Nadpis2"/>
    <w:link w:val="Nadpis2Char0"/>
    <w:rsid w:val="006415EE"/>
    <w:pPr>
      <w:spacing w:before="120" w:after="120" w:line="240" w:lineRule="auto"/>
    </w:pPr>
    <w:rPr>
      <w:rFonts w:ascii="Cambria" w:eastAsia="Calibri" w:hAnsi="Cambria"/>
      <w:bCs/>
      <w:iCs w:val="0"/>
      <w:color w:val="B6B002"/>
      <w:sz w:val="26"/>
      <w:szCs w:val="26"/>
    </w:rPr>
  </w:style>
  <w:style w:type="character" w:customStyle="1" w:styleId="Nadpis1Char0">
    <w:name w:val="Nadpis (1) Char"/>
    <w:basedOn w:val="Nadpis1Char1"/>
    <w:link w:val="Nadpis10"/>
    <w:rsid w:val="006415EE"/>
    <w:rPr>
      <w:rFonts w:ascii="Cambria" w:eastAsia="Times New Roman" w:hAnsi="Cambria" w:cs="Arial"/>
      <w:b/>
      <w:bCs/>
      <w:color w:val="B6B002"/>
      <w:sz w:val="28"/>
      <w:szCs w:val="28"/>
      <w:lang w:eastAsia="en-US"/>
    </w:rPr>
  </w:style>
  <w:style w:type="paragraph" w:customStyle="1" w:styleId="Nadpis30">
    <w:name w:val="Nadpis (3)"/>
    <w:basedOn w:val="Nadpis3"/>
    <w:link w:val="Nadpis3Char0"/>
    <w:rsid w:val="006415EE"/>
    <w:pPr>
      <w:spacing w:after="120" w:line="240" w:lineRule="auto"/>
    </w:pPr>
    <w:rPr>
      <w:rFonts w:ascii="Cambria" w:hAnsi="Cambria"/>
      <w:i w:val="0"/>
      <w:noProof w:val="0"/>
      <w:color w:val="B6B002"/>
      <w:szCs w:val="22"/>
      <w:lang w:bidi="ar-SA"/>
    </w:rPr>
  </w:style>
  <w:style w:type="character" w:customStyle="1" w:styleId="Nadpis2Char0">
    <w:name w:val="Nadpis (2) Char"/>
    <w:basedOn w:val="Nadpis2Char"/>
    <w:link w:val="Nadpis20"/>
    <w:rsid w:val="006415EE"/>
    <w:rPr>
      <w:rFonts w:ascii="Cambria" w:eastAsia="Calibri" w:hAnsi="Cambria" w:cs="Arial"/>
      <w:b/>
      <w:bCs/>
      <w:iCs w:val="0"/>
      <w:noProof/>
      <w:color w:val="B6B002"/>
      <w:kern w:val="32"/>
      <w:sz w:val="26"/>
      <w:szCs w:val="26"/>
      <w:lang w:eastAsia="en-US" w:bidi="en-US"/>
    </w:rPr>
  </w:style>
  <w:style w:type="character" w:customStyle="1" w:styleId="Nadpis3Char0">
    <w:name w:val="Nadpis (3) Char"/>
    <w:basedOn w:val="Nadpis3Char1"/>
    <w:link w:val="Nadpis30"/>
    <w:rsid w:val="006415EE"/>
    <w:rPr>
      <w:rFonts w:ascii="Cambria" w:eastAsia="Times New Roman" w:hAnsi="Cambria" w:cs="Arial"/>
      <w:b/>
      <w:bCs/>
      <w:color w:val="B6B002"/>
      <w:sz w:val="24"/>
      <w:szCs w:val="22"/>
      <w:lang w:eastAsia="en-US"/>
    </w:rPr>
  </w:style>
  <w:style w:type="paragraph" w:customStyle="1" w:styleId="Text-Tabulka">
    <w:name w:val="Text - Tabulka"/>
    <w:basedOn w:val="Normln"/>
    <w:link w:val="Text-TabulkaChar"/>
    <w:rsid w:val="006415EE"/>
    <w:pPr>
      <w:spacing w:before="120" w:after="120" w:line="240" w:lineRule="auto"/>
      <w:jc w:val="left"/>
    </w:pPr>
    <w:rPr>
      <w:rFonts w:ascii="Garamond" w:eastAsia="MS Mincho" w:hAnsi="Garamond"/>
      <w:noProof w:val="0"/>
      <w:sz w:val="20"/>
      <w:szCs w:val="20"/>
      <w:lang w:bidi="ar-SA"/>
    </w:rPr>
  </w:style>
  <w:style w:type="character" w:customStyle="1" w:styleId="Text-TabulkaChar">
    <w:name w:val="Text - Tabulka Char"/>
    <w:basedOn w:val="Standardnpsmoodstavce"/>
    <w:link w:val="Text-Tabulka"/>
    <w:rsid w:val="006415EE"/>
    <w:rPr>
      <w:rFonts w:ascii="Garamond" w:eastAsia="MS Mincho" w:hAnsi="Garamond"/>
      <w:lang w:eastAsia="en-US"/>
    </w:rPr>
  </w:style>
  <w:style w:type="paragraph" w:customStyle="1" w:styleId="Odraky2">
    <w:name w:val="Odražky (2)"/>
    <w:basedOn w:val="Odstavecseseznamem"/>
    <w:link w:val="Odraky2Char"/>
    <w:rsid w:val="006415EE"/>
    <w:pPr>
      <w:numPr>
        <w:numId w:val="47"/>
      </w:numPr>
      <w:spacing w:before="120" w:after="120" w:line="240" w:lineRule="auto"/>
      <w:ind w:left="1134" w:hanging="425"/>
    </w:pPr>
    <w:rPr>
      <w:rFonts w:ascii="Garamond" w:eastAsia="Calibri" w:hAnsi="Garamond"/>
      <w:szCs w:val="22"/>
      <w:lang w:bidi="ar-SA"/>
    </w:rPr>
  </w:style>
  <w:style w:type="character" w:customStyle="1" w:styleId="Odraky2Char">
    <w:name w:val="Odražky (2) Char"/>
    <w:basedOn w:val="OdstavecseseznamemChar"/>
    <w:link w:val="Odraky2"/>
    <w:rsid w:val="006415EE"/>
    <w:rPr>
      <w:rFonts w:ascii="Garamond" w:eastAsia="Calibri" w:hAnsi="Garamond"/>
      <w:noProof/>
      <w:sz w:val="24"/>
      <w:szCs w:val="22"/>
      <w:lang w:val="cs-CZ" w:eastAsia="en-US"/>
    </w:rPr>
  </w:style>
  <w:style w:type="paragraph" w:styleId="Rejstk5">
    <w:name w:val="index 5"/>
    <w:basedOn w:val="Normln"/>
    <w:next w:val="Normln"/>
    <w:autoRedefine/>
    <w:uiPriority w:val="99"/>
    <w:semiHidden/>
    <w:unhideWhenUsed/>
    <w:rsid w:val="006415EE"/>
    <w:pPr>
      <w:spacing w:line="240" w:lineRule="auto"/>
      <w:ind w:left="1200" w:hanging="240"/>
    </w:pPr>
    <w:rPr>
      <w:rFonts w:ascii="Garamond" w:eastAsia="Calibri" w:hAnsi="Garamond"/>
      <w:noProof w:val="0"/>
      <w:szCs w:val="22"/>
      <w:lang w:bidi="ar-SA"/>
    </w:rPr>
  </w:style>
  <w:style w:type="paragraph" w:customStyle="1" w:styleId="Styl14bTunzarovnnnasted">
    <w:name w:val="Styl 14 b. Tučné zarovnání na střed"/>
    <w:basedOn w:val="Normln"/>
    <w:rsid w:val="006415EE"/>
    <w:pPr>
      <w:spacing w:after="80" w:line="240" w:lineRule="auto"/>
      <w:jc w:val="left"/>
    </w:pPr>
    <w:rPr>
      <w:rFonts w:ascii="Calibri" w:eastAsia="MS Mincho" w:hAnsi="Calibri"/>
      <w:bCs/>
      <w:noProof w:val="0"/>
      <w:szCs w:val="20"/>
      <w:lang w:eastAsia="ja-JP" w:bidi="ar-SA"/>
    </w:rPr>
  </w:style>
  <w:style w:type="paragraph" w:customStyle="1" w:styleId="Nadpis3a">
    <w:name w:val="Nadpis (3a)"/>
    <w:basedOn w:val="Text-Normaln"/>
    <w:link w:val="Nadpis3aChar"/>
    <w:rsid w:val="006415EE"/>
    <w:pPr>
      <w:numPr>
        <w:ilvl w:val="2"/>
        <w:numId w:val="49"/>
      </w:numPr>
    </w:pPr>
    <w:rPr>
      <w:b/>
      <w:i/>
    </w:rPr>
  </w:style>
  <w:style w:type="character" w:customStyle="1" w:styleId="Nadpis3aChar">
    <w:name w:val="Nadpis (3a) Char"/>
    <w:basedOn w:val="Text-NormalnChar"/>
    <w:link w:val="Nadpis3a"/>
    <w:rsid w:val="006415EE"/>
    <w:rPr>
      <w:rFonts w:ascii="Garamond" w:eastAsia="Calibri" w:hAnsi="Garamond"/>
      <w:b/>
      <w:i/>
      <w:sz w:val="24"/>
      <w:szCs w:val="22"/>
      <w:lang w:eastAsia="en-US"/>
    </w:rPr>
  </w:style>
  <w:style w:type="paragraph" w:customStyle="1" w:styleId="abcd">
    <w:name w:val="abcd"/>
    <w:basedOn w:val="Normln"/>
    <w:rsid w:val="003211D6"/>
    <w:pPr>
      <w:spacing w:after="120"/>
      <w:ind w:left="284" w:hanging="284"/>
      <w:contextualSpacing/>
    </w:pPr>
    <w:rPr>
      <w:rFonts w:cs="Arial"/>
      <w:noProof w:val="0"/>
      <w:lang w:eastAsia="cs-CZ" w:bidi="ar-SA"/>
    </w:rPr>
  </w:style>
  <w:style w:type="numbering" w:customStyle="1" w:styleId="Bezseznamu1">
    <w:name w:val="Bez seznamu1"/>
    <w:next w:val="Bezseznamu"/>
    <w:uiPriority w:val="99"/>
    <w:semiHidden/>
    <w:unhideWhenUsed/>
    <w:rsid w:val="00ED5B2D"/>
  </w:style>
  <w:style w:type="table" w:customStyle="1" w:styleId="TabulkaRIA">
    <w:name w:val="Tabulka RIA"/>
    <w:basedOn w:val="Normlntabulka"/>
    <w:uiPriority w:val="99"/>
    <w:rsid w:val="00ED5B2D"/>
    <w:rPr>
      <w:rFonts w:eastAsia="Calibri"/>
      <w:sz w:val="18"/>
      <w:lang w:eastAsia="en-US"/>
    </w:rPr>
    <w:tblPr>
      <w:tblBorders>
        <w:bottom w:val="single" w:sz="4" w:space="0" w:color="auto"/>
      </w:tblBorders>
    </w:tblPr>
    <w:tblStylePr w:type="firstRow">
      <w:pPr>
        <w:jc w:val="center"/>
      </w:pPr>
      <w:rPr>
        <w:rFonts w:ascii="Calibri" w:hAnsi="Calibri"/>
        <w:b/>
        <w:color w:val="FFFFFF"/>
        <w:sz w:val="18"/>
      </w:rPr>
      <w:tblPr/>
      <w:tcPr>
        <w:shd w:val="clear" w:color="auto" w:fill="B6B002"/>
        <w:vAlign w:val="center"/>
      </w:tcPr>
    </w:tblStylePr>
    <w:tblStylePr w:type="firstCol">
      <w:pPr>
        <w:jc w:val="left"/>
      </w:pPr>
      <w:rPr>
        <w:rFonts w:ascii="Calibri" w:hAnsi="Calibri"/>
        <w:b/>
        <w:sz w:val="18"/>
      </w:rPr>
      <w:tblPr/>
      <w:tcPr>
        <w:tcBorders>
          <w:top w:val="nil"/>
          <w:left w:val="nil"/>
          <w:bottom w:val="single" w:sz="4" w:space="0" w:color="auto"/>
          <w:right w:val="nil"/>
          <w:insideH w:val="nil"/>
          <w:insideV w:val="nil"/>
          <w:tl2br w:val="nil"/>
          <w:tr2bl w:val="nil"/>
        </w:tcBorders>
      </w:tcPr>
    </w:tblStylePr>
  </w:style>
  <w:style w:type="numbering" w:customStyle="1" w:styleId="NoList11">
    <w:name w:val="No List11"/>
    <w:next w:val="Bezseznamu"/>
    <w:semiHidden/>
    <w:rsid w:val="00ED5B2D"/>
  </w:style>
  <w:style w:type="numbering" w:customStyle="1" w:styleId="NoList21">
    <w:name w:val="No List21"/>
    <w:next w:val="Bezseznamu"/>
    <w:uiPriority w:val="99"/>
    <w:semiHidden/>
    <w:unhideWhenUsed/>
    <w:rsid w:val="00ED5B2D"/>
  </w:style>
  <w:style w:type="numbering" w:customStyle="1" w:styleId="NoList31">
    <w:name w:val="No List31"/>
    <w:next w:val="Bezseznamu"/>
    <w:uiPriority w:val="99"/>
    <w:semiHidden/>
    <w:unhideWhenUsed/>
    <w:rsid w:val="00ED5B2D"/>
  </w:style>
  <w:style w:type="numbering" w:customStyle="1" w:styleId="NoList41">
    <w:name w:val="No List41"/>
    <w:next w:val="Bezseznamu"/>
    <w:uiPriority w:val="99"/>
    <w:semiHidden/>
    <w:unhideWhenUsed/>
    <w:rsid w:val="00ED5B2D"/>
  </w:style>
  <w:style w:type="numbering" w:customStyle="1" w:styleId="NoList51">
    <w:name w:val="No List51"/>
    <w:next w:val="Bezseznamu"/>
    <w:uiPriority w:val="99"/>
    <w:semiHidden/>
    <w:unhideWhenUsed/>
    <w:rsid w:val="00ED5B2D"/>
  </w:style>
  <w:style w:type="numbering" w:customStyle="1" w:styleId="NoList61">
    <w:name w:val="No List61"/>
    <w:next w:val="Bezseznamu"/>
    <w:uiPriority w:val="99"/>
    <w:semiHidden/>
    <w:unhideWhenUsed/>
    <w:rsid w:val="00ED5B2D"/>
  </w:style>
  <w:style w:type="numbering" w:customStyle="1" w:styleId="Bezseznamu2">
    <w:name w:val="Bez seznamu2"/>
    <w:next w:val="Bezseznamu"/>
    <w:uiPriority w:val="99"/>
    <w:semiHidden/>
    <w:unhideWhenUsed/>
    <w:rsid w:val="00DC1795"/>
  </w:style>
  <w:style w:type="table" w:customStyle="1" w:styleId="TabulkaRIA1">
    <w:name w:val="Tabulka RIA1"/>
    <w:basedOn w:val="Normlntabulka"/>
    <w:uiPriority w:val="99"/>
    <w:rsid w:val="00DC1795"/>
    <w:rPr>
      <w:rFonts w:eastAsia="Calibri"/>
      <w:sz w:val="18"/>
      <w:lang w:eastAsia="en-US"/>
    </w:rPr>
    <w:tblPr>
      <w:tblBorders>
        <w:bottom w:val="single" w:sz="4" w:space="0" w:color="auto"/>
      </w:tblBorders>
    </w:tblPr>
    <w:tblStylePr w:type="firstRow">
      <w:pPr>
        <w:jc w:val="center"/>
      </w:pPr>
      <w:rPr>
        <w:rFonts w:ascii="Calibri" w:hAnsi="Calibri"/>
        <w:b/>
        <w:color w:val="FFFFFF"/>
        <w:sz w:val="18"/>
      </w:rPr>
      <w:tblPr/>
      <w:tcPr>
        <w:shd w:val="clear" w:color="auto" w:fill="B6B002"/>
        <w:vAlign w:val="center"/>
      </w:tcPr>
    </w:tblStylePr>
    <w:tblStylePr w:type="firstCol">
      <w:pPr>
        <w:jc w:val="left"/>
      </w:pPr>
      <w:rPr>
        <w:rFonts w:ascii="Calibri" w:hAnsi="Calibri"/>
        <w:b/>
        <w:sz w:val="18"/>
      </w:rPr>
      <w:tblPr/>
      <w:tcPr>
        <w:tcBorders>
          <w:top w:val="nil"/>
          <w:left w:val="nil"/>
          <w:bottom w:val="single" w:sz="4" w:space="0" w:color="auto"/>
          <w:right w:val="nil"/>
          <w:insideH w:val="nil"/>
          <w:insideV w:val="nil"/>
          <w:tl2br w:val="nil"/>
          <w:tr2bl w:val="nil"/>
        </w:tcBorders>
      </w:tcPr>
    </w:tblStylePr>
  </w:style>
  <w:style w:type="numbering" w:customStyle="1" w:styleId="NoList12">
    <w:name w:val="No List12"/>
    <w:next w:val="Bezseznamu"/>
    <w:semiHidden/>
    <w:rsid w:val="00DC1795"/>
  </w:style>
  <w:style w:type="numbering" w:customStyle="1" w:styleId="NoList22">
    <w:name w:val="No List22"/>
    <w:next w:val="Bezseznamu"/>
    <w:uiPriority w:val="99"/>
    <w:semiHidden/>
    <w:unhideWhenUsed/>
    <w:rsid w:val="00DC1795"/>
  </w:style>
  <w:style w:type="numbering" w:customStyle="1" w:styleId="NoList32">
    <w:name w:val="No List32"/>
    <w:next w:val="Bezseznamu"/>
    <w:uiPriority w:val="99"/>
    <w:semiHidden/>
    <w:unhideWhenUsed/>
    <w:rsid w:val="00DC1795"/>
  </w:style>
  <w:style w:type="numbering" w:customStyle="1" w:styleId="NoList42">
    <w:name w:val="No List42"/>
    <w:next w:val="Bezseznamu"/>
    <w:uiPriority w:val="99"/>
    <w:semiHidden/>
    <w:unhideWhenUsed/>
    <w:rsid w:val="00DC1795"/>
  </w:style>
  <w:style w:type="numbering" w:customStyle="1" w:styleId="NoList52">
    <w:name w:val="No List52"/>
    <w:next w:val="Bezseznamu"/>
    <w:uiPriority w:val="99"/>
    <w:semiHidden/>
    <w:unhideWhenUsed/>
    <w:rsid w:val="00DC1795"/>
  </w:style>
  <w:style w:type="numbering" w:customStyle="1" w:styleId="NoList62">
    <w:name w:val="No List62"/>
    <w:next w:val="Bezseznamu"/>
    <w:uiPriority w:val="99"/>
    <w:semiHidden/>
    <w:unhideWhenUsed/>
    <w:rsid w:val="00DC1795"/>
  </w:style>
  <w:style w:type="paragraph" w:customStyle="1" w:styleId="Odstavecseseznamem3">
    <w:name w:val="Odstavec se seznamem3"/>
    <w:basedOn w:val="Normln"/>
    <w:uiPriority w:val="34"/>
    <w:qFormat/>
    <w:rsid w:val="008D45B4"/>
    <w:pPr>
      <w:spacing w:after="120"/>
      <w:ind w:left="720"/>
    </w:pPr>
    <w:rPr>
      <w:noProof w:val="0"/>
      <w:lang w:bidi="ar-SA"/>
    </w:rPr>
  </w:style>
  <w:style w:type="paragraph" w:customStyle="1" w:styleId="Odstavecseseznamem4">
    <w:name w:val="Odstavec se seznamem4"/>
    <w:basedOn w:val="Normln"/>
    <w:link w:val="ListParagraphChar"/>
    <w:uiPriority w:val="99"/>
    <w:qFormat/>
    <w:rsid w:val="00261D77"/>
    <w:pPr>
      <w:ind w:left="720"/>
      <w:contextualSpacing/>
    </w:pPr>
  </w:style>
  <w:style w:type="character" w:customStyle="1" w:styleId="ListParagraphChar">
    <w:name w:val="List Paragraph Char"/>
    <w:link w:val="Odstavecseseznamem4"/>
    <w:uiPriority w:val="99"/>
    <w:rsid w:val="00261D77"/>
    <w:rPr>
      <w:rFonts w:ascii="Arial" w:hAnsi="Arial"/>
      <w:noProof/>
      <w:sz w:val="22"/>
      <w:szCs w:val="24"/>
      <w:lang w:eastAsia="en-US" w:bidi="en-US"/>
    </w:rPr>
  </w:style>
  <w:style w:type="table" w:customStyle="1" w:styleId="Mkatabulky1">
    <w:name w:val="Mřížka tabulky1"/>
    <w:basedOn w:val="Normlntabulka"/>
    <w:next w:val="Mkatabulky"/>
    <w:uiPriority w:val="59"/>
    <w:rsid w:val="006F6AD2"/>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2">
    <w:name w:val="Mřížka tabulky2"/>
    <w:basedOn w:val="Normlntabulka"/>
    <w:next w:val="Mkatabulky"/>
    <w:uiPriority w:val="59"/>
    <w:rsid w:val="007E39E4"/>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3">
    <w:name w:val="Mřížka tabulky3"/>
    <w:basedOn w:val="Normlntabulka"/>
    <w:next w:val="Mkatabulky"/>
    <w:uiPriority w:val="59"/>
    <w:rsid w:val="007E39E4"/>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4">
    <w:name w:val="Mřížka tabulky4"/>
    <w:basedOn w:val="Normlntabulka"/>
    <w:next w:val="Mkatabulky"/>
    <w:uiPriority w:val="59"/>
    <w:rsid w:val="00A00F73"/>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5">
    <w:name w:val="Mřížka tabulky5"/>
    <w:basedOn w:val="Normlntabulka"/>
    <w:next w:val="Mkatabulky"/>
    <w:uiPriority w:val="59"/>
    <w:rsid w:val="00A00F73"/>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6">
    <w:name w:val="Mřížka tabulky6"/>
    <w:basedOn w:val="Normlntabulka"/>
    <w:next w:val="Mkatabulky"/>
    <w:uiPriority w:val="59"/>
    <w:rsid w:val="00D51B4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7">
    <w:name w:val="Mřížka tabulky7"/>
    <w:basedOn w:val="Normlntabulka"/>
    <w:next w:val="Mkatabulky"/>
    <w:uiPriority w:val="59"/>
    <w:rsid w:val="00D51B4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8">
    <w:name w:val="Mřížka tabulky8"/>
    <w:basedOn w:val="Normlntabulka"/>
    <w:next w:val="Mkatabulky"/>
    <w:uiPriority w:val="59"/>
    <w:rsid w:val="00384FC8"/>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9">
    <w:name w:val="Mřížka tabulky9"/>
    <w:basedOn w:val="Normlntabulka"/>
    <w:next w:val="Mkatabulky"/>
    <w:uiPriority w:val="59"/>
    <w:rsid w:val="00A3666B"/>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0">
    <w:name w:val="Mřížka tabulky10"/>
    <w:basedOn w:val="Normlntabulka"/>
    <w:next w:val="Mkatabulky"/>
    <w:uiPriority w:val="59"/>
    <w:rsid w:val="006127F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1">
    <w:name w:val="Mřížka tabulky11"/>
    <w:basedOn w:val="Normlntabulka"/>
    <w:next w:val="Mkatabulky"/>
    <w:uiPriority w:val="59"/>
    <w:rsid w:val="006127F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2">
    <w:name w:val="Mřížka tabulky12"/>
    <w:basedOn w:val="Normlntabulka"/>
    <w:next w:val="Mkatabulky"/>
    <w:uiPriority w:val="59"/>
    <w:rsid w:val="00D2350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3">
    <w:name w:val="Mřížka tabulky13"/>
    <w:basedOn w:val="Normlntabulka"/>
    <w:next w:val="Mkatabulky"/>
    <w:uiPriority w:val="59"/>
    <w:rsid w:val="00D2350A"/>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4">
    <w:name w:val="Mřížka tabulky14"/>
    <w:basedOn w:val="Normlntabulka"/>
    <w:next w:val="Mkatabulky"/>
    <w:uiPriority w:val="59"/>
    <w:rsid w:val="00CB13D7"/>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5">
    <w:name w:val="Mřížka tabulky15"/>
    <w:basedOn w:val="Normlntabulka"/>
    <w:next w:val="Mkatabulky"/>
    <w:uiPriority w:val="59"/>
    <w:rsid w:val="000B721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6">
    <w:name w:val="Mřížka tabulky16"/>
    <w:basedOn w:val="Normlntabulka"/>
    <w:next w:val="Mkatabulky"/>
    <w:uiPriority w:val="59"/>
    <w:rsid w:val="000B721E"/>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7">
    <w:name w:val="Mřížka tabulky17"/>
    <w:basedOn w:val="Normlntabulka"/>
    <w:next w:val="Mkatabulky"/>
    <w:uiPriority w:val="59"/>
    <w:rsid w:val="008867C1"/>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katabulky18">
    <w:name w:val="Mřížka tabulky18"/>
    <w:basedOn w:val="Normlntabulka"/>
    <w:next w:val="Mkatabulky"/>
    <w:uiPriority w:val="59"/>
    <w:rsid w:val="008867C1"/>
    <w:rPr>
      <w:rFonts w:ascii="Times New Roman" w:eastAsia="MS Mincho"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tlmka1">
    <w:name w:val="Světlá mřížka1"/>
    <w:basedOn w:val="Normlntabulka"/>
    <w:uiPriority w:val="62"/>
    <w:rsid w:val="004D1EE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lnky">
    <w:name w:val="Články"/>
    <w:basedOn w:val="Normln"/>
    <w:link w:val="lnkyChar"/>
    <w:qFormat/>
    <w:rsid w:val="00CC0F90"/>
    <w:pPr>
      <w:spacing w:line="240" w:lineRule="auto"/>
      <w:jc w:val="center"/>
    </w:pPr>
    <w:rPr>
      <w:noProof w:val="0"/>
      <w:lang w:val="x-none" w:eastAsia="x-none" w:bidi="ar-SA"/>
    </w:rPr>
  </w:style>
  <w:style w:type="character" w:customStyle="1" w:styleId="lnkyChar">
    <w:name w:val="Články Char"/>
    <w:link w:val="lnky"/>
    <w:rsid w:val="00CC0F90"/>
    <w:rPr>
      <w:rFonts w:ascii="Times New Roman" w:hAnsi="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587">
      <w:bodyDiv w:val="1"/>
      <w:marLeft w:val="0"/>
      <w:marRight w:val="0"/>
      <w:marTop w:val="0"/>
      <w:marBottom w:val="0"/>
      <w:divBdr>
        <w:top w:val="none" w:sz="0" w:space="0" w:color="auto"/>
        <w:left w:val="none" w:sz="0" w:space="0" w:color="auto"/>
        <w:bottom w:val="none" w:sz="0" w:space="0" w:color="auto"/>
        <w:right w:val="none" w:sz="0" w:space="0" w:color="auto"/>
      </w:divBdr>
    </w:div>
    <w:div w:id="22026986">
      <w:bodyDiv w:val="1"/>
      <w:marLeft w:val="0"/>
      <w:marRight w:val="0"/>
      <w:marTop w:val="0"/>
      <w:marBottom w:val="0"/>
      <w:divBdr>
        <w:top w:val="none" w:sz="0" w:space="0" w:color="auto"/>
        <w:left w:val="none" w:sz="0" w:space="0" w:color="auto"/>
        <w:bottom w:val="none" w:sz="0" w:space="0" w:color="auto"/>
        <w:right w:val="none" w:sz="0" w:space="0" w:color="auto"/>
      </w:divBdr>
    </w:div>
    <w:div w:id="35325296">
      <w:bodyDiv w:val="1"/>
      <w:marLeft w:val="0"/>
      <w:marRight w:val="0"/>
      <w:marTop w:val="0"/>
      <w:marBottom w:val="0"/>
      <w:divBdr>
        <w:top w:val="none" w:sz="0" w:space="0" w:color="auto"/>
        <w:left w:val="none" w:sz="0" w:space="0" w:color="auto"/>
        <w:bottom w:val="none" w:sz="0" w:space="0" w:color="auto"/>
        <w:right w:val="none" w:sz="0" w:space="0" w:color="auto"/>
      </w:divBdr>
    </w:div>
    <w:div w:id="37049943">
      <w:bodyDiv w:val="1"/>
      <w:marLeft w:val="0"/>
      <w:marRight w:val="0"/>
      <w:marTop w:val="0"/>
      <w:marBottom w:val="0"/>
      <w:divBdr>
        <w:top w:val="none" w:sz="0" w:space="0" w:color="auto"/>
        <w:left w:val="none" w:sz="0" w:space="0" w:color="auto"/>
        <w:bottom w:val="none" w:sz="0" w:space="0" w:color="auto"/>
        <w:right w:val="none" w:sz="0" w:space="0" w:color="auto"/>
      </w:divBdr>
    </w:div>
    <w:div w:id="41833173">
      <w:bodyDiv w:val="1"/>
      <w:marLeft w:val="0"/>
      <w:marRight w:val="0"/>
      <w:marTop w:val="0"/>
      <w:marBottom w:val="0"/>
      <w:divBdr>
        <w:top w:val="none" w:sz="0" w:space="0" w:color="auto"/>
        <w:left w:val="none" w:sz="0" w:space="0" w:color="auto"/>
        <w:bottom w:val="none" w:sz="0" w:space="0" w:color="auto"/>
        <w:right w:val="none" w:sz="0" w:space="0" w:color="auto"/>
      </w:divBdr>
    </w:div>
    <w:div w:id="42561021">
      <w:bodyDiv w:val="1"/>
      <w:marLeft w:val="0"/>
      <w:marRight w:val="0"/>
      <w:marTop w:val="0"/>
      <w:marBottom w:val="0"/>
      <w:divBdr>
        <w:top w:val="none" w:sz="0" w:space="0" w:color="auto"/>
        <w:left w:val="none" w:sz="0" w:space="0" w:color="auto"/>
        <w:bottom w:val="none" w:sz="0" w:space="0" w:color="auto"/>
        <w:right w:val="none" w:sz="0" w:space="0" w:color="auto"/>
      </w:divBdr>
    </w:div>
    <w:div w:id="52316695">
      <w:bodyDiv w:val="1"/>
      <w:marLeft w:val="0"/>
      <w:marRight w:val="0"/>
      <w:marTop w:val="0"/>
      <w:marBottom w:val="0"/>
      <w:divBdr>
        <w:top w:val="none" w:sz="0" w:space="0" w:color="auto"/>
        <w:left w:val="none" w:sz="0" w:space="0" w:color="auto"/>
        <w:bottom w:val="none" w:sz="0" w:space="0" w:color="auto"/>
        <w:right w:val="none" w:sz="0" w:space="0" w:color="auto"/>
      </w:divBdr>
    </w:div>
    <w:div w:id="55396256">
      <w:bodyDiv w:val="1"/>
      <w:marLeft w:val="0"/>
      <w:marRight w:val="0"/>
      <w:marTop w:val="0"/>
      <w:marBottom w:val="0"/>
      <w:divBdr>
        <w:top w:val="none" w:sz="0" w:space="0" w:color="auto"/>
        <w:left w:val="none" w:sz="0" w:space="0" w:color="auto"/>
        <w:bottom w:val="none" w:sz="0" w:space="0" w:color="auto"/>
        <w:right w:val="none" w:sz="0" w:space="0" w:color="auto"/>
      </w:divBdr>
    </w:div>
    <w:div w:id="64762863">
      <w:bodyDiv w:val="1"/>
      <w:marLeft w:val="0"/>
      <w:marRight w:val="0"/>
      <w:marTop w:val="0"/>
      <w:marBottom w:val="0"/>
      <w:divBdr>
        <w:top w:val="none" w:sz="0" w:space="0" w:color="auto"/>
        <w:left w:val="none" w:sz="0" w:space="0" w:color="auto"/>
        <w:bottom w:val="none" w:sz="0" w:space="0" w:color="auto"/>
        <w:right w:val="none" w:sz="0" w:space="0" w:color="auto"/>
      </w:divBdr>
    </w:div>
    <w:div w:id="85855073">
      <w:bodyDiv w:val="1"/>
      <w:marLeft w:val="0"/>
      <w:marRight w:val="0"/>
      <w:marTop w:val="0"/>
      <w:marBottom w:val="0"/>
      <w:divBdr>
        <w:top w:val="none" w:sz="0" w:space="0" w:color="auto"/>
        <w:left w:val="none" w:sz="0" w:space="0" w:color="auto"/>
        <w:bottom w:val="none" w:sz="0" w:space="0" w:color="auto"/>
        <w:right w:val="none" w:sz="0" w:space="0" w:color="auto"/>
      </w:divBdr>
    </w:div>
    <w:div w:id="107700121">
      <w:bodyDiv w:val="1"/>
      <w:marLeft w:val="0"/>
      <w:marRight w:val="0"/>
      <w:marTop w:val="0"/>
      <w:marBottom w:val="0"/>
      <w:divBdr>
        <w:top w:val="none" w:sz="0" w:space="0" w:color="auto"/>
        <w:left w:val="none" w:sz="0" w:space="0" w:color="auto"/>
        <w:bottom w:val="none" w:sz="0" w:space="0" w:color="auto"/>
        <w:right w:val="none" w:sz="0" w:space="0" w:color="auto"/>
      </w:divBdr>
    </w:div>
    <w:div w:id="114257078">
      <w:bodyDiv w:val="1"/>
      <w:marLeft w:val="0"/>
      <w:marRight w:val="0"/>
      <w:marTop w:val="0"/>
      <w:marBottom w:val="0"/>
      <w:divBdr>
        <w:top w:val="none" w:sz="0" w:space="0" w:color="auto"/>
        <w:left w:val="none" w:sz="0" w:space="0" w:color="auto"/>
        <w:bottom w:val="none" w:sz="0" w:space="0" w:color="auto"/>
        <w:right w:val="none" w:sz="0" w:space="0" w:color="auto"/>
      </w:divBdr>
    </w:div>
    <w:div w:id="123349066">
      <w:bodyDiv w:val="1"/>
      <w:marLeft w:val="0"/>
      <w:marRight w:val="0"/>
      <w:marTop w:val="0"/>
      <w:marBottom w:val="0"/>
      <w:divBdr>
        <w:top w:val="none" w:sz="0" w:space="0" w:color="auto"/>
        <w:left w:val="none" w:sz="0" w:space="0" w:color="auto"/>
        <w:bottom w:val="none" w:sz="0" w:space="0" w:color="auto"/>
        <w:right w:val="none" w:sz="0" w:space="0" w:color="auto"/>
      </w:divBdr>
    </w:div>
    <w:div w:id="137577370">
      <w:bodyDiv w:val="1"/>
      <w:marLeft w:val="0"/>
      <w:marRight w:val="0"/>
      <w:marTop w:val="0"/>
      <w:marBottom w:val="0"/>
      <w:divBdr>
        <w:top w:val="none" w:sz="0" w:space="0" w:color="auto"/>
        <w:left w:val="none" w:sz="0" w:space="0" w:color="auto"/>
        <w:bottom w:val="none" w:sz="0" w:space="0" w:color="auto"/>
        <w:right w:val="none" w:sz="0" w:space="0" w:color="auto"/>
      </w:divBdr>
    </w:div>
    <w:div w:id="141043135">
      <w:bodyDiv w:val="1"/>
      <w:marLeft w:val="0"/>
      <w:marRight w:val="0"/>
      <w:marTop w:val="0"/>
      <w:marBottom w:val="0"/>
      <w:divBdr>
        <w:top w:val="none" w:sz="0" w:space="0" w:color="auto"/>
        <w:left w:val="none" w:sz="0" w:space="0" w:color="auto"/>
        <w:bottom w:val="none" w:sz="0" w:space="0" w:color="auto"/>
        <w:right w:val="none" w:sz="0" w:space="0" w:color="auto"/>
      </w:divBdr>
    </w:div>
    <w:div w:id="149250006">
      <w:bodyDiv w:val="1"/>
      <w:marLeft w:val="0"/>
      <w:marRight w:val="0"/>
      <w:marTop w:val="0"/>
      <w:marBottom w:val="0"/>
      <w:divBdr>
        <w:top w:val="none" w:sz="0" w:space="0" w:color="auto"/>
        <w:left w:val="none" w:sz="0" w:space="0" w:color="auto"/>
        <w:bottom w:val="none" w:sz="0" w:space="0" w:color="auto"/>
        <w:right w:val="none" w:sz="0" w:space="0" w:color="auto"/>
      </w:divBdr>
    </w:div>
    <w:div w:id="150798828">
      <w:bodyDiv w:val="1"/>
      <w:marLeft w:val="0"/>
      <w:marRight w:val="0"/>
      <w:marTop w:val="0"/>
      <w:marBottom w:val="0"/>
      <w:divBdr>
        <w:top w:val="none" w:sz="0" w:space="0" w:color="auto"/>
        <w:left w:val="none" w:sz="0" w:space="0" w:color="auto"/>
        <w:bottom w:val="none" w:sz="0" w:space="0" w:color="auto"/>
        <w:right w:val="none" w:sz="0" w:space="0" w:color="auto"/>
      </w:divBdr>
    </w:div>
    <w:div w:id="167714916">
      <w:bodyDiv w:val="1"/>
      <w:marLeft w:val="0"/>
      <w:marRight w:val="0"/>
      <w:marTop w:val="0"/>
      <w:marBottom w:val="0"/>
      <w:divBdr>
        <w:top w:val="none" w:sz="0" w:space="0" w:color="auto"/>
        <w:left w:val="none" w:sz="0" w:space="0" w:color="auto"/>
        <w:bottom w:val="none" w:sz="0" w:space="0" w:color="auto"/>
        <w:right w:val="none" w:sz="0" w:space="0" w:color="auto"/>
      </w:divBdr>
    </w:div>
    <w:div w:id="171186713">
      <w:bodyDiv w:val="1"/>
      <w:marLeft w:val="0"/>
      <w:marRight w:val="0"/>
      <w:marTop w:val="0"/>
      <w:marBottom w:val="0"/>
      <w:divBdr>
        <w:top w:val="none" w:sz="0" w:space="0" w:color="auto"/>
        <w:left w:val="none" w:sz="0" w:space="0" w:color="auto"/>
        <w:bottom w:val="none" w:sz="0" w:space="0" w:color="auto"/>
        <w:right w:val="none" w:sz="0" w:space="0" w:color="auto"/>
      </w:divBdr>
    </w:div>
    <w:div w:id="208684010">
      <w:bodyDiv w:val="1"/>
      <w:marLeft w:val="0"/>
      <w:marRight w:val="0"/>
      <w:marTop w:val="0"/>
      <w:marBottom w:val="0"/>
      <w:divBdr>
        <w:top w:val="none" w:sz="0" w:space="0" w:color="auto"/>
        <w:left w:val="none" w:sz="0" w:space="0" w:color="auto"/>
        <w:bottom w:val="none" w:sz="0" w:space="0" w:color="auto"/>
        <w:right w:val="none" w:sz="0" w:space="0" w:color="auto"/>
      </w:divBdr>
    </w:div>
    <w:div w:id="213085916">
      <w:bodyDiv w:val="1"/>
      <w:marLeft w:val="0"/>
      <w:marRight w:val="0"/>
      <w:marTop w:val="0"/>
      <w:marBottom w:val="0"/>
      <w:divBdr>
        <w:top w:val="none" w:sz="0" w:space="0" w:color="auto"/>
        <w:left w:val="none" w:sz="0" w:space="0" w:color="auto"/>
        <w:bottom w:val="none" w:sz="0" w:space="0" w:color="auto"/>
        <w:right w:val="none" w:sz="0" w:space="0" w:color="auto"/>
      </w:divBdr>
    </w:div>
    <w:div w:id="215703573">
      <w:bodyDiv w:val="1"/>
      <w:marLeft w:val="0"/>
      <w:marRight w:val="0"/>
      <w:marTop w:val="0"/>
      <w:marBottom w:val="0"/>
      <w:divBdr>
        <w:top w:val="none" w:sz="0" w:space="0" w:color="auto"/>
        <w:left w:val="none" w:sz="0" w:space="0" w:color="auto"/>
        <w:bottom w:val="none" w:sz="0" w:space="0" w:color="auto"/>
        <w:right w:val="none" w:sz="0" w:space="0" w:color="auto"/>
      </w:divBdr>
    </w:div>
    <w:div w:id="218052144">
      <w:bodyDiv w:val="1"/>
      <w:marLeft w:val="0"/>
      <w:marRight w:val="0"/>
      <w:marTop w:val="0"/>
      <w:marBottom w:val="0"/>
      <w:divBdr>
        <w:top w:val="none" w:sz="0" w:space="0" w:color="auto"/>
        <w:left w:val="none" w:sz="0" w:space="0" w:color="auto"/>
        <w:bottom w:val="none" w:sz="0" w:space="0" w:color="auto"/>
        <w:right w:val="none" w:sz="0" w:space="0" w:color="auto"/>
      </w:divBdr>
    </w:div>
    <w:div w:id="228156185">
      <w:bodyDiv w:val="1"/>
      <w:marLeft w:val="0"/>
      <w:marRight w:val="0"/>
      <w:marTop w:val="0"/>
      <w:marBottom w:val="0"/>
      <w:divBdr>
        <w:top w:val="none" w:sz="0" w:space="0" w:color="auto"/>
        <w:left w:val="none" w:sz="0" w:space="0" w:color="auto"/>
        <w:bottom w:val="none" w:sz="0" w:space="0" w:color="auto"/>
        <w:right w:val="none" w:sz="0" w:space="0" w:color="auto"/>
      </w:divBdr>
    </w:div>
    <w:div w:id="237598303">
      <w:bodyDiv w:val="1"/>
      <w:marLeft w:val="0"/>
      <w:marRight w:val="0"/>
      <w:marTop w:val="0"/>
      <w:marBottom w:val="0"/>
      <w:divBdr>
        <w:top w:val="none" w:sz="0" w:space="0" w:color="auto"/>
        <w:left w:val="none" w:sz="0" w:space="0" w:color="auto"/>
        <w:bottom w:val="none" w:sz="0" w:space="0" w:color="auto"/>
        <w:right w:val="none" w:sz="0" w:space="0" w:color="auto"/>
      </w:divBdr>
    </w:div>
    <w:div w:id="240867967">
      <w:bodyDiv w:val="1"/>
      <w:marLeft w:val="0"/>
      <w:marRight w:val="0"/>
      <w:marTop w:val="0"/>
      <w:marBottom w:val="0"/>
      <w:divBdr>
        <w:top w:val="none" w:sz="0" w:space="0" w:color="auto"/>
        <w:left w:val="none" w:sz="0" w:space="0" w:color="auto"/>
        <w:bottom w:val="none" w:sz="0" w:space="0" w:color="auto"/>
        <w:right w:val="none" w:sz="0" w:space="0" w:color="auto"/>
      </w:divBdr>
    </w:div>
    <w:div w:id="255408975">
      <w:bodyDiv w:val="1"/>
      <w:marLeft w:val="0"/>
      <w:marRight w:val="0"/>
      <w:marTop w:val="0"/>
      <w:marBottom w:val="0"/>
      <w:divBdr>
        <w:top w:val="none" w:sz="0" w:space="0" w:color="auto"/>
        <w:left w:val="none" w:sz="0" w:space="0" w:color="auto"/>
        <w:bottom w:val="none" w:sz="0" w:space="0" w:color="auto"/>
        <w:right w:val="none" w:sz="0" w:space="0" w:color="auto"/>
      </w:divBdr>
    </w:div>
    <w:div w:id="256598166">
      <w:bodyDiv w:val="1"/>
      <w:marLeft w:val="0"/>
      <w:marRight w:val="0"/>
      <w:marTop w:val="0"/>
      <w:marBottom w:val="0"/>
      <w:divBdr>
        <w:top w:val="none" w:sz="0" w:space="0" w:color="auto"/>
        <w:left w:val="none" w:sz="0" w:space="0" w:color="auto"/>
        <w:bottom w:val="none" w:sz="0" w:space="0" w:color="auto"/>
        <w:right w:val="none" w:sz="0" w:space="0" w:color="auto"/>
      </w:divBdr>
    </w:div>
    <w:div w:id="262761232">
      <w:bodyDiv w:val="1"/>
      <w:marLeft w:val="0"/>
      <w:marRight w:val="0"/>
      <w:marTop w:val="0"/>
      <w:marBottom w:val="0"/>
      <w:divBdr>
        <w:top w:val="none" w:sz="0" w:space="0" w:color="auto"/>
        <w:left w:val="none" w:sz="0" w:space="0" w:color="auto"/>
        <w:bottom w:val="none" w:sz="0" w:space="0" w:color="auto"/>
        <w:right w:val="none" w:sz="0" w:space="0" w:color="auto"/>
      </w:divBdr>
    </w:div>
    <w:div w:id="262805617">
      <w:bodyDiv w:val="1"/>
      <w:marLeft w:val="0"/>
      <w:marRight w:val="0"/>
      <w:marTop w:val="0"/>
      <w:marBottom w:val="0"/>
      <w:divBdr>
        <w:top w:val="none" w:sz="0" w:space="0" w:color="auto"/>
        <w:left w:val="none" w:sz="0" w:space="0" w:color="auto"/>
        <w:bottom w:val="none" w:sz="0" w:space="0" w:color="auto"/>
        <w:right w:val="none" w:sz="0" w:space="0" w:color="auto"/>
      </w:divBdr>
    </w:div>
    <w:div w:id="269557400">
      <w:bodyDiv w:val="1"/>
      <w:marLeft w:val="0"/>
      <w:marRight w:val="0"/>
      <w:marTop w:val="0"/>
      <w:marBottom w:val="0"/>
      <w:divBdr>
        <w:top w:val="none" w:sz="0" w:space="0" w:color="auto"/>
        <w:left w:val="none" w:sz="0" w:space="0" w:color="auto"/>
        <w:bottom w:val="none" w:sz="0" w:space="0" w:color="auto"/>
        <w:right w:val="none" w:sz="0" w:space="0" w:color="auto"/>
      </w:divBdr>
    </w:div>
    <w:div w:id="274287426">
      <w:bodyDiv w:val="1"/>
      <w:marLeft w:val="0"/>
      <w:marRight w:val="0"/>
      <w:marTop w:val="0"/>
      <w:marBottom w:val="0"/>
      <w:divBdr>
        <w:top w:val="none" w:sz="0" w:space="0" w:color="auto"/>
        <w:left w:val="none" w:sz="0" w:space="0" w:color="auto"/>
        <w:bottom w:val="none" w:sz="0" w:space="0" w:color="auto"/>
        <w:right w:val="none" w:sz="0" w:space="0" w:color="auto"/>
      </w:divBdr>
    </w:div>
    <w:div w:id="283856041">
      <w:bodyDiv w:val="1"/>
      <w:marLeft w:val="0"/>
      <w:marRight w:val="0"/>
      <w:marTop w:val="0"/>
      <w:marBottom w:val="0"/>
      <w:divBdr>
        <w:top w:val="none" w:sz="0" w:space="0" w:color="auto"/>
        <w:left w:val="none" w:sz="0" w:space="0" w:color="auto"/>
        <w:bottom w:val="none" w:sz="0" w:space="0" w:color="auto"/>
        <w:right w:val="none" w:sz="0" w:space="0" w:color="auto"/>
      </w:divBdr>
    </w:div>
    <w:div w:id="289165734">
      <w:bodyDiv w:val="1"/>
      <w:marLeft w:val="0"/>
      <w:marRight w:val="0"/>
      <w:marTop w:val="0"/>
      <w:marBottom w:val="0"/>
      <w:divBdr>
        <w:top w:val="none" w:sz="0" w:space="0" w:color="auto"/>
        <w:left w:val="none" w:sz="0" w:space="0" w:color="auto"/>
        <w:bottom w:val="none" w:sz="0" w:space="0" w:color="auto"/>
        <w:right w:val="none" w:sz="0" w:space="0" w:color="auto"/>
      </w:divBdr>
    </w:div>
    <w:div w:id="296498697">
      <w:bodyDiv w:val="1"/>
      <w:marLeft w:val="0"/>
      <w:marRight w:val="0"/>
      <w:marTop w:val="0"/>
      <w:marBottom w:val="0"/>
      <w:divBdr>
        <w:top w:val="none" w:sz="0" w:space="0" w:color="auto"/>
        <w:left w:val="none" w:sz="0" w:space="0" w:color="auto"/>
        <w:bottom w:val="none" w:sz="0" w:space="0" w:color="auto"/>
        <w:right w:val="none" w:sz="0" w:space="0" w:color="auto"/>
      </w:divBdr>
    </w:div>
    <w:div w:id="305401501">
      <w:bodyDiv w:val="1"/>
      <w:marLeft w:val="0"/>
      <w:marRight w:val="0"/>
      <w:marTop w:val="0"/>
      <w:marBottom w:val="0"/>
      <w:divBdr>
        <w:top w:val="none" w:sz="0" w:space="0" w:color="auto"/>
        <w:left w:val="none" w:sz="0" w:space="0" w:color="auto"/>
        <w:bottom w:val="none" w:sz="0" w:space="0" w:color="auto"/>
        <w:right w:val="none" w:sz="0" w:space="0" w:color="auto"/>
      </w:divBdr>
    </w:div>
    <w:div w:id="310330036">
      <w:bodyDiv w:val="1"/>
      <w:marLeft w:val="0"/>
      <w:marRight w:val="0"/>
      <w:marTop w:val="0"/>
      <w:marBottom w:val="0"/>
      <w:divBdr>
        <w:top w:val="none" w:sz="0" w:space="0" w:color="auto"/>
        <w:left w:val="none" w:sz="0" w:space="0" w:color="auto"/>
        <w:bottom w:val="none" w:sz="0" w:space="0" w:color="auto"/>
        <w:right w:val="none" w:sz="0" w:space="0" w:color="auto"/>
      </w:divBdr>
    </w:div>
    <w:div w:id="326054921">
      <w:bodyDiv w:val="1"/>
      <w:marLeft w:val="0"/>
      <w:marRight w:val="0"/>
      <w:marTop w:val="0"/>
      <w:marBottom w:val="0"/>
      <w:divBdr>
        <w:top w:val="none" w:sz="0" w:space="0" w:color="auto"/>
        <w:left w:val="none" w:sz="0" w:space="0" w:color="auto"/>
        <w:bottom w:val="none" w:sz="0" w:space="0" w:color="auto"/>
        <w:right w:val="none" w:sz="0" w:space="0" w:color="auto"/>
      </w:divBdr>
    </w:div>
    <w:div w:id="336539522">
      <w:bodyDiv w:val="1"/>
      <w:marLeft w:val="0"/>
      <w:marRight w:val="0"/>
      <w:marTop w:val="0"/>
      <w:marBottom w:val="0"/>
      <w:divBdr>
        <w:top w:val="none" w:sz="0" w:space="0" w:color="auto"/>
        <w:left w:val="none" w:sz="0" w:space="0" w:color="auto"/>
        <w:bottom w:val="none" w:sz="0" w:space="0" w:color="auto"/>
        <w:right w:val="none" w:sz="0" w:space="0" w:color="auto"/>
      </w:divBdr>
    </w:div>
    <w:div w:id="339358849">
      <w:bodyDiv w:val="1"/>
      <w:marLeft w:val="0"/>
      <w:marRight w:val="0"/>
      <w:marTop w:val="0"/>
      <w:marBottom w:val="0"/>
      <w:divBdr>
        <w:top w:val="none" w:sz="0" w:space="0" w:color="auto"/>
        <w:left w:val="none" w:sz="0" w:space="0" w:color="auto"/>
        <w:bottom w:val="none" w:sz="0" w:space="0" w:color="auto"/>
        <w:right w:val="none" w:sz="0" w:space="0" w:color="auto"/>
      </w:divBdr>
    </w:div>
    <w:div w:id="354159488">
      <w:bodyDiv w:val="1"/>
      <w:marLeft w:val="0"/>
      <w:marRight w:val="0"/>
      <w:marTop w:val="0"/>
      <w:marBottom w:val="0"/>
      <w:divBdr>
        <w:top w:val="none" w:sz="0" w:space="0" w:color="auto"/>
        <w:left w:val="none" w:sz="0" w:space="0" w:color="auto"/>
        <w:bottom w:val="none" w:sz="0" w:space="0" w:color="auto"/>
        <w:right w:val="none" w:sz="0" w:space="0" w:color="auto"/>
      </w:divBdr>
    </w:div>
    <w:div w:id="356584516">
      <w:bodyDiv w:val="1"/>
      <w:marLeft w:val="0"/>
      <w:marRight w:val="0"/>
      <w:marTop w:val="0"/>
      <w:marBottom w:val="0"/>
      <w:divBdr>
        <w:top w:val="none" w:sz="0" w:space="0" w:color="auto"/>
        <w:left w:val="none" w:sz="0" w:space="0" w:color="auto"/>
        <w:bottom w:val="none" w:sz="0" w:space="0" w:color="auto"/>
        <w:right w:val="none" w:sz="0" w:space="0" w:color="auto"/>
      </w:divBdr>
    </w:div>
    <w:div w:id="359553961">
      <w:bodyDiv w:val="1"/>
      <w:marLeft w:val="0"/>
      <w:marRight w:val="0"/>
      <w:marTop w:val="0"/>
      <w:marBottom w:val="0"/>
      <w:divBdr>
        <w:top w:val="none" w:sz="0" w:space="0" w:color="auto"/>
        <w:left w:val="none" w:sz="0" w:space="0" w:color="auto"/>
        <w:bottom w:val="none" w:sz="0" w:space="0" w:color="auto"/>
        <w:right w:val="none" w:sz="0" w:space="0" w:color="auto"/>
      </w:divBdr>
    </w:div>
    <w:div w:id="372460222">
      <w:bodyDiv w:val="1"/>
      <w:marLeft w:val="0"/>
      <w:marRight w:val="0"/>
      <w:marTop w:val="0"/>
      <w:marBottom w:val="0"/>
      <w:divBdr>
        <w:top w:val="none" w:sz="0" w:space="0" w:color="auto"/>
        <w:left w:val="none" w:sz="0" w:space="0" w:color="auto"/>
        <w:bottom w:val="none" w:sz="0" w:space="0" w:color="auto"/>
        <w:right w:val="none" w:sz="0" w:space="0" w:color="auto"/>
      </w:divBdr>
    </w:div>
    <w:div w:id="376242558">
      <w:bodyDiv w:val="1"/>
      <w:marLeft w:val="0"/>
      <w:marRight w:val="0"/>
      <w:marTop w:val="0"/>
      <w:marBottom w:val="0"/>
      <w:divBdr>
        <w:top w:val="none" w:sz="0" w:space="0" w:color="auto"/>
        <w:left w:val="none" w:sz="0" w:space="0" w:color="auto"/>
        <w:bottom w:val="none" w:sz="0" w:space="0" w:color="auto"/>
        <w:right w:val="none" w:sz="0" w:space="0" w:color="auto"/>
      </w:divBdr>
    </w:div>
    <w:div w:id="379205621">
      <w:bodyDiv w:val="1"/>
      <w:marLeft w:val="0"/>
      <w:marRight w:val="0"/>
      <w:marTop w:val="0"/>
      <w:marBottom w:val="0"/>
      <w:divBdr>
        <w:top w:val="none" w:sz="0" w:space="0" w:color="auto"/>
        <w:left w:val="none" w:sz="0" w:space="0" w:color="auto"/>
        <w:bottom w:val="none" w:sz="0" w:space="0" w:color="auto"/>
        <w:right w:val="none" w:sz="0" w:space="0" w:color="auto"/>
      </w:divBdr>
    </w:div>
    <w:div w:id="398600130">
      <w:bodyDiv w:val="1"/>
      <w:marLeft w:val="0"/>
      <w:marRight w:val="0"/>
      <w:marTop w:val="0"/>
      <w:marBottom w:val="0"/>
      <w:divBdr>
        <w:top w:val="none" w:sz="0" w:space="0" w:color="auto"/>
        <w:left w:val="none" w:sz="0" w:space="0" w:color="auto"/>
        <w:bottom w:val="none" w:sz="0" w:space="0" w:color="auto"/>
        <w:right w:val="none" w:sz="0" w:space="0" w:color="auto"/>
      </w:divBdr>
    </w:div>
    <w:div w:id="410736095">
      <w:bodyDiv w:val="1"/>
      <w:marLeft w:val="0"/>
      <w:marRight w:val="0"/>
      <w:marTop w:val="0"/>
      <w:marBottom w:val="0"/>
      <w:divBdr>
        <w:top w:val="none" w:sz="0" w:space="0" w:color="auto"/>
        <w:left w:val="none" w:sz="0" w:space="0" w:color="auto"/>
        <w:bottom w:val="none" w:sz="0" w:space="0" w:color="auto"/>
        <w:right w:val="none" w:sz="0" w:space="0" w:color="auto"/>
      </w:divBdr>
    </w:div>
    <w:div w:id="448278616">
      <w:bodyDiv w:val="1"/>
      <w:marLeft w:val="0"/>
      <w:marRight w:val="0"/>
      <w:marTop w:val="0"/>
      <w:marBottom w:val="0"/>
      <w:divBdr>
        <w:top w:val="none" w:sz="0" w:space="0" w:color="auto"/>
        <w:left w:val="none" w:sz="0" w:space="0" w:color="auto"/>
        <w:bottom w:val="none" w:sz="0" w:space="0" w:color="auto"/>
        <w:right w:val="none" w:sz="0" w:space="0" w:color="auto"/>
      </w:divBdr>
    </w:div>
    <w:div w:id="457265011">
      <w:bodyDiv w:val="1"/>
      <w:marLeft w:val="0"/>
      <w:marRight w:val="0"/>
      <w:marTop w:val="0"/>
      <w:marBottom w:val="0"/>
      <w:divBdr>
        <w:top w:val="none" w:sz="0" w:space="0" w:color="auto"/>
        <w:left w:val="none" w:sz="0" w:space="0" w:color="auto"/>
        <w:bottom w:val="none" w:sz="0" w:space="0" w:color="auto"/>
        <w:right w:val="none" w:sz="0" w:space="0" w:color="auto"/>
      </w:divBdr>
    </w:div>
    <w:div w:id="460730915">
      <w:bodyDiv w:val="1"/>
      <w:marLeft w:val="0"/>
      <w:marRight w:val="0"/>
      <w:marTop w:val="0"/>
      <w:marBottom w:val="0"/>
      <w:divBdr>
        <w:top w:val="none" w:sz="0" w:space="0" w:color="auto"/>
        <w:left w:val="none" w:sz="0" w:space="0" w:color="auto"/>
        <w:bottom w:val="none" w:sz="0" w:space="0" w:color="auto"/>
        <w:right w:val="none" w:sz="0" w:space="0" w:color="auto"/>
      </w:divBdr>
    </w:div>
    <w:div w:id="465969457">
      <w:bodyDiv w:val="1"/>
      <w:marLeft w:val="0"/>
      <w:marRight w:val="0"/>
      <w:marTop w:val="0"/>
      <w:marBottom w:val="0"/>
      <w:divBdr>
        <w:top w:val="none" w:sz="0" w:space="0" w:color="auto"/>
        <w:left w:val="none" w:sz="0" w:space="0" w:color="auto"/>
        <w:bottom w:val="none" w:sz="0" w:space="0" w:color="auto"/>
        <w:right w:val="none" w:sz="0" w:space="0" w:color="auto"/>
      </w:divBdr>
    </w:div>
    <w:div w:id="466509120">
      <w:bodyDiv w:val="1"/>
      <w:marLeft w:val="0"/>
      <w:marRight w:val="0"/>
      <w:marTop w:val="0"/>
      <w:marBottom w:val="0"/>
      <w:divBdr>
        <w:top w:val="none" w:sz="0" w:space="0" w:color="auto"/>
        <w:left w:val="none" w:sz="0" w:space="0" w:color="auto"/>
        <w:bottom w:val="none" w:sz="0" w:space="0" w:color="auto"/>
        <w:right w:val="none" w:sz="0" w:space="0" w:color="auto"/>
      </w:divBdr>
    </w:div>
    <w:div w:id="467669721">
      <w:bodyDiv w:val="1"/>
      <w:marLeft w:val="0"/>
      <w:marRight w:val="0"/>
      <w:marTop w:val="0"/>
      <w:marBottom w:val="0"/>
      <w:divBdr>
        <w:top w:val="none" w:sz="0" w:space="0" w:color="auto"/>
        <w:left w:val="none" w:sz="0" w:space="0" w:color="auto"/>
        <w:bottom w:val="none" w:sz="0" w:space="0" w:color="auto"/>
        <w:right w:val="none" w:sz="0" w:space="0" w:color="auto"/>
      </w:divBdr>
    </w:div>
    <w:div w:id="476413616">
      <w:bodyDiv w:val="1"/>
      <w:marLeft w:val="0"/>
      <w:marRight w:val="0"/>
      <w:marTop w:val="0"/>
      <w:marBottom w:val="0"/>
      <w:divBdr>
        <w:top w:val="none" w:sz="0" w:space="0" w:color="auto"/>
        <w:left w:val="none" w:sz="0" w:space="0" w:color="auto"/>
        <w:bottom w:val="none" w:sz="0" w:space="0" w:color="auto"/>
        <w:right w:val="none" w:sz="0" w:space="0" w:color="auto"/>
      </w:divBdr>
    </w:div>
    <w:div w:id="485710893">
      <w:bodyDiv w:val="1"/>
      <w:marLeft w:val="0"/>
      <w:marRight w:val="0"/>
      <w:marTop w:val="0"/>
      <w:marBottom w:val="0"/>
      <w:divBdr>
        <w:top w:val="none" w:sz="0" w:space="0" w:color="auto"/>
        <w:left w:val="none" w:sz="0" w:space="0" w:color="auto"/>
        <w:bottom w:val="none" w:sz="0" w:space="0" w:color="auto"/>
        <w:right w:val="none" w:sz="0" w:space="0" w:color="auto"/>
      </w:divBdr>
    </w:div>
    <w:div w:id="503474088">
      <w:bodyDiv w:val="1"/>
      <w:marLeft w:val="0"/>
      <w:marRight w:val="0"/>
      <w:marTop w:val="0"/>
      <w:marBottom w:val="0"/>
      <w:divBdr>
        <w:top w:val="none" w:sz="0" w:space="0" w:color="auto"/>
        <w:left w:val="none" w:sz="0" w:space="0" w:color="auto"/>
        <w:bottom w:val="none" w:sz="0" w:space="0" w:color="auto"/>
        <w:right w:val="none" w:sz="0" w:space="0" w:color="auto"/>
      </w:divBdr>
    </w:div>
    <w:div w:id="505678622">
      <w:bodyDiv w:val="1"/>
      <w:marLeft w:val="0"/>
      <w:marRight w:val="0"/>
      <w:marTop w:val="0"/>
      <w:marBottom w:val="0"/>
      <w:divBdr>
        <w:top w:val="none" w:sz="0" w:space="0" w:color="auto"/>
        <w:left w:val="none" w:sz="0" w:space="0" w:color="auto"/>
        <w:bottom w:val="none" w:sz="0" w:space="0" w:color="auto"/>
        <w:right w:val="none" w:sz="0" w:space="0" w:color="auto"/>
      </w:divBdr>
    </w:div>
    <w:div w:id="507328613">
      <w:bodyDiv w:val="1"/>
      <w:marLeft w:val="0"/>
      <w:marRight w:val="0"/>
      <w:marTop w:val="0"/>
      <w:marBottom w:val="0"/>
      <w:divBdr>
        <w:top w:val="none" w:sz="0" w:space="0" w:color="auto"/>
        <w:left w:val="none" w:sz="0" w:space="0" w:color="auto"/>
        <w:bottom w:val="none" w:sz="0" w:space="0" w:color="auto"/>
        <w:right w:val="none" w:sz="0" w:space="0" w:color="auto"/>
      </w:divBdr>
    </w:div>
    <w:div w:id="511531446">
      <w:bodyDiv w:val="1"/>
      <w:marLeft w:val="0"/>
      <w:marRight w:val="0"/>
      <w:marTop w:val="0"/>
      <w:marBottom w:val="0"/>
      <w:divBdr>
        <w:top w:val="none" w:sz="0" w:space="0" w:color="auto"/>
        <w:left w:val="none" w:sz="0" w:space="0" w:color="auto"/>
        <w:bottom w:val="none" w:sz="0" w:space="0" w:color="auto"/>
        <w:right w:val="none" w:sz="0" w:space="0" w:color="auto"/>
      </w:divBdr>
    </w:div>
    <w:div w:id="516621980">
      <w:bodyDiv w:val="1"/>
      <w:marLeft w:val="0"/>
      <w:marRight w:val="0"/>
      <w:marTop w:val="0"/>
      <w:marBottom w:val="0"/>
      <w:divBdr>
        <w:top w:val="none" w:sz="0" w:space="0" w:color="auto"/>
        <w:left w:val="none" w:sz="0" w:space="0" w:color="auto"/>
        <w:bottom w:val="none" w:sz="0" w:space="0" w:color="auto"/>
        <w:right w:val="none" w:sz="0" w:space="0" w:color="auto"/>
      </w:divBdr>
    </w:div>
    <w:div w:id="545070929">
      <w:bodyDiv w:val="1"/>
      <w:marLeft w:val="0"/>
      <w:marRight w:val="0"/>
      <w:marTop w:val="0"/>
      <w:marBottom w:val="0"/>
      <w:divBdr>
        <w:top w:val="none" w:sz="0" w:space="0" w:color="auto"/>
        <w:left w:val="none" w:sz="0" w:space="0" w:color="auto"/>
        <w:bottom w:val="none" w:sz="0" w:space="0" w:color="auto"/>
        <w:right w:val="none" w:sz="0" w:space="0" w:color="auto"/>
      </w:divBdr>
    </w:div>
    <w:div w:id="545684825">
      <w:bodyDiv w:val="1"/>
      <w:marLeft w:val="0"/>
      <w:marRight w:val="0"/>
      <w:marTop w:val="0"/>
      <w:marBottom w:val="0"/>
      <w:divBdr>
        <w:top w:val="none" w:sz="0" w:space="0" w:color="auto"/>
        <w:left w:val="none" w:sz="0" w:space="0" w:color="auto"/>
        <w:bottom w:val="none" w:sz="0" w:space="0" w:color="auto"/>
        <w:right w:val="none" w:sz="0" w:space="0" w:color="auto"/>
      </w:divBdr>
    </w:div>
    <w:div w:id="557595575">
      <w:bodyDiv w:val="1"/>
      <w:marLeft w:val="0"/>
      <w:marRight w:val="0"/>
      <w:marTop w:val="0"/>
      <w:marBottom w:val="0"/>
      <w:divBdr>
        <w:top w:val="none" w:sz="0" w:space="0" w:color="auto"/>
        <w:left w:val="none" w:sz="0" w:space="0" w:color="auto"/>
        <w:bottom w:val="none" w:sz="0" w:space="0" w:color="auto"/>
        <w:right w:val="none" w:sz="0" w:space="0" w:color="auto"/>
      </w:divBdr>
    </w:div>
    <w:div w:id="570312557">
      <w:bodyDiv w:val="1"/>
      <w:marLeft w:val="0"/>
      <w:marRight w:val="0"/>
      <w:marTop w:val="0"/>
      <w:marBottom w:val="0"/>
      <w:divBdr>
        <w:top w:val="none" w:sz="0" w:space="0" w:color="auto"/>
        <w:left w:val="none" w:sz="0" w:space="0" w:color="auto"/>
        <w:bottom w:val="none" w:sz="0" w:space="0" w:color="auto"/>
        <w:right w:val="none" w:sz="0" w:space="0" w:color="auto"/>
      </w:divBdr>
    </w:div>
    <w:div w:id="578905546">
      <w:bodyDiv w:val="1"/>
      <w:marLeft w:val="0"/>
      <w:marRight w:val="0"/>
      <w:marTop w:val="0"/>
      <w:marBottom w:val="0"/>
      <w:divBdr>
        <w:top w:val="none" w:sz="0" w:space="0" w:color="auto"/>
        <w:left w:val="none" w:sz="0" w:space="0" w:color="auto"/>
        <w:bottom w:val="none" w:sz="0" w:space="0" w:color="auto"/>
        <w:right w:val="none" w:sz="0" w:space="0" w:color="auto"/>
      </w:divBdr>
    </w:div>
    <w:div w:id="594677961">
      <w:bodyDiv w:val="1"/>
      <w:marLeft w:val="0"/>
      <w:marRight w:val="0"/>
      <w:marTop w:val="0"/>
      <w:marBottom w:val="0"/>
      <w:divBdr>
        <w:top w:val="none" w:sz="0" w:space="0" w:color="auto"/>
        <w:left w:val="none" w:sz="0" w:space="0" w:color="auto"/>
        <w:bottom w:val="none" w:sz="0" w:space="0" w:color="auto"/>
        <w:right w:val="none" w:sz="0" w:space="0" w:color="auto"/>
      </w:divBdr>
    </w:div>
    <w:div w:id="597911376">
      <w:bodyDiv w:val="1"/>
      <w:marLeft w:val="0"/>
      <w:marRight w:val="0"/>
      <w:marTop w:val="0"/>
      <w:marBottom w:val="0"/>
      <w:divBdr>
        <w:top w:val="none" w:sz="0" w:space="0" w:color="auto"/>
        <w:left w:val="none" w:sz="0" w:space="0" w:color="auto"/>
        <w:bottom w:val="none" w:sz="0" w:space="0" w:color="auto"/>
        <w:right w:val="none" w:sz="0" w:space="0" w:color="auto"/>
      </w:divBdr>
    </w:div>
    <w:div w:id="642930110">
      <w:bodyDiv w:val="1"/>
      <w:marLeft w:val="0"/>
      <w:marRight w:val="0"/>
      <w:marTop w:val="0"/>
      <w:marBottom w:val="0"/>
      <w:divBdr>
        <w:top w:val="none" w:sz="0" w:space="0" w:color="auto"/>
        <w:left w:val="none" w:sz="0" w:space="0" w:color="auto"/>
        <w:bottom w:val="none" w:sz="0" w:space="0" w:color="auto"/>
        <w:right w:val="none" w:sz="0" w:space="0" w:color="auto"/>
      </w:divBdr>
    </w:div>
    <w:div w:id="652173728">
      <w:bodyDiv w:val="1"/>
      <w:marLeft w:val="0"/>
      <w:marRight w:val="0"/>
      <w:marTop w:val="0"/>
      <w:marBottom w:val="0"/>
      <w:divBdr>
        <w:top w:val="none" w:sz="0" w:space="0" w:color="auto"/>
        <w:left w:val="none" w:sz="0" w:space="0" w:color="auto"/>
        <w:bottom w:val="none" w:sz="0" w:space="0" w:color="auto"/>
        <w:right w:val="none" w:sz="0" w:space="0" w:color="auto"/>
      </w:divBdr>
    </w:div>
    <w:div w:id="662514248">
      <w:bodyDiv w:val="1"/>
      <w:marLeft w:val="0"/>
      <w:marRight w:val="0"/>
      <w:marTop w:val="0"/>
      <w:marBottom w:val="0"/>
      <w:divBdr>
        <w:top w:val="none" w:sz="0" w:space="0" w:color="auto"/>
        <w:left w:val="none" w:sz="0" w:space="0" w:color="auto"/>
        <w:bottom w:val="none" w:sz="0" w:space="0" w:color="auto"/>
        <w:right w:val="none" w:sz="0" w:space="0" w:color="auto"/>
      </w:divBdr>
    </w:div>
    <w:div w:id="672993006">
      <w:bodyDiv w:val="1"/>
      <w:marLeft w:val="0"/>
      <w:marRight w:val="0"/>
      <w:marTop w:val="0"/>
      <w:marBottom w:val="0"/>
      <w:divBdr>
        <w:top w:val="none" w:sz="0" w:space="0" w:color="auto"/>
        <w:left w:val="none" w:sz="0" w:space="0" w:color="auto"/>
        <w:bottom w:val="none" w:sz="0" w:space="0" w:color="auto"/>
        <w:right w:val="none" w:sz="0" w:space="0" w:color="auto"/>
      </w:divBdr>
    </w:div>
    <w:div w:id="676543992">
      <w:bodyDiv w:val="1"/>
      <w:marLeft w:val="0"/>
      <w:marRight w:val="0"/>
      <w:marTop w:val="0"/>
      <w:marBottom w:val="0"/>
      <w:divBdr>
        <w:top w:val="none" w:sz="0" w:space="0" w:color="auto"/>
        <w:left w:val="none" w:sz="0" w:space="0" w:color="auto"/>
        <w:bottom w:val="none" w:sz="0" w:space="0" w:color="auto"/>
        <w:right w:val="none" w:sz="0" w:space="0" w:color="auto"/>
      </w:divBdr>
    </w:div>
    <w:div w:id="680621666">
      <w:bodyDiv w:val="1"/>
      <w:marLeft w:val="0"/>
      <w:marRight w:val="0"/>
      <w:marTop w:val="0"/>
      <w:marBottom w:val="0"/>
      <w:divBdr>
        <w:top w:val="none" w:sz="0" w:space="0" w:color="auto"/>
        <w:left w:val="none" w:sz="0" w:space="0" w:color="auto"/>
        <w:bottom w:val="none" w:sz="0" w:space="0" w:color="auto"/>
        <w:right w:val="none" w:sz="0" w:space="0" w:color="auto"/>
      </w:divBdr>
    </w:div>
    <w:div w:id="692079082">
      <w:bodyDiv w:val="1"/>
      <w:marLeft w:val="0"/>
      <w:marRight w:val="0"/>
      <w:marTop w:val="0"/>
      <w:marBottom w:val="0"/>
      <w:divBdr>
        <w:top w:val="none" w:sz="0" w:space="0" w:color="auto"/>
        <w:left w:val="none" w:sz="0" w:space="0" w:color="auto"/>
        <w:bottom w:val="none" w:sz="0" w:space="0" w:color="auto"/>
        <w:right w:val="none" w:sz="0" w:space="0" w:color="auto"/>
      </w:divBdr>
    </w:div>
    <w:div w:id="699166894">
      <w:bodyDiv w:val="1"/>
      <w:marLeft w:val="0"/>
      <w:marRight w:val="0"/>
      <w:marTop w:val="0"/>
      <w:marBottom w:val="0"/>
      <w:divBdr>
        <w:top w:val="none" w:sz="0" w:space="0" w:color="auto"/>
        <w:left w:val="none" w:sz="0" w:space="0" w:color="auto"/>
        <w:bottom w:val="none" w:sz="0" w:space="0" w:color="auto"/>
        <w:right w:val="none" w:sz="0" w:space="0" w:color="auto"/>
      </w:divBdr>
    </w:div>
    <w:div w:id="701243418">
      <w:bodyDiv w:val="1"/>
      <w:marLeft w:val="0"/>
      <w:marRight w:val="0"/>
      <w:marTop w:val="0"/>
      <w:marBottom w:val="0"/>
      <w:divBdr>
        <w:top w:val="none" w:sz="0" w:space="0" w:color="auto"/>
        <w:left w:val="none" w:sz="0" w:space="0" w:color="auto"/>
        <w:bottom w:val="none" w:sz="0" w:space="0" w:color="auto"/>
        <w:right w:val="none" w:sz="0" w:space="0" w:color="auto"/>
      </w:divBdr>
    </w:div>
    <w:div w:id="701436582">
      <w:bodyDiv w:val="1"/>
      <w:marLeft w:val="0"/>
      <w:marRight w:val="0"/>
      <w:marTop w:val="0"/>
      <w:marBottom w:val="0"/>
      <w:divBdr>
        <w:top w:val="none" w:sz="0" w:space="0" w:color="auto"/>
        <w:left w:val="none" w:sz="0" w:space="0" w:color="auto"/>
        <w:bottom w:val="none" w:sz="0" w:space="0" w:color="auto"/>
        <w:right w:val="none" w:sz="0" w:space="0" w:color="auto"/>
      </w:divBdr>
    </w:div>
    <w:div w:id="706107777">
      <w:bodyDiv w:val="1"/>
      <w:marLeft w:val="0"/>
      <w:marRight w:val="0"/>
      <w:marTop w:val="0"/>
      <w:marBottom w:val="0"/>
      <w:divBdr>
        <w:top w:val="none" w:sz="0" w:space="0" w:color="auto"/>
        <w:left w:val="none" w:sz="0" w:space="0" w:color="auto"/>
        <w:bottom w:val="none" w:sz="0" w:space="0" w:color="auto"/>
        <w:right w:val="none" w:sz="0" w:space="0" w:color="auto"/>
      </w:divBdr>
    </w:div>
    <w:div w:id="706640795">
      <w:bodyDiv w:val="1"/>
      <w:marLeft w:val="0"/>
      <w:marRight w:val="0"/>
      <w:marTop w:val="0"/>
      <w:marBottom w:val="0"/>
      <w:divBdr>
        <w:top w:val="none" w:sz="0" w:space="0" w:color="auto"/>
        <w:left w:val="none" w:sz="0" w:space="0" w:color="auto"/>
        <w:bottom w:val="none" w:sz="0" w:space="0" w:color="auto"/>
        <w:right w:val="none" w:sz="0" w:space="0" w:color="auto"/>
      </w:divBdr>
    </w:div>
    <w:div w:id="707142940">
      <w:bodyDiv w:val="1"/>
      <w:marLeft w:val="0"/>
      <w:marRight w:val="0"/>
      <w:marTop w:val="0"/>
      <w:marBottom w:val="0"/>
      <w:divBdr>
        <w:top w:val="none" w:sz="0" w:space="0" w:color="auto"/>
        <w:left w:val="none" w:sz="0" w:space="0" w:color="auto"/>
        <w:bottom w:val="none" w:sz="0" w:space="0" w:color="auto"/>
        <w:right w:val="none" w:sz="0" w:space="0" w:color="auto"/>
      </w:divBdr>
    </w:div>
    <w:div w:id="712115287">
      <w:bodyDiv w:val="1"/>
      <w:marLeft w:val="0"/>
      <w:marRight w:val="0"/>
      <w:marTop w:val="0"/>
      <w:marBottom w:val="0"/>
      <w:divBdr>
        <w:top w:val="none" w:sz="0" w:space="0" w:color="auto"/>
        <w:left w:val="none" w:sz="0" w:space="0" w:color="auto"/>
        <w:bottom w:val="none" w:sz="0" w:space="0" w:color="auto"/>
        <w:right w:val="none" w:sz="0" w:space="0" w:color="auto"/>
      </w:divBdr>
    </w:div>
    <w:div w:id="725224027">
      <w:bodyDiv w:val="1"/>
      <w:marLeft w:val="0"/>
      <w:marRight w:val="0"/>
      <w:marTop w:val="0"/>
      <w:marBottom w:val="0"/>
      <w:divBdr>
        <w:top w:val="none" w:sz="0" w:space="0" w:color="auto"/>
        <w:left w:val="none" w:sz="0" w:space="0" w:color="auto"/>
        <w:bottom w:val="none" w:sz="0" w:space="0" w:color="auto"/>
        <w:right w:val="none" w:sz="0" w:space="0" w:color="auto"/>
      </w:divBdr>
    </w:div>
    <w:div w:id="734666487">
      <w:bodyDiv w:val="1"/>
      <w:marLeft w:val="0"/>
      <w:marRight w:val="0"/>
      <w:marTop w:val="0"/>
      <w:marBottom w:val="0"/>
      <w:divBdr>
        <w:top w:val="none" w:sz="0" w:space="0" w:color="auto"/>
        <w:left w:val="none" w:sz="0" w:space="0" w:color="auto"/>
        <w:bottom w:val="none" w:sz="0" w:space="0" w:color="auto"/>
        <w:right w:val="none" w:sz="0" w:space="0" w:color="auto"/>
      </w:divBdr>
    </w:div>
    <w:div w:id="752705462">
      <w:bodyDiv w:val="1"/>
      <w:marLeft w:val="0"/>
      <w:marRight w:val="0"/>
      <w:marTop w:val="0"/>
      <w:marBottom w:val="0"/>
      <w:divBdr>
        <w:top w:val="none" w:sz="0" w:space="0" w:color="auto"/>
        <w:left w:val="none" w:sz="0" w:space="0" w:color="auto"/>
        <w:bottom w:val="none" w:sz="0" w:space="0" w:color="auto"/>
        <w:right w:val="none" w:sz="0" w:space="0" w:color="auto"/>
      </w:divBdr>
    </w:div>
    <w:div w:id="761683761">
      <w:bodyDiv w:val="1"/>
      <w:marLeft w:val="0"/>
      <w:marRight w:val="0"/>
      <w:marTop w:val="0"/>
      <w:marBottom w:val="0"/>
      <w:divBdr>
        <w:top w:val="none" w:sz="0" w:space="0" w:color="auto"/>
        <w:left w:val="none" w:sz="0" w:space="0" w:color="auto"/>
        <w:bottom w:val="none" w:sz="0" w:space="0" w:color="auto"/>
        <w:right w:val="none" w:sz="0" w:space="0" w:color="auto"/>
      </w:divBdr>
    </w:div>
    <w:div w:id="769157680">
      <w:bodyDiv w:val="1"/>
      <w:marLeft w:val="0"/>
      <w:marRight w:val="0"/>
      <w:marTop w:val="0"/>
      <w:marBottom w:val="0"/>
      <w:divBdr>
        <w:top w:val="none" w:sz="0" w:space="0" w:color="auto"/>
        <w:left w:val="none" w:sz="0" w:space="0" w:color="auto"/>
        <w:bottom w:val="none" w:sz="0" w:space="0" w:color="auto"/>
        <w:right w:val="none" w:sz="0" w:space="0" w:color="auto"/>
      </w:divBdr>
    </w:div>
    <w:div w:id="770780625">
      <w:bodyDiv w:val="1"/>
      <w:marLeft w:val="0"/>
      <w:marRight w:val="0"/>
      <w:marTop w:val="0"/>
      <w:marBottom w:val="0"/>
      <w:divBdr>
        <w:top w:val="none" w:sz="0" w:space="0" w:color="auto"/>
        <w:left w:val="none" w:sz="0" w:space="0" w:color="auto"/>
        <w:bottom w:val="none" w:sz="0" w:space="0" w:color="auto"/>
        <w:right w:val="none" w:sz="0" w:space="0" w:color="auto"/>
      </w:divBdr>
    </w:div>
    <w:div w:id="780032154">
      <w:bodyDiv w:val="1"/>
      <w:marLeft w:val="0"/>
      <w:marRight w:val="0"/>
      <w:marTop w:val="0"/>
      <w:marBottom w:val="0"/>
      <w:divBdr>
        <w:top w:val="none" w:sz="0" w:space="0" w:color="auto"/>
        <w:left w:val="none" w:sz="0" w:space="0" w:color="auto"/>
        <w:bottom w:val="none" w:sz="0" w:space="0" w:color="auto"/>
        <w:right w:val="none" w:sz="0" w:space="0" w:color="auto"/>
      </w:divBdr>
    </w:div>
    <w:div w:id="784151162">
      <w:bodyDiv w:val="1"/>
      <w:marLeft w:val="0"/>
      <w:marRight w:val="0"/>
      <w:marTop w:val="0"/>
      <w:marBottom w:val="0"/>
      <w:divBdr>
        <w:top w:val="none" w:sz="0" w:space="0" w:color="auto"/>
        <w:left w:val="none" w:sz="0" w:space="0" w:color="auto"/>
        <w:bottom w:val="none" w:sz="0" w:space="0" w:color="auto"/>
        <w:right w:val="none" w:sz="0" w:space="0" w:color="auto"/>
      </w:divBdr>
    </w:div>
    <w:div w:id="786464173">
      <w:bodyDiv w:val="1"/>
      <w:marLeft w:val="0"/>
      <w:marRight w:val="0"/>
      <w:marTop w:val="0"/>
      <w:marBottom w:val="0"/>
      <w:divBdr>
        <w:top w:val="none" w:sz="0" w:space="0" w:color="auto"/>
        <w:left w:val="none" w:sz="0" w:space="0" w:color="auto"/>
        <w:bottom w:val="none" w:sz="0" w:space="0" w:color="auto"/>
        <w:right w:val="none" w:sz="0" w:space="0" w:color="auto"/>
      </w:divBdr>
    </w:div>
    <w:div w:id="791167041">
      <w:bodyDiv w:val="1"/>
      <w:marLeft w:val="0"/>
      <w:marRight w:val="0"/>
      <w:marTop w:val="0"/>
      <w:marBottom w:val="0"/>
      <w:divBdr>
        <w:top w:val="none" w:sz="0" w:space="0" w:color="auto"/>
        <w:left w:val="none" w:sz="0" w:space="0" w:color="auto"/>
        <w:bottom w:val="none" w:sz="0" w:space="0" w:color="auto"/>
        <w:right w:val="none" w:sz="0" w:space="0" w:color="auto"/>
      </w:divBdr>
    </w:div>
    <w:div w:id="813525204">
      <w:bodyDiv w:val="1"/>
      <w:marLeft w:val="0"/>
      <w:marRight w:val="0"/>
      <w:marTop w:val="0"/>
      <w:marBottom w:val="0"/>
      <w:divBdr>
        <w:top w:val="none" w:sz="0" w:space="0" w:color="auto"/>
        <w:left w:val="none" w:sz="0" w:space="0" w:color="auto"/>
        <w:bottom w:val="none" w:sz="0" w:space="0" w:color="auto"/>
        <w:right w:val="none" w:sz="0" w:space="0" w:color="auto"/>
      </w:divBdr>
    </w:div>
    <w:div w:id="815881873">
      <w:bodyDiv w:val="1"/>
      <w:marLeft w:val="0"/>
      <w:marRight w:val="0"/>
      <w:marTop w:val="0"/>
      <w:marBottom w:val="0"/>
      <w:divBdr>
        <w:top w:val="none" w:sz="0" w:space="0" w:color="auto"/>
        <w:left w:val="none" w:sz="0" w:space="0" w:color="auto"/>
        <w:bottom w:val="none" w:sz="0" w:space="0" w:color="auto"/>
        <w:right w:val="none" w:sz="0" w:space="0" w:color="auto"/>
      </w:divBdr>
    </w:div>
    <w:div w:id="817692778">
      <w:bodyDiv w:val="1"/>
      <w:marLeft w:val="0"/>
      <w:marRight w:val="0"/>
      <w:marTop w:val="0"/>
      <w:marBottom w:val="0"/>
      <w:divBdr>
        <w:top w:val="none" w:sz="0" w:space="0" w:color="auto"/>
        <w:left w:val="none" w:sz="0" w:space="0" w:color="auto"/>
        <w:bottom w:val="none" w:sz="0" w:space="0" w:color="auto"/>
        <w:right w:val="none" w:sz="0" w:space="0" w:color="auto"/>
      </w:divBdr>
    </w:div>
    <w:div w:id="830679177">
      <w:bodyDiv w:val="1"/>
      <w:marLeft w:val="0"/>
      <w:marRight w:val="0"/>
      <w:marTop w:val="0"/>
      <w:marBottom w:val="0"/>
      <w:divBdr>
        <w:top w:val="none" w:sz="0" w:space="0" w:color="auto"/>
        <w:left w:val="none" w:sz="0" w:space="0" w:color="auto"/>
        <w:bottom w:val="none" w:sz="0" w:space="0" w:color="auto"/>
        <w:right w:val="none" w:sz="0" w:space="0" w:color="auto"/>
      </w:divBdr>
    </w:div>
    <w:div w:id="838815909">
      <w:bodyDiv w:val="1"/>
      <w:marLeft w:val="0"/>
      <w:marRight w:val="0"/>
      <w:marTop w:val="0"/>
      <w:marBottom w:val="0"/>
      <w:divBdr>
        <w:top w:val="none" w:sz="0" w:space="0" w:color="auto"/>
        <w:left w:val="none" w:sz="0" w:space="0" w:color="auto"/>
        <w:bottom w:val="none" w:sz="0" w:space="0" w:color="auto"/>
        <w:right w:val="none" w:sz="0" w:space="0" w:color="auto"/>
      </w:divBdr>
    </w:div>
    <w:div w:id="858617460">
      <w:bodyDiv w:val="1"/>
      <w:marLeft w:val="0"/>
      <w:marRight w:val="0"/>
      <w:marTop w:val="0"/>
      <w:marBottom w:val="0"/>
      <w:divBdr>
        <w:top w:val="none" w:sz="0" w:space="0" w:color="auto"/>
        <w:left w:val="none" w:sz="0" w:space="0" w:color="auto"/>
        <w:bottom w:val="none" w:sz="0" w:space="0" w:color="auto"/>
        <w:right w:val="none" w:sz="0" w:space="0" w:color="auto"/>
      </w:divBdr>
    </w:div>
    <w:div w:id="860047540">
      <w:bodyDiv w:val="1"/>
      <w:marLeft w:val="0"/>
      <w:marRight w:val="0"/>
      <w:marTop w:val="0"/>
      <w:marBottom w:val="0"/>
      <w:divBdr>
        <w:top w:val="none" w:sz="0" w:space="0" w:color="auto"/>
        <w:left w:val="none" w:sz="0" w:space="0" w:color="auto"/>
        <w:bottom w:val="none" w:sz="0" w:space="0" w:color="auto"/>
        <w:right w:val="none" w:sz="0" w:space="0" w:color="auto"/>
      </w:divBdr>
    </w:div>
    <w:div w:id="871040370">
      <w:bodyDiv w:val="1"/>
      <w:marLeft w:val="0"/>
      <w:marRight w:val="0"/>
      <w:marTop w:val="0"/>
      <w:marBottom w:val="0"/>
      <w:divBdr>
        <w:top w:val="none" w:sz="0" w:space="0" w:color="auto"/>
        <w:left w:val="none" w:sz="0" w:space="0" w:color="auto"/>
        <w:bottom w:val="none" w:sz="0" w:space="0" w:color="auto"/>
        <w:right w:val="none" w:sz="0" w:space="0" w:color="auto"/>
      </w:divBdr>
    </w:div>
    <w:div w:id="881743789">
      <w:bodyDiv w:val="1"/>
      <w:marLeft w:val="0"/>
      <w:marRight w:val="0"/>
      <w:marTop w:val="0"/>
      <w:marBottom w:val="0"/>
      <w:divBdr>
        <w:top w:val="none" w:sz="0" w:space="0" w:color="auto"/>
        <w:left w:val="none" w:sz="0" w:space="0" w:color="auto"/>
        <w:bottom w:val="none" w:sz="0" w:space="0" w:color="auto"/>
        <w:right w:val="none" w:sz="0" w:space="0" w:color="auto"/>
      </w:divBdr>
    </w:div>
    <w:div w:id="886141702">
      <w:bodyDiv w:val="1"/>
      <w:marLeft w:val="0"/>
      <w:marRight w:val="0"/>
      <w:marTop w:val="0"/>
      <w:marBottom w:val="0"/>
      <w:divBdr>
        <w:top w:val="none" w:sz="0" w:space="0" w:color="auto"/>
        <w:left w:val="none" w:sz="0" w:space="0" w:color="auto"/>
        <w:bottom w:val="none" w:sz="0" w:space="0" w:color="auto"/>
        <w:right w:val="none" w:sz="0" w:space="0" w:color="auto"/>
      </w:divBdr>
    </w:div>
    <w:div w:id="906064767">
      <w:bodyDiv w:val="1"/>
      <w:marLeft w:val="0"/>
      <w:marRight w:val="0"/>
      <w:marTop w:val="0"/>
      <w:marBottom w:val="0"/>
      <w:divBdr>
        <w:top w:val="none" w:sz="0" w:space="0" w:color="auto"/>
        <w:left w:val="none" w:sz="0" w:space="0" w:color="auto"/>
        <w:bottom w:val="none" w:sz="0" w:space="0" w:color="auto"/>
        <w:right w:val="none" w:sz="0" w:space="0" w:color="auto"/>
      </w:divBdr>
    </w:div>
    <w:div w:id="906768682">
      <w:bodyDiv w:val="1"/>
      <w:marLeft w:val="0"/>
      <w:marRight w:val="0"/>
      <w:marTop w:val="0"/>
      <w:marBottom w:val="0"/>
      <w:divBdr>
        <w:top w:val="none" w:sz="0" w:space="0" w:color="auto"/>
        <w:left w:val="none" w:sz="0" w:space="0" w:color="auto"/>
        <w:bottom w:val="none" w:sz="0" w:space="0" w:color="auto"/>
        <w:right w:val="none" w:sz="0" w:space="0" w:color="auto"/>
      </w:divBdr>
    </w:div>
    <w:div w:id="923801636">
      <w:bodyDiv w:val="1"/>
      <w:marLeft w:val="0"/>
      <w:marRight w:val="0"/>
      <w:marTop w:val="0"/>
      <w:marBottom w:val="0"/>
      <w:divBdr>
        <w:top w:val="none" w:sz="0" w:space="0" w:color="auto"/>
        <w:left w:val="none" w:sz="0" w:space="0" w:color="auto"/>
        <w:bottom w:val="none" w:sz="0" w:space="0" w:color="auto"/>
        <w:right w:val="none" w:sz="0" w:space="0" w:color="auto"/>
      </w:divBdr>
    </w:div>
    <w:div w:id="926571030">
      <w:bodyDiv w:val="1"/>
      <w:marLeft w:val="0"/>
      <w:marRight w:val="0"/>
      <w:marTop w:val="0"/>
      <w:marBottom w:val="0"/>
      <w:divBdr>
        <w:top w:val="none" w:sz="0" w:space="0" w:color="auto"/>
        <w:left w:val="none" w:sz="0" w:space="0" w:color="auto"/>
        <w:bottom w:val="none" w:sz="0" w:space="0" w:color="auto"/>
        <w:right w:val="none" w:sz="0" w:space="0" w:color="auto"/>
      </w:divBdr>
    </w:div>
    <w:div w:id="936791994">
      <w:bodyDiv w:val="1"/>
      <w:marLeft w:val="0"/>
      <w:marRight w:val="0"/>
      <w:marTop w:val="0"/>
      <w:marBottom w:val="0"/>
      <w:divBdr>
        <w:top w:val="none" w:sz="0" w:space="0" w:color="auto"/>
        <w:left w:val="none" w:sz="0" w:space="0" w:color="auto"/>
        <w:bottom w:val="none" w:sz="0" w:space="0" w:color="auto"/>
        <w:right w:val="none" w:sz="0" w:space="0" w:color="auto"/>
      </w:divBdr>
    </w:div>
    <w:div w:id="939531605">
      <w:bodyDiv w:val="1"/>
      <w:marLeft w:val="0"/>
      <w:marRight w:val="0"/>
      <w:marTop w:val="0"/>
      <w:marBottom w:val="0"/>
      <w:divBdr>
        <w:top w:val="none" w:sz="0" w:space="0" w:color="auto"/>
        <w:left w:val="none" w:sz="0" w:space="0" w:color="auto"/>
        <w:bottom w:val="none" w:sz="0" w:space="0" w:color="auto"/>
        <w:right w:val="none" w:sz="0" w:space="0" w:color="auto"/>
      </w:divBdr>
    </w:div>
    <w:div w:id="948317066">
      <w:bodyDiv w:val="1"/>
      <w:marLeft w:val="0"/>
      <w:marRight w:val="0"/>
      <w:marTop w:val="0"/>
      <w:marBottom w:val="0"/>
      <w:divBdr>
        <w:top w:val="none" w:sz="0" w:space="0" w:color="auto"/>
        <w:left w:val="none" w:sz="0" w:space="0" w:color="auto"/>
        <w:bottom w:val="none" w:sz="0" w:space="0" w:color="auto"/>
        <w:right w:val="none" w:sz="0" w:space="0" w:color="auto"/>
      </w:divBdr>
    </w:div>
    <w:div w:id="954022776">
      <w:bodyDiv w:val="1"/>
      <w:marLeft w:val="0"/>
      <w:marRight w:val="0"/>
      <w:marTop w:val="0"/>
      <w:marBottom w:val="0"/>
      <w:divBdr>
        <w:top w:val="none" w:sz="0" w:space="0" w:color="auto"/>
        <w:left w:val="none" w:sz="0" w:space="0" w:color="auto"/>
        <w:bottom w:val="none" w:sz="0" w:space="0" w:color="auto"/>
        <w:right w:val="none" w:sz="0" w:space="0" w:color="auto"/>
      </w:divBdr>
    </w:div>
    <w:div w:id="957493927">
      <w:bodyDiv w:val="1"/>
      <w:marLeft w:val="0"/>
      <w:marRight w:val="0"/>
      <w:marTop w:val="0"/>
      <w:marBottom w:val="0"/>
      <w:divBdr>
        <w:top w:val="none" w:sz="0" w:space="0" w:color="auto"/>
        <w:left w:val="none" w:sz="0" w:space="0" w:color="auto"/>
        <w:bottom w:val="none" w:sz="0" w:space="0" w:color="auto"/>
        <w:right w:val="none" w:sz="0" w:space="0" w:color="auto"/>
      </w:divBdr>
    </w:div>
    <w:div w:id="957638295">
      <w:bodyDiv w:val="1"/>
      <w:marLeft w:val="0"/>
      <w:marRight w:val="0"/>
      <w:marTop w:val="0"/>
      <w:marBottom w:val="0"/>
      <w:divBdr>
        <w:top w:val="none" w:sz="0" w:space="0" w:color="auto"/>
        <w:left w:val="none" w:sz="0" w:space="0" w:color="auto"/>
        <w:bottom w:val="none" w:sz="0" w:space="0" w:color="auto"/>
        <w:right w:val="none" w:sz="0" w:space="0" w:color="auto"/>
      </w:divBdr>
    </w:div>
    <w:div w:id="968440693">
      <w:bodyDiv w:val="1"/>
      <w:marLeft w:val="0"/>
      <w:marRight w:val="0"/>
      <w:marTop w:val="0"/>
      <w:marBottom w:val="0"/>
      <w:divBdr>
        <w:top w:val="none" w:sz="0" w:space="0" w:color="auto"/>
        <w:left w:val="none" w:sz="0" w:space="0" w:color="auto"/>
        <w:bottom w:val="none" w:sz="0" w:space="0" w:color="auto"/>
        <w:right w:val="none" w:sz="0" w:space="0" w:color="auto"/>
      </w:divBdr>
    </w:div>
    <w:div w:id="969281717">
      <w:bodyDiv w:val="1"/>
      <w:marLeft w:val="0"/>
      <w:marRight w:val="0"/>
      <w:marTop w:val="0"/>
      <w:marBottom w:val="0"/>
      <w:divBdr>
        <w:top w:val="none" w:sz="0" w:space="0" w:color="auto"/>
        <w:left w:val="none" w:sz="0" w:space="0" w:color="auto"/>
        <w:bottom w:val="none" w:sz="0" w:space="0" w:color="auto"/>
        <w:right w:val="none" w:sz="0" w:space="0" w:color="auto"/>
      </w:divBdr>
    </w:div>
    <w:div w:id="977683752">
      <w:bodyDiv w:val="1"/>
      <w:marLeft w:val="0"/>
      <w:marRight w:val="0"/>
      <w:marTop w:val="0"/>
      <w:marBottom w:val="0"/>
      <w:divBdr>
        <w:top w:val="none" w:sz="0" w:space="0" w:color="auto"/>
        <w:left w:val="none" w:sz="0" w:space="0" w:color="auto"/>
        <w:bottom w:val="none" w:sz="0" w:space="0" w:color="auto"/>
        <w:right w:val="none" w:sz="0" w:space="0" w:color="auto"/>
      </w:divBdr>
    </w:div>
    <w:div w:id="997197494">
      <w:bodyDiv w:val="1"/>
      <w:marLeft w:val="0"/>
      <w:marRight w:val="0"/>
      <w:marTop w:val="0"/>
      <w:marBottom w:val="0"/>
      <w:divBdr>
        <w:top w:val="none" w:sz="0" w:space="0" w:color="auto"/>
        <w:left w:val="none" w:sz="0" w:space="0" w:color="auto"/>
        <w:bottom w:val="none" w:sz="0" w:space="0" w:color="auto"/>
        <w:right w:val="none" w:sz="0" w:space="0" w:color="auto"/>
      </w:divBdr>
    </w:div>
    <w:div w:id="1002202654">
      <w:bodyDiv w:val="1"/>
      <w:marLeft w:val="0"/>
      <w:marRight w:val="0"/>
      <w:marTop w:val="0"/>
      <w:marBottom w:val="0"/>
      <w:divBdr>
        <w:top w:val="none" w:sz="0" w:space="0" w:color="auto"/>
        <w:left w:val="none" w:sz="0" w:space="0" w:color="auto"/>
        <w:bottom w:val="none" w:sz="0" w:space="0" w:color="auto"/>
        <w:right w:val="none" w:sz="0" w:space="0" w:color="auto"/>
      </w:divBdr>
    </w:div>
    <w:div w:id="1006397041">
      <w:bodyDiv w:val="1"/>
      <w:marLeft w:val="0"/>
      <w:marRight w:val="0"/>
      <w:marTop w:val="0"/>
      <w:marBottom w:val="0"/>
      <w:divBdr>
        <w:top w:val="none" w:sz="0" w:space="0" w:color="auto"/>
        <w:left w:val="none" w:sz="0" w:space="0" w:color="auto"/>
        <w:bottom w:val="none" w:sz="0" w:space="0" w:color="auto"/>
        <w:right w:val="none" w:sz="0" w:space="0" w:color="auto"/>
      </w:divBdr>
    </w:div>
    <w:div w:id="1019545038">
      <w:bodyDiv w:val="1"/>
      <w:marLeft w:val="0"/>
      <w:marRight w:val="0"/>
      <w:marTop w:val="0"/>
      <w:marBottom w:val="0"/>
      <w:divBdr>
        <w:top w:val="none" w:sz="0" w:space="0" w:color="auto"/>
        <w:left w:val="none" w:sz="0" w:space="0" w:color="auto"/>
        <w:bottom w:val="none" w:sz="0" w:space="0" w:color="auto"/>
        <w:right w:val="none" w:sz="0" w:space="0" w:color="auto"/>
      </w:divBdr>
    </w:div>
    <w:div w:id="1046610766">
      <w:bodyDiv w:val="1"/>
      <w:marLeft w:val="0"/>
      <w:marRight w:val="0"/>
      <w:marTop w:val="0"/>
      <w:marBottom w:val="0"/>
      <w:divBdr>
        <w:top w:val="none" w:sz="0" w:space="0" w:color="auto"/>
        <w:left w:val="none" w:sz="0" w:space="0" w:color="auto"/>
        <w:bottom w:val="none" w:sz="0" w:space="0" w:color="auto"/>
        <w:right w:val="none" w:sz="0" w:space="0" w:color="auto"/>
      </w:divBdr>
    </w:div>
    <w:div w:id="1061057854">
      <w:bodyDiv w:val="1"/>
      <w:marLeft w:val="0"/>
      <w:marRight w:val="0"/>
      <w:marTop w:val="0"/>
      <w:marBottom w:val="0"/>
      <w:divBdr>
        <w:top w:val="none" w:sz="0" w:space="0" w:color="auto"/>
        <w:left w:val="none" w:sz="0" w:space="0" w:color="auto"/>
        <w:bottom w:val="none" w:sz="0" w:space="0" w:color="auto"/>
        <w:right w:val="none" w:sz="0" w:space="0" w:color="auto"/>
      </w:divBdr>
    </w:div>
    <w:div w:id="1061555876">
      <w:bodyDiv w:val="1"/>
      <w:marLeft w:val="0"/>
      <w:marRight w:val="0"/>
      <w:marTop w:val="0"/>
      <w:marBottom w:val="0"/>
      <w:divBdr>
        <w:top w:val="none" w:sz="0" w:space="0" w:color="auto"/>
        <w:left w:val="none" w:sz="0" w:space="0" w:color="auto"/>
        <w:bottom w:val="none" w:sz="0" w:space="0" w:color="auto"/>
        <w:right w:val="none" w:sz="0" w:space="0" w:color="auto"/>
      </w:divBdr>
    </w:div>
    <w:div w:id="1076174652">
      <w:bodyDiv w:val="1"/>
      <w:marLeft w:val="0"/>
      <w:marRight w:val="0"/>
      <w:marTop w:val="0"/>
      <w:marBottom w:val="0"/>
      <w:divBdr>
        <w:top w:val="none" w:sz="0" w:space="0" w:color="auto"/>
        <w:left w:val="none" w:sz="0" w:space="0" w:color="auto"/>
        <w:bottom w:val="none" w:sz="0" w:space="0" w:color="auto"/>
        <w:right w:val="none" w:sz="0" w:space="0" w:color="auto"/>
      </w:divBdr>
    </w:div>
    <w:div w:id="1077752728">
      <w:bodyDiv w:val="1"/>
      <w:marLeft w:val="0"/>
      <w:marRight w:val="0"/>
      <w:marTop w:val="0"/>
      <w:marBottom w:val="0"/>
      <w:divBdr>
        <w:top w:val="none" w:sz="0" w:space="0" w:color="auto"/>
        <w:left w:val="none" w:sz="0" w:space="0" w:color="auto"/>
        <w:bottom w:val="none" w:sz="0" w:space="0" w:color="auto"/>
        <w:right w:val="none" w:sz="0" w:space="0" w:color="auto"/>
      </w:divBdr>
    </w:div>
    <w:div w:id="1078401327">
      <w:bodyDiv w:val="1"/>
      <w:marLeft w:val="0"/>
      <w:marRight w:val="0"/>
      <w:marTop w:val="0"/>
      <w:marBottom w:val="0"/>
      <w:divBdr>
        <w:top w:val="none" w:sz="0" w:space="0" w:color="auto"/>
        <w:left w:val="none" w:sz="0" w:space="0" w:color="auto"/>
        <w:bottom w:val="none" w:sz="0" w:space="0" w:color="auto"/>
        <w:right w:val="none" w:sz="0" w:space="0" w:color="auto"/>
      </w:divBdr>
    </w:div>
    <w:div w:id="1093166524">
      <w:bodyDiv w:val="1"/>
      <w:marLeft w:val="0"/>
      <w:marRight w:val="0"/>
      <w:marTop w:val="0"/>
      <w:marBottom w:val="0"/>
      <w:divBdr>
        <w:top w:val="none" w:sz="0" w:space="0" w:color="auto"/>
        <w:left w:val="none" w:sz="0" w:space="0" w:color="auto"/>
        <w:bottom w:val="none" w:sz="0" w:space="0" w:color="auto"/>
        <w:right w:val="none" w:sz="0" w:space="0" w:color="auto"/>
      </w:divBdr>
    </w:div>
    <w:div w:id="1101144151">
      <w:bodyDiv w:val="1"/>
      <w:marLeft w:val="0"/>
      <w:marRight w:val="0"/>
      <w:marTop w:val="0"/>
      <w:marBottom w:val="0"/>
      <w:divBdr>
        <w:top w:val="none" w:sz="0" w:space="0" w:color="auto"/>
        <w:left w:val="none" w:sz="0" w:space="0" w:color="auto"/>
        <w:bottom w:val="none" w:sz="0" w:space="0" w:color="auto"/>
        <w:right w:val="none" w:sz="0" w:space="0" w:color="auto"/>
      </w:divBdr>
    </w:div>
    <w:div w:id="1105148631">
      <w:bodyDiv w:val="1"/>
      <w:marLeft w:val="0"/>
      <w:marRight w:val="0"/>
      <w:marTop w:val="0"/>
      <w:marBottom w:val="0"/>
      <w:divBdr>
        <w:top w:val="none" w:sz="0" w:space="0" w:color="auto"/>
        <w:left w:val="none" w:sz="0" w:space="0" w:color="auto"/>
        <w:bottom w:val="none" w:sz="0" w:space="0" w:color="auto"/>
        <w:right w:val="none" w:sz="0" w:space="0" w:color="auto"/>
      </w:divBdr>
    </w:div>
    <w:div w:id="1121454897">
      <w:bodyDiv w:val="1"/>
      <w:marLeft w:val="0"/>
      <w:marRight w:val="0"/>
      <w:marTop w:val="0"/>
      <w:marBottom w:val="0"/>
      <w:divBdr>
        <w:top w:val="none" w:sz="0" w:space="0" w:color="auto"/>
        <w:left w:val="none" w:sz="0" w:space="0" w:color="auto"/>
        <w:bottom w:val="none" w:sz="0" w:space="0" w:color="auto"/>
        <w:right w:val="none" w:sz="0" w:space="0" w:color="auto"/>
      </w:divBdr>
    </w:div>
    <w:div w:id="1132558138">
      <w:bodyDiv w:val="1"/>
      <w:marLeft w:val="0"/>
      <w:marRight w:val="0"/>
      <w:marTop w:val="0"/>
      <w:marBottom w:val="0"/>
      <w:divBdr>
        <w:top w:val="none" w:sz="0" w:space="0" w:color="auto"/>
        <w:left w:val="none" w:sz="0" w:space="0" w:color="auto"/>
        <w:bottom w:val="none" w:sz="0" w:space="0" w:color="auto"/>
        <w:right w:val="none" w:sz="0" w:space="0" w:color="auto"/>
      </w:divBdr>
    </w:div>
    <w:div w:id="1143276277">
      <w:bodyDiv w:val="1"/>
      <w:marLeft w:val="0"/>
      <w:marRight w:val="0"/>
      <w:marTop w:val="0"/>
      <w:marBottom w:val="0"/>
      <w:divBdr>
        <w:top w:val="none" w:sz="0" w:space="0" w:color="auto"/>
        <w:left w:val="none" w:sz="0" w:space="0" w:color="auto"/>
        <w:bottom w:val="none" w:sz="0" w:space="0" w:color="auto"/>
        <w:right w:val="none" w:sz="0" w:space="0" w:color="auto"/>
      </w:divBdr>
    </w:div>
    <w:div w:id="1145782836">
      <w:bodyDiv w:val="1"/>
      <w:marLeft w:val="0"/>
      <w:marRight w:val="0"/>
      <w:marTop w:val="0"/>
      <w:marBottom w:val="0"/>
      <w:divBdr>
        <w:top w:val="none" w:sz="0" w:space="0" w:color="auto"/>
        <w:left w:val="none" w:sz="0" w:space="0" w:color="auto"/>
        <w:bottom w:val="none" w:sz="0" w:space="0" w:color="auto"/>
        <w:right w:val="none" w:sz="0" w:space="0" w:color="auto"/>
      </w:divBdr>
    </w:div>
    <w:div w:id="1150823805">
      <w:bodyDiv w:val="1"/>
      <w:marLeft w:val="0"/>
      <w:marRight w:val="0"/>
      <w:marTop w:val="0"/>
      <w:marBottom w:val="0"/>
      <w:divBdr>
        <w:top w:val="none" w:sz="0" w:space="0" w:color="auto"/>
        <w:left w:val="none" w:sz="0" w:space="0" w:color="auto"/>
        <w:bottom w:val="none" w:sz="0" w:space="0" w:color="auto"/>
        <w:right w:val="none" w:sz="0" w:space="0" w:color="auto"/>
      </w:divBdr>
    </w:div>
    <w:div w:id="1156461679">
      <w:bodyDiv w:val="1"/>
      <w:marLeft w:val="0"/>
      <w:marRight w:val="0"/>
      <w:marTop w:val="0"/>
      <w:marBottom w:val="0"/>
      <w:divBdr>
        <w:top w:val="none" w:sz="0" w:space="0" w:color="auto"/>
        <w:left w:val="none" w:sz="0" w:space="0" w:color="auto"/>
        <w:bottom w:val="none" w:sz="0" w:space="0" w:color="auto"/>
        <w:right w:val="none" w:sz="0" w:space="0" w:color="auto"/>
      </w:divBdr>
    </w:div>
    <w:div w:id="1158427135">
      <w:bodyDiv w:val="1"/>
      <w:marLeft w:val="0"/>
      <w:marRight w:val="0"/>
      <w:marTop w:val="0"/>
      <w:marBottom w:val="0"/>
      <w:divBdr>
        <w:top w:val="none" w:sz="0" w:space="0" w:color="auto"/>
        <w:left w:val="none" w:sz="0" w:space="0" w:color="auto"/>
        <w:bottom w:val="none" w:sz="0" w:space="0" w:color="auto"/>
        <w:right w:val="none" w:sz="0" w:space="0" w:color="auto"/>
      </w:divBdr>
    </w:div>
    <w:div w:id="1174494454">
      <w:bodyDiv w:val="1"/>
      <w:marLeft w:val="0"/>
      <w:marRight w:val="0"/>
      <w:marTop w:val="0"/>
      <w:marBottom w:val="0"/>
      <w:divBdr>
        <w:top w:val="none" w:sz="0" w:space="0" w:color="auto"/>
        <w:left w:val="none" w:sz="0" w:space="0" w:color="auto"/>
        <w:bottom w:val="none" w:sz="0" w:space="0" w:color="auto"/>
        <w:right w:val="none" w:sz="0" w:space="0" w:color="auto"/>
      </w:divBdr>
    </w:div>
    <w:div w:id="1178274830">
      <w:bodyDiv w:val="1"/>
      <w:marLeft w:val="0"/>
      <w:marRight w:val="0"/>
      <w:marTop w:val="0"/>
      <w:marBottom w:val="0"/>
      <w:divBdr>
        <w:top w:val="none" w:sz="0" w:space="0" w:color="auto"/>
        <w:left w:val="none" w:sz="0" w:space="0" w:color="auto"/>
        <w:bottom w:val="none" w:sz="0" w:space="0" w:color="auto"/>
        <w:right w:val="none" w:sz="0" w:space="0" w:color="auto"/>
      </w:divBdr>
    </w:div>
    <w:div w:id="1189023537">
      <w:bodyDiv w:val="1"/>
      <w:marLeft w:val="0"/>
      <w:marRight w:val="0"/>
      <w:marTop w:val="0"/>
      <w:marBottom w:val="0"/>
      <w:divBdr>
        <w:top w:val="none" w:sz="0" w:space="0" w:color="auto"/>
        <w:left w:val="none" w:sz="0" w:space="0" w:color="auto"/>
        <w:bottom w:val="none" w:sz="0" w:space="0" w:color="auto"/>
        <w:right w:val="none" w:sz="0" w:space="0" w:color="auto"/>
      </w:divBdr>
    </w:div>
    <w:div w:id="1192184405">
      <w:bodyDiv w:val="1"/>
      <w:marLeft w:val="0"/>
      <w:marRight w:val="0"/>
      <w:marTop w:val="0"/>
      <w:marBottom w:val="0"/>
      <w:divBdr>
        <w:top w:val="none" w:sz="0" w:space="0" w:color="auto"/>
        <w:left w:val="none" w:sz="0" w:space="0" w:color="auto"/>
        <w:bottom w:val="none" w:sz="0" w:space="0" w:color="auto"/>
        <w:right w:val="none" w:sz="0" w:space="0" w:color="auto"/>
      </w:divBdr>
    </w:div>
    <w:div w:id="1209143388">
      <w:bodyDiv w:val="1"/>
      <w:marLeft w:val="0"/>
      <w:marRight w:val="0"/>
      <w:marTop w:val="0"/>
      <w:marBottom w:val="0"/>
      <w:divBdr>
        <w:top w:val="none" w:sz="0" w:space="0" w:color="auto"/>
        <w:left w:val="none" w:sz="0" w:space="0" w:color="auto"/>
        <w:bottom w:val="none" w:sz="0" w:space="0" w:color="auto"/>
        <w:right w:val="none" w:sz="0" w:space="0" w:color="auto"/>
      </w:divBdr>
    </w:div>
    <w:div w:id="1209488301">
      <w:bodyDiv w:val="1"/>
      <w:marLeft w:val="0"/>
      <w:marRight w:val="0"/>
      <w:marTop w:val="0"/>
      <w:marBottom w:val="0"/>
      <w:divBdr>
        <w:top w:val="none" w:sz="0" w:space="0" w:color="auto"/>
        <w:left w:val="none" w:sz="0" w:space="0" w:color="auto"/>
        <w:bottom w:val="none" w:sz="0" w:space="0" w:color="auto"/>
        <w:right w:val="none" w:sz="0" w:space="0" w:color="auto"/>
      </w:divBdr>
    </w:div>
    <w:div w:id="1213273791">
      <w:bodyDiv w:val="1"/>
      <w:marLeft w:val="0"/>
      <w:marRight w:val="0"/>
      <w:marTop w:val="0"/>
      <w:marBottom w:val="0"/>
      <w:divBdr>
        <w:top w:val="none" w:sz="0" w:space="0" w:color="auto"/>
        <w:left w:val="none" w:sz="0" w:space="0" w:color="auto"/>
        <w:bottom w:val="none" w:sz="0" w:space="0" w:color="auto"/>
        <w:right w:val="none" w:sz="0" w:space="0" w:color="auto"/>
      </w:divBdr>
    </w:div>
    <w:div w:id="1215389406">
      <w:bodyDiv w:val="1"/>
      <w:marLeft w:val="0"/>
      <w:marRight w:val="0"/>
      <w:marTop w:val="0"/>
      <w:marBottom w:val="0"/>
      <w:divBdr>
        <w:top w:val="none" w:sz="0" w:space="0" w:color="auto"/>
        <w:left w:val="none" w:sz="0" w:space="0" w:color="auto"/>
        <w:bottom w:val="none" w:sz="0" w:space="0" w:color="auto"/>
        <w:right w:val="none" w:sz="0" w:space="0" w:color="auto"/>
      </w:divBdr>
    </w:div>
    <w:div w:id="1221747297">
      <w:bodyDiv w:val="1"/>
      <w:marLeft w:val="0"/>
      <w:marRight w:val="0"/>
      <w:marTop w:val="0"/>
      <w:marBottom w:val="0"/>
      <w:divBdr>
        <w:top w:val="none" w:sz="0" w:space="0" w:color="auto"/>
        <w:left w:val="none" w:sz="0" w:space="0" w:color="auto"/>
        <w:bottom w:val="none" w:sz="0" w:space="0" w:color="auto"/>
        <w:right w:val="none" w:sz="0" w:space="0" w:color="auto"/>
      </w:divBdr>
    </w:div>
    <w:div w:id="1225023098">
      <w:bodyDiv w:val="1"/>
      <w:marLeft w:val="0"/>
      <w:marRight w:val="0"/>
      <w:marTop w:val="0"/>
      <w:marBottom w:val="0"/>
      <w:divBdr>
        <w:top w:val="none" w:sz="0" w:space="0" w:color="auto"/>
        <w:left w:val="none" w:sz="0" w:space="0" w:color="auto"/>
        <w:bottom w:val="none" w:sz="0" w:space="0" w:color="auto"/>
        <w:right w:val="none" w:sz="0" w:space="0" w:color="auto"/>
      </w:divBdr>
    </w:div>
    <w:div w:id="1229608917">
      <w:bodyDiv w:val="1"/>
      <w:marLeft w:val="0"/>
      <w:marRight w:val="0"/>
      <w:marTop w:val="0"/>
      <w:marBottom w:val="0"/>
      <w:divBdr>
        <w:top w:val="none" w:sz="0" w:space="0" w:color="auto"/>
        <w:left w:val="none" w:sz="0" w:space="0" w:color="auto"/>
        <w:bottom w:val="none" w:sz="0" w:space="0" w:color="auto"/>
        <w:right w:val="none" w:sz="0" w:space="0" w:color="auto"/>
      </w:divBdr>
    </w:div>
    <w:div w:id="1234698883">
      <w:bodyDiv w:val="1"/>
      <w:marLeft w:val="0"/>
      <w:marRight w:val="0"/>
      <w:marTop w:val="0"/>
      <w:marBottom w:val="0"/>
      <w:divBdr>
        <w:top w:val="none" w:sz="0" w:space="0" w:color="auto"/>
        <w:left w:val="none" w:sz="0" w:space="0" w:color="auto"/>
        <w:bottom w:val="none" w:sz="0" w:space="0" w:color="auto"/>
        <w:right w:val="none" w:sz="0" w:space="0" w:color="auto"/>
      </w:divBdr>
    </w:div>
    <w:div w:id="1235043743">
      <w:bodyDiv w:val="1"/>
      <w:marLeft w:val="0"/>
      <w:marRight w:val="0"/>
      <w:marTop w:val="0"/>
      <w:marBottom w:val="0"/>
      <w:divBdr>
        <w:top w:val="none" w:sz="0" w:space="0" w:color="auto"/>
        <w:left w:val="none" w:sz="0" w:space="0" w:color="auto"/>
        <w:bottom w:val="none" w:sz="0" w:space="0" w:color="auto"/>
        <w:right w:val="none" w:sz="0" w:space="0" w:color="auto"/>
      </w:divBdr>
    </w:div>
    <w:div w:id="1239096630">
      <w:bodyDiv w:val="1"/>
      <w:marLeft w:val="0"/>
      <w:marRight w:val="0"/>
      <w:marTop w:val="0"/>
      <w:marBottom w:val="0"/>
      <w:divBdr>
        <w:top w:val="none" w:sz="0" w:space="0" w:color="auto"/>
        <w:left w:val="none" w:sz="0" w:space="0" w:color="auto"/>
        <w:bottom w:val="none" w:sz="0" w:space="0" w:color="auto"/>
        <w:right w:val="none" w:sz="0" w:space="0" w:color="auto"/>
      </w:divBdr>
      <w:divsChild>
        <w:div w:id="10320704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556870">
      <w:bodyDiv w:val="1"/>
      <w:marLeft w:val="0"/>
      <w:marRight w:val="0"/>
      <w:marTop w:val="0"/>
      <w:marBottom w:val="0"/>
      <w:divBdr>
        <w:top w:val="none" w:sz="0" w:space="0" w:color="auto"/>
        <w:left w:val="none" w:sz="0" w:space="0" w:color="auto"/>
        <w:bottom w:val="none" w:sz="0" w:space="0" w:color="auto"/>
        <w:right w:val="none" w:sz="0" w:space="0" w:color="auto"/>
      </w:divBdr>
    </w:div>
    <w:div w:id="1246913777">
      <w:bodyDiv w:val="1"/>
      <w:marLeft w:val="0"/>
      <w:marRight w:val="0"/>
      <w:marTop w:val="0"/>
      <w:marBottom w:val="0"/>
      <w:divBdr>
        <w:top w:val="none" w:sz="0" w:space="0" w:color="auto"/>
        <w:left w:val="none" w:sz="0" w:space="0" w:color="auto"/>
        <w:bottom w:val="none" w:sz="0" w:space="0" w:color="auto"/>
        <w:right w:val="none" w:sz="0" w:space="0" w:color="auto"/>
      </w:divBdr>
    </w:div>
    <w:div w:id="1268274957">
      <w:bodyDiv w:val="1"/>
      <w:marLeft w:val="0"/>
      <w:marRight w:val="0"/>
      <w:marTop w:val="0"/>
      <w:marBottom w:val="0"/>
      <w:divBdr>
        <w:top w:val="none" w:sz="0" w:space="0" w:color="auto"/>
        <w:left w:val="none" w:sz="0" w:space="0" w:color="auto"/>
        <w:bottom w:val="none" w:sz="0" w:space="0" w:color="auto"/>
        <w:right w:val="none" w:sz="0" w:space="0" w:color="auto"/>
      </w:divBdr>
    </w:div>
    <w:div w:id="1282565967">
      <w:bodyDiv w:val="1"/>
      <w:marLeft w:val="0"/>
      <w:marRight w:val="0"/>
      <w:marTop w:val="0"/>
      <w:marBottom w:val="0"/>
      <w:divBdr>
        <w:top w:val="none" w:sz="0" w:space="0" w:color="auto"/>
        <w:left w:val="none" w:sz="0" w:space="0" w:color="auto"/>
        <w:bottom w:val="none" w:sz="0" w:space="0" w:color="auto"/>
        <w:right w:val="none" w:sz="0" w:space="0" w:color="auto"/>
      </w:divBdr>
    </w:div>
    <w:div w:id="1293252050">
      <w:bodyDiv w:val="1"/>
      <w:marLeft w:val="0"/>
      <w:marRight w:val="0"/>
      <w:marTop w:val="0"/>
      <w:marBottom w:val="0"/>
      <w:divBdr>
        <w:top w:val="none" w:sz="0" w:space="0" w:color="auto"/>
        <w:left w:val="none" w:sz="0" w:space="0" w:color="auto"/>
        <w:bottom w:val="none" w:sz="0" w:space="0" w:color="auto"/>
        <w:right w:val="none" w:sz="0" w:space="0" w:color="auto"/>
      </w:divBdr>
    </w:div>
    <w:div w:id="1299841200">
      <w:bodyDiv w:val="1"/>
      <w:marLeft w:val="0"/>
      <w:marRight w:val="0"/>
      <w:marTop w:val="0"/>
      <w:marBottom w:val="0"/>
      <w:divBdr>
        <w:top w:val="none" w:sz="0" w:space="0" w:color="auto"/>
        <w:left w:val="none" w:sz="0" w:space="0" w:color="auto"/>
        <w:bottom w:val="none" w:sz="0" w:space="0" w:color="auto"/>
        <w:right w:val="none" w:sz="0" w:space="0" w:color="auto"/>
      </w:divBdr>
    </w:div>
    <w:div w:id="1311908987">
      <w:bodyDiv w:val="1"/>
      <w:marLeft w:val="0"/>
      <w:marRight w:val="0"/>
      <w:marTop w:val="0"/>
      <w:marBottom w:val="0"/>
      <w:divBdr>
        <w:top w:val="none" w:sz="0" w:space="0" w:color="auto"/>
        <w:left w:val="none" w:sz="0" w:space="0" w:color="auto"/>
        <w:bottom w:val="none" w:sz="0" w:space="0" w:color="auto"/>
        <w:right w:val="none" w:sz="0" w:space="0" w:color="auto"/>
      </w:divBdr>
    </w:div>
    <w:div w:id="1318917015">
      <w:bodyDiv w:val="1"/>
      <w:marLeft w:val="0"/>
      <w:marRight w:val="0"/>
      <w:marTop w:val="0"/>
      <w:marBottom w:val="0"/>
      <w:divBdr>
        <w:top w:val="none" w:sz="0" w:space="0" w:color="auto"/>
        <w:left w:val="none" w:sz="0" w:space="0" w:color="auto"/>
        <w:bottom w:val="none" w:sz="0" w:space="0" w:color="auto"/>
        <w:right w:val="none" w:sz="0" w:space="0" w:color="auto"/>
      </w:divBdr>
    </w:div>
    <w:div w:id="1321427489">
      <w:bodyDiv w:val="1"/>
      <w:marLeft w:val="0"/>
      <w:marRight w:val="0"/>
      <w:marTop w:val="0"/>
      <w:marBottom w:val="0"/>
      <w:divBdr>
        <w:top w:val="none" w:sz="0" w:space="0" w:color="auto"/>
        <w:left w:val="none" w:sz="0" w:space="0" w:color="auto"/>
        <w:bottom w:val="none" w:sz="0" w:space="0" w:color="auto"/>
        <w:right w:val="none" w:sz="0" w:space="0" w:color="auto"/>
      </w:divBdr>
    </w:div>
    <w:div w:id="1323583719">
      <w:bodyDiv w:val="1"/>
      <w:marLeft w:val="0"/>
      <w:marRight w:val="0"/>
      <w:marTop w:val="0"/>
      <w:marBottom w:val="0"/>
      <w:divBdr>
        <w:top w:val="none" w:sz="0" w:space="0" w:color="auto"/>
        <w:left w:val="none" w:sz="0" w:space="0" w:color="auto"/>
        <w:bottom w:val="none" w:sz="0" w:space="0" w:color="auto"/>
        <w:right w:val="none" w:sz="0" w:space="0" w:color="auto"/>
      </w:divBdr>
    </w:div>
    <w:div w:id="1324427907">
      <w:bodyDiv w:val="1"/>
      <w:marLeft w:val="0"/>
      <w:marRight w:val="0"/>
      <w:marTop w:val="0"/>
      <w:marBottom w:val="0"/>
      <w:divBdr>
        <w:top w:val="none" w:sz="0" w:space="0" w:color="auto"/>
        <w:left w:val="none" w:sz="0" w:space="0" w:color="auto"/>
        <w:bottom w:val="none" w:sz="0" w:space="0" w:color="auto"/>
        <w:right w:val="none" w:sz="0" w:space="0" w:color="auto"/>
      </w:divBdr>
    </w:div>
    <w:div w:id="1334994134">
      <w:bodyDiv w:val="1"/>
      <w:marLeft w:val="0"/>
      <w:marRight w:val="0"/>
      <w:marTop w:val="0"/>
      <w:marBottom w:val="0"/>
      <w:divBdr>
        <w:top w:val="none" w:sz="0" w:space="0" w:color="auto"/>
        <w:left w:val="none" w:sz="0" w:space="0" w:color="auto"/>
        <w:bottom w:val="none" w:sz="0" w:space="0" w:color="auto"/>
        <w:right w:val="none" w:sz="0" w:space="0" w:color="auto"/>
      </w:divBdr>
    </w:div>
    <w:div w:id="1337420467">
      <w:bodyDiv w:val="1"/>
      <w:marLeft w:val="0"/>
      <w:marRight w:val="0"/>
      <w:marTop w:val="0"/>
      <w:marBottom w:val="0"/>
      <w:divBdr>
        <w:top w:val="none" w:sz="0" w:space="0" w:color="auto"/>
        <w:left w:val="none" w:sz="0" w:space="0" w:color="auto"/>
        <w:bottom w:val="none" w:sz="0" w:space="0" w:color="auto"/>
        <w:right w:val="none" w:sz="0" w:space="0" w:color="auto"/>
      </w:divBdr>
    </w:div>
    <w:div w:id="1348361519">
      <w:bodyDiv w:val="1"/>
      <w:marLeft w:val="0"/>
      <w:marRight w:val="0"/>
      <w:marTop w:val="0"/>
      <w:marBottom w:val="0"/>
      <w:divBdr>
        <w:top w:val="none" w:sz="0" w:space="0" w:color="auto"/>
        <w:left w:val="none" w:sz="0" w:space="0" w:color="auto"/>
        <w:bottom w:val="none" w:sz="0" w:space="0" w:color="auto"/>
        <w:right w:val="none" w:sz="0" w:space="0" w:color="auto"/>
      </w:divBdr>
    </w:div>
    <w:div w:id="1363897808">
      <w:bodyDiv w:val="1"/>
      <w:marLeft w:val="0"/>
      <w:marRight w:val="0"/>
      <w:marTop w:val="0"/>
      <w:marBottom w:val="0"/>
      <w:divBdr>
        <w:top w:val="none" w:sz="0" w:space="0" w:color="auto"/>
        <w:left w:val="none" w:sz="0" w:space="0" w:color="auto"/>
        <w:bottom w:val="none" w:sz="0" w:space="0" w:color="auto"/>
        <w:right w:val="none" w:sz="0" w:space="0" w:color="auto"/>
      </w:divBdr>
    </w:div>
    <w:div w:id="1376739490">
      <w:bodyDiv w:val="1"/>
      <w:marLeft w:val="0"/>
      <w:marRight w:val="0"/>
      <w:marTop w:val="0"/>
      <w:marBottom w:val="0"/>
      <w:divBdr>
        <w:top w:val="none" w:sz="0" w:space="0" w:color="auto"/>
        <w:left w:val="none" w:sz="0" w:space="0" w:color="auto"/>
        <w:bottom w:val="none" w:sz="0" w:space="0" w:color="auto"/>
        <w:right w:val="none" w:sz="0" w:space="0" w:color="auto"/>
      </w:divBdr>
    </w:div>
    <w:div w:id="1382751272">
      <w:bodyDiv w:val="1"/>
      <w:marLeft w:val="0"/>
      <w:marRight w:val="0"/>
      <w:marTop w:val="0"/>
      <w:marBottom w:val="0"/>
      <w:divBdr>
        <w:top w:val="none" w:sz="0" w:space="0" w:color="auto"/>
        <w:left w:val="none" w:sz="0" w:space="0" w:color="auto"/>
        <w:bottom w:val="none" w:sz="0" w:space="0" w:color="auto"/>
        <w:right w:val="none" w:sz="0" w:space="0" w:color="auto"/>
      </w:divBdr>
    </w:div>
    <w:div w:id="1384715563">
      <w:bodyDiv w:val="1"/>
      <w:marLeft w:val="0"/>
      <w:marRight w:val="0"/>
      <w:marTop w:val="0"/>
      <w:marBottom w:val="0"/>
      <w:divBdr>
        <w:top w:val="none" w:sz="0" w:space="0" w:color="auto"/>
        <w:left w:val="none" w:sz="0" w:space="0" w:color="auto"/>
        <w:bottom w:val="none" w:sz="0" w:space="0" w:color="auto"/>
        <w:right w:val="none" w:sz="0" w:space="0" w:color="auto"/>
      </w:divBdr>
    </w:div>
    <w:div w:id="1388409850">
      <w:bodyDiv w:val="1"/>
      <w:marLeft w:val="0"/>
      <w:marRight w:val="0"/>
      <w:marTop w:val="0"/>
      <w:marBottom w:val="0"/>
      <w:divBdr>
        <w:top w:val="none" w:sz="0" w:space="0" w:color="auto"/>
        <w:left w:val="none" w:sz="0" w:space="0" w:color="auto"/>
        <w:bottom w:val="none" w:sz="0" w:space="0" w:color="auto"/>
        <w:right w:val="none" w:sz="0" w:space="0" w:color="auto"/>
      </w:divBdr>
    </w:div>
    <w:div w:id="1408918214">
      <w:bodyDiv w:val="1"/>
      <w:marLeft w:val="0"/>
      <w:marRight w:val="0"/>
      <w:marTop w:val="0"/>
      <w:marBottom w:val="0"/>
      <w:divBdr>
        <w:top w:val="none" w:sz="0" w:space="0" w:color="auto"/>
        <w:left w:val="none" w:sz="0" w:space="0" w:color="auto"/>
        <w:bottom w:val="none" w:sz="0" w:space="0" w:color="auto"/>
        <w:right w:val="none" w:sz="0" w:space="0" w:color="auto"/>
      </w:divBdr>
    </w:div>
    <w:div w:id="1417366826">
      <w:bodyDiv w:val="1"/>
      <w:marLeft w:val="0"/>
      <w:marRight w:val="0"/>
      <w:marTop w:val="0"/>
      <w:marBottom w:val="0"/>
      <w:divBdr>
        <w:top w:val="none" w:sz="0" w:space="0" w:color="auto"/>
        <w:left w:val="none" w:sz="0" w:space="0" w:color="auto"/>
        <w:bottom w:val="none" w:sz="0" w:space="0" w:color="auto"/>
        <w:right w:val="none" w:sz="0" w:space="0" w:color="auto"/>
      </w:divBdr>
    </w:div>
    <w:div w:id="1418091471">
      <w:bodyDiv w:val="1"/>
      <w:marLeft w:val="0"/>
      <w:marRight w:val="0"/>
      <w:marTop w:val="0"/>
      <w:marBottom w:val="0"/>
      <w:divBdr>
        <w:top w:val="none" w:sz="0" w:space="0" w:color="auto"/>
        <w:left w:val="none" w:sz="0" w:space="0" w:color="auto"/>
        <w:bottom w:val="none" w:sz="0" w:space="0" w:color="auto"/>
        <w:right w:val="none" w:sz="0" w:space="0" w:color="auto"/>
      </w:divBdr>
    </w:div>
    <w:div w:id="1460339272">
      <w:bodyDiv w:val="1"/>
      <w:marLeft w:val="0"/>
      <w:marRight w:val="0"/>
      <w:marTop w:val="0"/>
      <w:marBottom w:val="0"/>
      <w:divBdr>
        <w:top w:val="none" w:sz="0" w:space="0" w:color="auto"/>
        <w:left w:val="none" w:sz="0" w:space="0" w:color="auto"/>
        <w:bottom w:val="none" w:sz="0" w:space="0" w:color="auto"/>
        <w:right w:val="none" w:sz="0" w:space="0" w:color="auto"/>
      </w:divBdr>
    </w:div>
    <w:div w:id="1465661499">
      <w:bodyDiv w:val="1"/>
      <w:marLeft w:val="0"/>
      <w:marRight w:val="0"/>
      <w:marTop w:val="0"/>
      <w:marBottom w:val="0"/>
      <w:divBdr>
        <w:top w:val="none" w:sz="0" w:space="0" w:color="auto"/>
        <w:left w:val="none" w:sz="0" w:space="0" w:color="auto"/>
        <w:bottom w:val="none" w:sz="0" w:space="0" w:color="auto"/>
        <w:right w:val="none" w:sz="0" w:space="0" w:color="auto"/>
      </w:divBdr>
    </w:div>
    <w:div w:id="1467433983">
      <w:bodyDiv w:val="1"/>
      <w:marLeft w:val="0"/>
      <w:marRight w:val="0"/>
      <w:marTop w:val="0"/>
      <w:marBottom w:val="0"/>
      <w:divBdr>
        <w:top w:val="none" w:sz="0" w:space="0" w:color="auto"/>
        <w:left w:val="none" w:sz="0" w:space="0" w:color="auto"/>
        <w:bottom w:val="none" w:sz="0" w:space="0" w:color="auto"/>
        <w:right w:val="none" w:sz="0" w:space="0" w:color="auto"/>
      </w:divBdr>
    </w:div>
    <w:div w:id="1473133613">
      <w:bodyDiv w:val="1"/>
      <w:marLeft w:val="0"/>
      <w:marRight w:val="0"/>
      <w:marTop w:val="0"/>
      <w:marBottom w:val="0"/>
      <w:divBdr>
        <w:top w:val="none" w:sz="0" w:space="0" w:color="auto"/>
        <w:left w:val="none" w:sz="0" w:space="0" w:color="auto"/>
        <w:bottom w:val="none" w:sz="0" w:space="0" w:color="auto"/>
        <w:right w:val="none" w:sz="0" w:space="0" w:color="auto"/>
      </w:divBdr>
    </w:div>
    <w:div w:id="1477142857">
      <w:bodyDiv w:val="1"/>
      <w:marLeft w:val="0"/>
      <w:marRight w:val="0"/>
      <w:marTop w:val="0"/>
      <w:marBottom w:val="0"/>
      <w:divBdr>
        <w:top w:val="none" w:sz="0" w:space="0" w:color="auto"/>
        <w:left w:val="none" w:sz="0" w:space="0" w:color="auto"/>
        <w:bottom w:val="none" w:sz="0" w:space="0" w:color="auto"/>
        <w:right w:val="none" w:sz="0" w:space="0" w:color="auto"/>
      </w:divBdr>
    </w:div>
    <w:div w:id="1483348609">
      <w:bodyDiv w:val="1"/>
      <w:marLeft w:val="0"/>
      <w:marRight w:val="0"/>
      <w:marTop w:val="0"/>
      <w:marBottom w:val="0"/>
      <w:divBdr>
        <w:top w:val="none" w:sz="0" w:space="0" w:color="auto"/>
        <w:left w:val="none" w:sz="0" w:space="0" w:color="auto"/>
        <w:bottom w:val="none" w:sz="0" w:space="0" w:color="auto"/>
        <w:right w:val="none" w:sz="0" w:space="0" w:color="auto"/>
      </w:divBdr>
    </w:div>
    <w:div w:id="1483737051">
      <w:bodyDiv w:val="1"/>
      <w:marLeft w:val="0"/>
      <w:marRight w:val="0"/>
      <w:marTop w:val="0"/>
      <w:marBottom w:val="0"/>
      <w:divBdr>
        <w:top w:val="none" w:sz="0" w:space="0" w:color="auto"/>
        <w:left w:val="none" w:sz="0" w:space="0" w:color="auto"/>
        <w:bottom w:val="none" w:sz="0" w:space="0" w:color="auto"/>
        <w:right w:val="none" w:sz="0" w:space="0" w:color="auto"/>
      </w:divBdr>
    </w:div>
    <w:div w:id="1507553897">
      <w:bodyDiv w:val="1"/>
      <w:marLeft w:val="0"/>
      <w:marRight w:val="0"/>
      <w:marTop w:val="0"/>
      <w:marBottom w:val="0"/>
      <w:divBdr>
        <w:top w:val="none" w:sz="0" w:space="0" w:color="auto"/>
        <w:left w:val="none" w:sz="0" w:space="0" w:color="auto"/>
        <w:bottom w:val="none" w:sz="0" w:space="0" w:color="auto"/>
        <w:right w:val="none" w:sz="0" w:space="0" w:color="auto"/>
      </w:divBdr>
    </w:div>
    <w:div w:id="1514147666">
      <w:bodyDiv w:val="1"/>
      <w:marLeft w:val="0"/>
      <w:marRight w:val="0"/>
      <w:marTop w:val="0"/>
      <w:marBottom w:val="0"/>
      <w:divBdr>
        <w:top w:val="none" w:sz="0" w:space="0" w:color="auto"/>
        <w:left w:val="none" w:sz="0" w:space="0" w:color="auto"/>
        <w:bottom w:val="none" w:sz="0" w:space="0" w:color="auto"/>
        <w:right w:val="none" w:sz="0" w:space="0" w:color="auto"/>
      </w:divBdr>
    </w:div>
    <w:div w:id="1528371031">
      <w:bodyDiv w:val="1"/>
      <w:marLeft w:val="0"/>
      <w:marRight w:val="0"/>
      <w:marTop w:val="0"/>
      <w:marBottom w:val="0"/>
      <w:divBdr>
        <w:top w:val="none" w:sz="0" w:space="0" w:color="auto"/>
        <w:left w:val="none" w:sz="0" w:space="0" w:color="auto"/>
        <w:bottom w:val="none" w:sz="0" w:space="0" w:color="auto"/>
        <w:right w:val="none" w:sz="0" w:space="0" w:color="auto"/>
      </w:divBdr>
    </w:div>
    <w:div w:id="1529681310">
      <w:bodyDiv w:val="1"/>
      <w:marLeft w:val="0"/>
      <w:marRight w:val="0"/>
      <w:marTop w:val="0"/>
      <w:marBottom w:val="0"/>
      <w:divBdr>
        <w:top w:val="none" w:sz="0" w:space="0" w:color="auto"/>
        <w:left w:val="none" w:sz="0" w:space="0" w:color="auto"/>
        <w:bottom w:val="none" w:sz="0" w:space="0" w:color="auto"/>
        <w:right w:val="none" w:sz="0" w:space="0" w:color="auto"/>
      </w:divBdr>
    </w:div>
    <w:div w:id="1540782950">
      <w:bodyDiv w:val="1"/>
      <w:marLeft w:val="0"/>
      <w:marRight w:val="0"/>
      <w:marTop w:val="0"/>
      <w:marBottom w:val="0"/>
      <w:divBdr>
        <w:top w:val="none" w:sz="0" w:space="0" w:color="auto"/>
        <w:left w:val="none" w:sz="0" w:space="0" w:color="auto"/>
        <w:bottom w:val="none" w:sz="0" w:space="0" w:color="auto"/>
        <w:right w:val="none" w:sz="0" w:space="0" w:color="auto"/>
      </w:divBdr>
    </w:div>
    <w:div w:id="1549950009">
      <w:bodyDiv w:val="1"/>
      <w:marLeft w:val="0"/>
      <w:marRight w:val="0"/>
      <w:marTop w:val="0"/>
      <w:marBottom w:val="0"/>
      <w:divBdr>
        <w:top w:val="none" w:sz="0" w:space="0" w:color="auto"/>
        <w:left w:val="none" w:sz="0" w:space="0" w:color="auto"/>
        <w:bottom w:val="none" w:sz="0" w:space="0" w:color="auto"/>
        <w:right w:val="none" w:sz="0" w:space="0" w:color="auto"/>
      </w:divBdr>
    </w:div>
    <w:div w:id="1571116589">
      <w:bodyDiv w:val="1"/>
      <w:marLeft w:val="0"/>
      <w:marRight w:val="0"/>
      <w:marTop w:val="0"/>
      <w:marBottom w:val="0"/>
      <w:divBdr>
        <w:top w:val="none" w:sz="0" w:space="0" w:color="auto"/>
        <w:left w:val="none" w:sz="0" w:space="0" w:color="auto"/>
        <w:bottom w:val="none" w:sz="0" w:space="0" w:color="auto"/>
        <w:right w:val="none" w:sz="0" w:space="0" w:color="auto"/>
      </w:divBdr>
    </w:div>
    <w:div w:id="1573348395">
      <w:bodyDiv w:val="1"/>
      <w:marLeft w:val="0"/>
      <w:marRight w:val="0"/>
      <w:marTop w:val="0"/>
      <w:marBottom w:val="0"/>
      <w:divBdr>
        <w:top w:val="none" w:sz="0" w:space="0" w:color="auto"/>
        <w:left w:val="none" w:sz="0" w:space="0" w:color="auto"/>
        <w:bottom w:val="none" w:sz="0" w:space="0" w:color="auto"/>
        <w:right w:val="none" w:sz="0" w:space="0" w:color="auto"/>
      </w:divBdr>
    </w:div>
    <w:div w:id="1577737654">
      <w:bodyDiv w:val="1"/>
      <w:marLeft w:val="0"/>
      <w:marRight w:val="0"/>
      <w:marTop w:val="0"/>
      <w:marBottom w:val="0"/>
      <w:divBdr>
        <w:top w:val="none" w:sz="0" w:space="0" w:color="auto"/>
        <w:left w:val="none" w:sz="0" w:space="0" w:color="auto"/>
        <w:bottom w:val="none" w:sz="0" w:space="0" w:color="auto"/>
        <w:right w:val="none" w:sz="0" w:space="0" w:color="auto"/>
      </w:divBdr>
    </w:div>
    <w:div w:id="1591232188">
      <w:bodyDiv w:val="1"/>
      <w:marLeft w:val="0"/>
      <w:marRight w:val="0"/>
      <w:marTop w:val="0"/>
      <w:marBottom w:val="0"/>
      <w:divBdr>
        <w:top w:val="none" w:sz="0" w:space="0" w:color="auto"/>
        <w:left w:val="none" w:sz="0" w:space="0" w:color="auto"/>
        <w:bottom w:val="none" w:sz="0" w:space="0" w:color="auto"/>
        <w:right w:val="none" w:sz="0" w:space="0" w:color="auto"/>
      </w:divBdr>
    </w:div>
    <w:div w:id="1595629415">
      <w:bodyDiv w:val="1"/>
      <w:marLeft w:val="0"/>
      <w:marRight w:val="0"/>
      <w:marTop w:val="0"/>
      <w:marBottom w:val="0"/>
      <w:divBdr>
        <w:top w:val="none" w:sz="0" w:space="0" w:color="auto"/>
        <w:left w:val="none" w:sz="0" w:space="0" w:color="auto"/>
        <w:bottom w:val="none" w:sz="0" w:space="0" w:color="auto"/>
        <w:right w:val="none" w:sz="0" w:space="0" w:color="auto"/>
      </w:divBdr>
    </w:div>
    <w:div w:id="1595935727">
      <w:bodyDiv w:val="1"/>
      <w:marLeft w:val="0"/>
      <w:marRight w:val="0"/>
      <w:marTop w:val="0"/>
      <w:marBottom w:val="0"/>
      <w:divBdr>
        <w:top w:val="none" w:sz="0" w:space="0" w:color="auto"/>
        <w:left w:val="none" w:sz="0" w:space="0" w:color="auto"/>
        <w:bottom w:val="none" w:sz="0" w:space="0" w:color="auto"/>
        <w:right w:val="none" w:sz="0" w:space="0" w:color="auto"/>
      </w:divBdr>
    </w:div>
    <w:div w:id="1616979550">
      <w:bodyDiv w:val="1"/>
      <w:marLeft w:val="0"/>
      <w:marRight w:val="0"/>
      <w:marTop w:val="0"/>
      <w:marBottom w:val="0"/>
      <w:divBdr>
        <w:top w:val="none" w:sz="0" w:space="0" w:color="auto"/>
        <w:left w:val="none" w:sz="0" w:space="0" w:color="auto"/>
        <w:bottom w:val="none" w:sz="0" w:space="0" w:color="auto"/>
        <w:right w:val="none" w:sz="0" w:space="0" w:color="auto"/>
      </w:divBdr>
    </w:div>
    <w:div w:id="1631091698">
      <w:bodyDiv w:val="1"/>
      <w:marLeft w:val="0"/>
      <w:marRight w:val="0"/>
      <w:marTop w:val="0"/>
      <w:marBottom w:val="0"/>
      <w:divBdr>
        <w:top w:val="none" w:sz="0" w:space="0" w:color="auto"/>
        <w:left w:val="none" w:sz="0" w:space="0" w:color="auto"/>
        <w:bottom w:val="none" w:sz="0" w:space="0" w:color="auto"/>
        <w:right w:val="none" w:sz="0" w:space="0" w:color="auto"/>
      </w:divBdr>
    </w:div>
    <w:div w:id="1633559360">
      <w:bodyDiv w:val="1"/>
      <w:marLeft w:val="0"/>
      <w:marRight w:val="0"/>
      <w:marTop w:val="0"/>
      <w:marBottom w:val="0"/>
      <w:divBdr>
        <w:top w:val="none" w:sz="0" w:space="0" w:color="auto"/>
        <w:left w:val="none" w:sz="0" w:space="0" w:color="auto"/>
        <w:bottom w:val="none" w:sz="0" w:space="0" w:color="auto"/>
        <w:right w:val="none" w:sz="0" w:space="0" w:color="auto"/>
      </w:divBdr>
    </w:div>
    <w:div w:id="1639459693">
      <w:bodyDiv w:val="1"/>
      <w:marLeft w:val="0"/>
      <w:marRight w:val="0"/>
      <w:marTop w:val="0"/>
      <w:marBottom w:val="0"/>
      <w:divBdr>
        <w:top w:val="none" w:sz="0" w:space="0" w:color="auto"/>
        <w:left w:val="none" w:sz="0" w:space="0" w:color="auto"/>
        <w:bottom w:val="none" w:sz="0" w:space="0" w:color="auto"/>
        <w:right w:val="none" w:sz="0" w:space="0" w:color="auto"/>
      </w:divBdr>
    </w:div>
    <w:div w:id="1649048674">
      <w:bodyDiv w:val="1"/>
      <w:marLeft w:val="0"/>
      <w:marRight w:val="0"/>
      <w:marTop w:val="0"/>
      <w:marBottom w:val="0"/>
      <w:divBdr>
        <w:top w:val="none" w:sz="0" w:space="0" w:color="auto"/>
        <w:left w:val="none" w:sz="0" w:space="0" w:color="auto"/>
        <w:bottom w:val="none" w:sz="0" w:space="0" w:color="auto"/>
        <w:right w:val="none" w:sz="0" w:space="0" w:color="auto"/>
      </w:divBdr>
    </w:div>
    <w:div w:id="1659193136">
      <w:bodyDiv w:val="1"/>
      <w:marLeft w:val="0"/>
      <w:marRight w:val="0"/>
      <w:marTop w:val="0"/>
      <w:marBottom w:val="0"/>
      <w:divBdr>
        <w:top w:val="none" w:sz="0" w:space="0" w:color="auto"/>
        <w:left w:val="none" w:sz="0" w:space="0" w:color="auto"/>
        <w:bottom w:val="none" w:sz="0" w:space="0" w:color="auto"/>
        <w:right w:val="none" w:sz="0" w:space="0" w:color="auto"/>
      </w:divBdr>
    </w:div>
    <w:div w:id="1667055371">
      <w:bodyDiv w:val="1"/>
      <w:marLeft w:val="0"/>
      <w:marRight w:val="0"/>
      <w:marTop w:val="0"/>
      <w:marBottom w:val="0"/>
      <w:divBdr>
        <w:top w:val="none" w:sz="0" w:space="0" w:color="auto"/>
        <w:left w:val="none" w:sz="0" w:space="0" w:color="auto"/>
        <w:bottom w:val="none" w:sz="0" w:space="0" w:color="auto"/>
        <w:right w:val="none" w:sz="0" w:space="0" w:color="auto"/>
      </w:divBdr>
    </w:div>
    <w:div w:id="1668944626">
      <w:bodyDiv w:val="1"/>
      <w:marLeft w:val="0"/>
      <w:marRight w:val="0"/>
      <w:marTop w:val="0"/>
      <w:marBottom w:val="0"/>
      <w:divBdr>
        <w:top w:val="none" w:sz="0" w:space="0" w:color="auto"/>
        <w:left w:val="none" w:sz="0" w:space="0" w:color="auto"/>
        <w:bottom w:val="none" w:sz="0" w:space="0" w:color="auto"/>
        <w:right w:val="none" w:sz="0" w:space="0" w:color="auto"/>
      </w:divBdr>
    </w:div>
    <w:div w:id="1671131385">
      <w:bodyDiv w:val="1"/>
      <w:marLeft w:val="0"/>
      <w:marRight w:val="0"/>
      <w:marTop w:val="0"/>
      <w:marBottom w:val="0"/>
      <w:divBdr>
        <w:top w:val="none" w:sz="0" w:space="0" w:color="auto"/>
        <w:left w:val="none" w:sz="0" w:space="0" w:color="auto"/>
        <w:bottom w:val="none" w:sz="0" w:space="0" w:color="auto"/>
        <w:right w:val="none" w:sz="0" w:space="0" w:color="auto"/>
      </w:divBdr>
    </w:div>
    <w:div w:id="1671787044">
      <w:bodyDiv w:val="1"/>
      <w:marLeft w:val="0"/>
      <w:marRight w:val="0"/>
      <w:marTop w:val="0"/>
      <w:marBottom w:val="0"/>
      <w:divBdr>
        <w:top w:val="none" w:sz="0" w:space="0" w:color="auto"/>
        <w:left w:val="none" w:sz="0" w:space="0" w:color="auto"/>
        <w:bottom w:val="none" w:sz="0" w:space="0" w:color="auto"/>
        <w:right w:val="none" w:sz="0" w:space="0" w:color="auto"/>
      </w:divBdr>
    </w:div>
    <w:div w:id="1674868988">
      <w:bodyDiv w:val="1"/>
      <w:marLeft w:val="0"/>
      <w:marRight w:val="0"/>
      <w:marTop w:val="0"/>
      <w:marBottom w:val="0"/>
      <w:divBdr>
        <w:top w:val="none" w:sz="0" w:space="0" w:color="auto"/>
        <w:left w:val="none" w:sz="0" w:space="0" w:color="auto"/>
        <w:bottom w:val="none" w:sz="0" w:space="0" w:color="auto"/>
        <w:right w:val="none" w:sz="0" w:space="0" w:color="auto"/>
      </w:divBdr>
    </w:div>
    <w:div w:id="1677489741">
      <w:bodyDiv w:val="1"/>
      <w:marLeft w:val="0"/>
      <w:marRight w:val="0"/>
      <w:marTop w:val="0"/>
      <w:marBottom w:val="0"/>
      <w:divBdr>
        <w:top w:val="none" w:sz="0" w:space="0" w:color="auto"/>
        <w:left w:val="none" w:sz="0" w:space="0" w:color="auto"/>
        <w:bottom w:val="none" w:sz="0" w:space="0" w:color="auto"/>
        <w:right w:val="none" w:sz="0" w:space="0" w:color="auto"/>
      </w:divBdr>
    </w:div>
    <w:div w:id="1683631365">
      <w:bodyDiv w:val="1"/>
      <w:marLeft w:val="0"/>
      <w:marRight w:val="0"/>
      <w:marTop w:val="0"/>
      <w:marBottom w:val="0"/>
      <w:divBdr>
        <w:top w:val="none" w:sz="0" w:space="0" w:color="auto"/>
        <w:left w:val="none" w:sz="0" w:space="0" w:color="auto"/>
        <w:bottom w:val="none" w:sz="0" w:space="0" w:color="auto"/>
        <w:right w:val="none" w:sz="0" w:space="0" w:color="auto"/>
      </w:divBdr>
    </w:div>
    <w:div w:id="1686635539">
      <w:bodyDiv w:val="1"/>
      <w:marLeft w:val="0"/>
      <w:marRight w:val="0"/>
      <w:marTop w:val="0"/>
      <w:marBottom w:val="0"/>
      <w:divBdr>
        <w:top w:val="none" w:sz="0" w:space="0" w:color="auto"/>
        <w:left w:val="none" w:sz="0" w:space="0" w:color="auto"/>
        <w:bottom w:val="none" w:sz="0" w:space="0" w:color="auto"/>
        <w:right w:val="none" w:sz="0" w:space="0" w:color="auto"/>
      </w:divBdr>
    </w:div>
    <w:div w:id="1689678707">
      <w:bodyDiv w:val="1"/>
      <w:marLeft w:val="0"/>
      <w:marRight w:val="0"/>
      <w:marTop w:val="0"/>
      <w:marBottom w:val="0"/>
      <w:divBdr>
        <w:top w:val="none" w:sz="0" w:space="0" w:color="auto"/>
        <w:left w:val="none" w:sz="0" w:space="0" w:color="auto"/>
        <w:bottom w:val="none" w:sz="0" w:space="0" w:color="auto"/>
        <w:right w:val="none" w:sz="0" w:space="0" w:color="auto"/>
      </w:divBdr>
    </w:div>
    <w:div w:id="1699964585">
      <w:bodyDiv w:val="1"/>
      <w:marLeft w:val="0"/>
      <w:marRight w:val="0"/>
      <w:marTop w:val="0"/>
      <w:marBottom w:val="0"/>
      <w:divBdr>
        <w:top w:val="none" w:sz="0" w:space="0" w:color="auto"/>
        <w:left w:val="none" w:sz="0" w:space="0" w:color="auto"/>
        <w:bottom w:val="none" w:sz="0" w:space="0" w:color="auto"/>
        <w:right w:val="none" w:sz="0" w:space="0" w:color="auto"/>
      </w:divBdr>
    </w:div>
    <w:div w:id="1701315349">
      <w:bodyDiv w:val="1"/>
      <w:marLeft w:val="0"/>
      <w:marRight w:val="0"/>
      <w:marTop w:val="0"/>
      <w:marBottom w:val="0"/>
      <w:divBdr>
        <w:top w:val="none" w:sz="0" w:space="0" w:color="auto"/>
        <w:left w:val="none" w:sz="0" w:space="0" w:color="auto"/>
        <w:bottom w:val="none" w:sz="0" w:space="0" w:color="auto"/>
        <w:right w:val="none" w:sz="0" w:space="0" w:color="auto"/>
      </w:divBdr>
    </w:div>
    <w:div w:id="1707096076">
      <w:bodyDiv w:val="1"/>
      <w:marLeft w:val="0"/>
      <w:marRight w:val="0"/>
      <w:marTop w:val="0"/>
      <w:marBottom w:val="0"/>
      <w:divBdr>
        <w:top w:val="none" w:sz="0" w:space="0" w:color="auto"/>
        <w:left w:val="none" w:sz="0" w:space="0" w:color="auto"/>
        <w:bottom w:val="none" w:sz="0" w:space="0" w:color="auto"/>
        <w:right w:val="none" w:sz="0" w:space="0" w:color="auto"/>
      </w:divBdr>
    </w:div>
    <w:div w:id="1710956747">
      <w:bodyDiv w:val="1"/>
      <w:marLeft w:val="0"/>
      <w:marRight w:val="0"/>
      <w:marTop w:val="0"/>
      <w:marBottom w:val="0"/>
      <w:divBdr>
        <w:top w:val="none" w:sz="0" w:space="0" w:color="auto"/>
        <w:left w:val="none" w:sz="0" w:space="0" w:color="auto"/>
        <w:bottom w:val="none" w:sz="0" w:space="0" w:color="auto"/>
        <w:right w:val="none" w:sz="0" w:space="0" w:color="auto"/>
      </w:divBdr>
    </w:div>
    <w:div w:id="1715235364">
      <w:bodyDiv w:val="1"/>
      <w:marLeft w:val="0"/>
      <w:marRight w:val="0"/>
      <w:marTop w:val="0"/>
      <w:marBottom w:val="0"/>
      <w:divBdr>
        <w:top w:val="none" w:sz="0" w:space="0" w:color="auto"/>
        <w:left w:val="none" w:sz="0" w:space="0" w:color="auto"/>
        <w:bottom w:val="none" w:sz="0" w:space="0" w:color="auto"/>
        <w:right w:val="none" w:sz="0" w:space="0" w:color="auto"/>
      </w:divBdr>
    </w:div>
    <w:div w:id="1722287377">
      <w:bodyDiv w:val="1"/>
      <w:marLeft w:val="0"/>
      <w:marRight w:val="0"/>
      <w:marTop w:val="0"/>
      <w:marBottom w:val="0"/>
      <w:divBdr>
        <w:top w:val="none" w:sz="0" w:space="0" w:color="auto"/>
        <w:left w:val="none" w:sz="0" w:space="0" w:color="auto"/>
        <w:bottom w:val="none" w:sz="0" w:space="0" w:color="auto"/>
        <w:right w:val="none" w:sz="0" w:space="0" w:color="auto"/>
      </w:divBdr>
    </w:div>
    <w:div w:id="1724131445">
      <w:bodyDiv w:val="1"/>
      <w:marLeft w:val="0"/>
      <w:marRight w:val="0"/>
      <w:marTop w:val="0"/>
      <w:marBottom w:val="0"/>
      <w:divBdr>
        <w:top w:val="none" w:sz="0" w:space="0" w:color="auto"/>
        <w:left w:val="none" w:sz="0" w:space="0" w:color="auto"/>
        <w:bottom w:val="none" w:sz="0" w:space="0" w:color="auto"/>
        <w:right w:val="none" w:sz="0" w:space="0" w:color="auto"/>
      </w:divBdr>
    </w:div>
    <w:div w:id="1726444059">
      <w:bodyDiv w:val="1"/>
      <w:marLeft w:val="0"/>
      <w:marRight w:val="0"/>
      <w:marTop w:val="0"/>
      <w:marBottom w:val="0"/>
      <w:divBdr>
        <w:top w:val="none" w:sz="0" w:space="0" w:color="auto"/>
        <w:left w:val="none" w:sz="0" w:space="0" w:color="auto"/>
        <w:bottom w:val="none" w:sz="0" w:space="0" w:color="auto"/>
        <w:right w:val="none" w:sz="0" w:space="0" w:color="auto"/>
      </w:divBdr>
    </w:div>
    <w:div w:id="1728216320">
      <w:bodyDiv w:val="1"/>
      <w:marLeft w:val="0"/>
      <w:marRight w:val="0"/>
      <w:marTop w:val="0"/>
      <w:marBottom w:val="0"/>
      <w:divBdr>
        <w:top w:val="none" w:sz="0" w:space="0" w:color="auto"/>
        <w:left w:val="none" w:sz="0" w:space="0" w:color="auto"/>
        <w:bottom w:val="none" w:sz="0" w:space="0" w:color="auto"/>
        <w:right w:val="none" w:sz="0" w:space="0" w:color="auto"/>
      </w:divBdr>
    </w:div>
    <w:div w:id="1736127204">
      <w:bodyDiv w:val="1"/>
      <w:marLeft w:val="0"/>
      <w:marRight w:val="0"/>
      <w:marTop w:val="0"/>
      <w:marBottom w:val="0"/>
      <w:divBdr>
        <w:top w:val="none" w:sz="0" w:space="0" w:color="auto"/>
        <w:left w:val="none" w:sz="0" w:space="0" w:color="auto"/>
        <w:bottom w:val="none" w:sz="0" w:space="0" w:color="auto"/>
        <w:right w:val="none" w:sz="0" w:space="0" w:color="auto"/>
      </w:divBdr>
    </w:div>
    <w:div w:id="1739093137">
      <w:bodyDiv w:val="1"/>
      <w:marLeft w:val="0"/>
      <w:marRight w:val="0"/>
      <w:marTop w:val="0"/>
      <w:marBottom w:val="0"/>
      <w:divBdr>
        <w:top w:val="none" w:sz="0" w:space="0" w:color="auto"/>
        <w:left w:val="none" w:sz="0" w:space="0" w:color="auto"/>
        <w:bottom w:val="none" w:sz="0" w:space="0" w:color="auto"/>
        <w:right w:val="none" w:sz="0" w:space="0" w:color="auto"/>
      </w:divBdr>
    </w:div>
    <w:div w:id="1743673443">
      <w:bodyDiv w:val="1"/>
      <w:marLeft w:val="0"/>
      <w:marRight w:val="0"/>
      <w:marTop w:val="0"/>
      <w:marBottom w:val="0"/>
      <w:divBdr>
        <w:top w:val="none" w:sz="0" w:space="0" w:color="auto"/>
        <w:left w:val="none" w:sz="0" w:space="0" w:color="auto"/>
        <w:bottom w:val="none" w:sz="0" w:space="0" w:color="auto"/>
        <w:right w:val="none" w:sz="0" w:space="0" w:color="auto"/>
      </w:divBdr>
    </w:div>
    <w:div w:id="1750036383">
      <w:bodyDiv w:val="1"/>
      <w:marLeft w:val="0"/>
      <w:marRight w:val="0"/>
      <w:marTop w:val="0"/>
      <w:marBottom w:val="0"/>
      <w:divBdr>
        <w:top w:val="none" w:sz="0" w:space="0" w:color="auto"/>
        <w:left w:val="none" w:sz="0" w:space="0" w:color="auto"/>
        <w:bottom w:val="none" w:sz="0" w:space="0" w:color="auto"/>
        <w:right w:val="none" w:sz="0" w:space="0" w:color="auto"/>
      </w:divBdr>
    </w:div>
    <w:div w:id="1751850216">
      <w:bodyDiv w:val="1"/>
      <w:marLeft w:val="0"/>
      <w:marRight w:val="0"/>
      <w:marTop w:val="0"/>
      <w:marBottom w:val="0"/>
      <w:divBdr>
        <w:top w:val="none" w:sz="0" w:space="0" w:color="auto"/>
        <w:left w:val="none" w:sz="0" w:space="0" w:color="auto"/>
        <w:bottom w:val="none" w:sz="0" w:space="0" w:color="auto"/>
        <w:right w:val="none" w:sz="0" w:space="0" w:color="auto"/>
      </w:divBdr>
    </w:div>
    <w:div w:id="1780491030">
      <w:bodyDiv w:val="1"/>
      <w:marLeft w:val="0"/>
      <w:marRight w:val="0"/>
      <w:marTop w:val="0"/>
      <w:marBottom w:val="0"/>
      <w:divBdr>
        <w:top w:val="none" w:sz="0" w:space="0" w:color="auto"/>
        <w:left w:val="none" w:sz="0" w:space="0" w:color="auto"/>
        <w:bottom w:val="none" w:sz="0" w:space="0" w:color="auto"/>
        <w:right w:val="none" w:sz="0" w:space="0" w:color="auto"/>
      </w:divBdr>
    </w:div>
    <w:div w:id="1782601369">
      <w:bodyDiv w:val="1"/>
      <w:marLeft w:val="0"/>
      <w:marRight w:val="0"/>
      <w:marTop w:val="0"/>
      <w:marBottom w:val="0"/>
      <w:divBdr>
        <w:top w:val="none" w:sz="0" w:space="0" w:color="auto"/>
        <w:left w:val="none" w:sz="0" w:space="0" w:color="auto"/>
        <w:bottom w:val="none" w:sz="0" w:space="0" w:color="auto"/>
        <w:right w:val="none" w:sz="0" w:space="0" w:color="auto"/>
      </w:divBdr>
    </w:div>
    <w:div w:id="1783065236">
      <w:bodyDiv w:val="1"/>
      <w:marLeft w:val="0"/>
      <w:marRight w:val="0"/>
      <w:marTop w:val="0"/>
      <w:marBottom w:val="0"/>
      <w:divBdr>
        <w:top w:val="none" w:sz="0" w:space="0" w:color="auto"/>
        <w:left w:val="none" w:sz="0" w:space="0" w:color="auto"/>
        <w:bottom w:val="none" w:sz="0" w:space="0" w:color="auto"/>
        <w:right w:val="none" w:sz="0" w:space="0" w:color="auto"/>
      </w:divBdr>
    </w:div>
    <w:div w:id="1786731467">
      <w:bodyDiv w:val="1"/>
      <w:marLeft w:val="0"/>
      <w:marRight w:val="0"/>
      <w:marTop w:val="0"/>
      <w:marBottom w:val="0"/>
      <w:divBdr>
        <w:top w:val="none" w:sz="0" w:space="0" w:color="auto"/>
        <w:left w:val="none" w:sz="0" w:space="0" w:color="auto"/>
        <w:bottom w:val="none" w:sz="0" w:space="0" w:color="auto"/>
        <w:right w:val="none" w:sz="0" w:space="0" w:color="auto"/>
      </w:divBdr>
    </w:div>
    <w:div w:id="1795565170">
      <w:bodyDiv w:val="1"/>
      <w:marLeft w:val="0"/>
      <w:marRight w:val="0"/>
      <w:marTop w:val="0"/>
      <w:marBottom w:val="0"/>
      <w:divBdr>
        <w:top w:val="none" w:sz="0" w:space="0" w:color="auto"/>
        <w:left w:val="none" w:sz="0" w:space="0" w:color="auto"/>
        <w:bottom w:val="none" w:sz="0" w:space="0" w:color="auto"/>
        <w:right w:val="none" w:sz="0" w:space="0" w:color="auto"/>
      </w:divBdr>
    </w:div>
    <w:div w:id="1807896446">
      <w:bodyDiv w:val="1"/>
      <w:marLeft w:val="0"/>
      <w:marRight w:val="0"/>
      <w:marTop w:val="0"/>
      <w:marBottom w:val="0"/>
      <w:divBdr>
        <w:top w:val="none" w:sz="0" w:space="0" w:color="auto"/>
        <w:left w:val="none" w:sz="0" w:space="0" w:color="auto"/>
        <w:bottom w:val="none" w:sz="0" w:space="0" w:color="auto"/>
        <w:right w:val="none" w:sz="0" w:space="0" w:color="auto"/>
      </w:divBdr>
    </w:div>
    <w:div w:id="1814367339">
      <w:bodyDiv w:val="1"/>
      <w:marLeft w:val="0"/>
      <w:marRight w:val="0"/>
      <w:marTop w:val="0"/>
      <w:marBottom w:val="0"/>
      <w:divBdr>
        <w:top w:val="none" w:sz="0" w:space="0" w:color="auto"/>
        <w:left w:val="none" w:sz="0" w:space="0" w:color="auto"/>
        <w:bottom w:val="none" w:sz="0" w:space="0" w:color="auto"/>
        <w:right w:val="none" w:sz="0" w:space="0" w:color="auto"/>
      </w:divBdr>
    </w:div>
    <w:div w:id="1814635612">
      <w:bodyDiv w:val="1"/>
      <w:marLeft w:val="0"/>
      <w:marRight w:val="0"/>
      <w:marTop w:val="0"/>
      <w:marBottom w:val="0"/>
      <w:divBdr>
        <w:top w:val="none" w:sz="0" w:space="0" w:color="auto"/>
        <w:left w:val="none" w:sz="0" w:space="0" w:color="auto"/>
        <w:bottom w:val="none" w:sz="0" w:space="0" w:color="auto"/>
        <w:right w:val="none" w:sz="0" w:space="0" w:color="auto"/>
      </w:divBdr>
    </w:div>
    <w:div w:id="1822692772">
      <w:bodyDiv w:val="1"/>
      <w:marLeft w:val="0"/>
      <w:marRight w:val="0"/>
      <w:marTop w:val="0"/>
      <w:marBottom w:val="0"/>
      <w:divBdr>
        <w:top w:val="none" w:sz="0" w:space="0" w:color="auto"/>
        <w:left w:val="none" w:sz="0" w:space="0" w:color="auto"/>
        <w:bottom w:val="none" w:sz="0" w:space="0" w:color="auto"/>
        <w:right w:val="none" w:sz="0" w:space="0" w:color="auto"/>
      </w:divBdr>
    </w:div>
    <w:div w:id="1850413763">
      <w:bodyDiv w:val="1"/>
      <w:marLeft w:val="0"/>
      <w:marRight w:val="0"/>
      <w:marTop w:val="0"/>
      <w:marBottom w:val="0"/>
      <w:divBdr>
        <w:top w:val="none" w:sz="0" w:space="0" w:color="auto"/>
        <w:left w:val="none" w:sz="0" w:space="0" w:color="auto"/>
        <w:bottom w:val="none" w:sz="0" w:space="0" w:color="auto"/>
        <w:right w:val="none" w:sz="0" w:space="0" w:color="auto"/>
      </w:divBdr>
    </w:div>
    <w:div w:id="1851680380">
      <w:bodyDiv w:val="1"/>
      <w:marLeft w:val="0"/>
      <w:marRight w:val="0"/>
      <w:marTop w:val="0"/>
      <w:marBottom w:val="0"/>
      <w:divBdr>
        <w:top w:val="none" w:sz="0" w:space="0" w:color="auto"/>
        <w:left w:val="none" w:sz="0" w:space="0" w:color="auto"/>
        <w:bottom w:val="none" w:sz="0" w:space="0" w:color="auto"/>
        <w:right w:val="none" w:sz="0" w:space="0" w:color="auto"/>
      </w:divBdr>
    </w:div>
    <w:div w:id="1853034710">
      <w:bodyDiv w:val="1"/>
      <w:marLeft w:val="0"/>
      <w:marRight w:val="0"/>
      <w:marTop w:val="0"/>
      <w:marBottom w:val="0"/>
      <w:divBdr>
        <w:top w:val="none" w:sz="0" w:space="0" w:color="auto"/>
        <w:left w:val="none" w:sz="0" w:space="0" w:color="auto"/>
        <w:bottom w:val="none" w:sz="0" w:space="0" w:color="auto"/>
        <w:right w:val="none" w:sz="0" w:space="0" w:color="auto"/>
      </w:divBdr>
    </w:div>
    <w:div w:id="1860584094">
      <w:bodyDiv w:val="1"/>
      <w:marLeft w:val="0"/>
      <w:marRight w:val="0"/>
      <w:marTop w:val="0"/>
      <w:marBottom w:val="0"/>
      <w:divBdr>
        <w:top w:val="none" w:sz="0" w:space="0" w:color="auto"/>
        <w:left w:val="none" w:sz="0" w:space="0" w:color="auto"/>
        <w:bottom w:val="none" w:sz="0" w:space="0" w:color="auto"/>
        <w:right w:val="none" w:sz="0" w:space="0" w:color="auto"/>
      </w:divBdr>
    </w:div>
    <w:div w:id="1867133532">
      <w:bodyDiv w:val="1"/>
      <w:marLeft w:val="0"/>
      <w:marRight w:val="0"/>
      <w:marTop w:val="0"/>
      <w:marBottom w:val="0"/>
      <w:divBdr>
        <w:top w:val="none" w:sz="0" w:space="0" w:color="auto"/>
        <w:left w:val="none" w:sz="0" w:space="0" w:color="auto"/>
        <w:bottom w:val="none" w:sz="0" w:space="0" w:color="auto"/>
        <w:right w:val="none" w:sz="0" w:space="0" w:color="auto"/>
      </w:divBdr>
    </w:div>
    <w:div w:id="1873031953">
      <w:bodyDiv w:val="1"/>
      <w:marLeft w:val="0"/>
      <w:marRight w:val="0"/>
      <w:marTop w:val="0"/>
      <w:marBottom w:val="0"/>
      <w:divBdr>
        <w:top w:val="none" w:sz="0" w:space="0" w:color="auto"/>
        <w:left w:val="none" w:sz="0" w:space="0" w:color="auto"/>
        <w:bottom w:val="none" w:sz="0" w:space="0" w:color="auto"/>
        <w:right w:val="none" w:sz="0" w:space="0" w:color="auto"/>
      </w:divBdr>
    </w:div>
    <w:div w:id="1881505270">
      <w:bodyDiv w:val="1"/>
      <w:marLeft w:val="0"/>
      <w:marRight w:val="0"/>
      <w:marTop w:val="0"/>
      <w:marBottom w:val="0"/>
      <w:divBdr>
        <w:top w:val="none" w:sz="0" w:space="0" w:color="auto"/>
        <w:left w:val="none" w:sz="0" w:space="0" w:color="auto"/>
        <w:bottom w:val="none" w:sz="0" w:space="0" w:color="auto"/>
        <w:right w:val="none" w:sz="0" w:space="0" w:color="auto"/>
      </w:divBdr>
    </w:div>
    <w:div w:id="1884632127">
      <w:bodyDiv w:val="1"/>
      <w:marLeft w:val="0"/>
      <w:marRight w:val="0"/>
      <w:marTop w:val="0"/>
      <w:marBottom w:val="0"/>
      <w:divBdr>
        <w:top w:val="none" w:sz="0" w:space="0" w:color="auto"/>
        <w:left w:val="none" w:sz="0" w:space="0" w:color="auto"/>
        <w:bottom w:val="none" w:sz="0" w:space="0" w:color="auto"/>
        <w:right w:val="none" w:sz="0" w:space="0" w:color="auto"/>
      </w:divBdr>
    </w:div>
    <w:div w:id="1892690453">
      <w:bodyDiv w:val="1"/>
      <w:marLeft w:val="0"/>
      <w:marRight w:val="0"/>
      <w:marTop w:val="0"/>
      <w:marBottom w:val="0"/>
      <w:divBdr>
        <w:top w:val="none" w:sz="0" w:space="0" w:color="auto"/>
        <w:left w:val="none" w:sz="0" w:space="0" w:color="auto"/>
        <w:bottom w:val="none" w:sz="0" w:space="0" w:color="auto"/>
        <w:right w:val="none" w:sz="0" w:space="0" w:color="auto"/>
      </w:divBdr>
    </w:div>
    <w:div w:id="1895585335">
      <w:bodyDiv w:val="1"/>
      <w:marLeft w:val="0"/>
      <w:marRight w:val="0"/>
      <w:marTop w:val="0"/>
      <w:marBottom w:val="0"/>
      <w:divBdr>
        <w:top w:val="none" w:sz="0" w:space="0" w:color="auto"/>
        <w:left w:val="none" w:sz="0" w:space="0" w:color="auto"/>
        <w:bottom w:val="none" w:sz="0" w:space="0" w:color="auto"/>
        <w:right w:val="none" w:sz="0" w:space="0" w:color="auto"/>
      </w:divBdr>
    </w:div>
    <w:div w:id="1910069511">
      <w:bodyDiv w:val="1"/>
      <w:marLeft w:val="0"/>
      <w:marRight w:val="0"/>
      <w:marTop w:val="0"/>
      <w:marBottom w:val="0"/>
      <w:divBdr>
        <w:top w:val="none" w:sz="0" w:space="0" w:color="auto"/>
        <w:left w:val="none" w:sz="0" w:space="0" w:color="auto"/>
        <w:bottom w:val="none" w:sz="0" w:space="0" w:color="auto"/>
        <w:right w:val="none" w:sz="0" w:space="0" w:color="auto"/>
      </w:divBdr>
    </w:div>
    <w:div w:id="1916161914">
      <w:bodyDiv w:val="1"/>
      <w:marLeft w:val="0"/>
      <w:marRight w:val="0"/>
      <w:marTop w:val="0"/>
      <w:marBottom w:val="0"/>
      <w:divBdr>
        <w:top w:val="none" w:sz="0" w:space="0" w:color="auto"/>
        <w:left w:val="none" w:sz="0" w:space="0" w:color="auto"/>
        <w:bottom w:val="none" w:sz="0" w:space="0" w:color="auto"/>
        <w:right w:val="none" w:sz="0" w:space="0" w:color="auto"/>
      </w:divBdr>
    </w:div>
    <w:div w:id="1925842170">
      <w:bodyDiv w:val="1"/>
      <w:marLeft w:val="0"/>
      <w:marRight w:val="0"/>
      <w:marTop w:val="0"/>
      <w:marBottom w:val="0"/>
      <w:divBdr>
        <w:top w:val="none" w:sz="0" w:space="0" w:color="auto"/>
        <w:left w:val="none" w:sz="0" w:space="0" w:color="auto"/>
        <w:bottom w:val="none" w:sz="0" w:space="0" w:color="auto"/>
        <w:right w:val="none" w:sz="0" w:space="0" w:color="auto"/>
      </w:divBdr>
    </w:div>
    <w:div w:id="1927373122">
      <w:bodyDiv w:val="1"/>
      <w:marLeft w:val="0"/>
      <w:marRight w:val="0"/>
      <w:marTop w:val="0"/>
      <w:marBottom w:val="0"/>
      <w:divBdr>
        <w:top w:val="none" w:sz="0" w:space="0" w:color="auto"/>
        <w:left w:val="none" w:sz="0" w:space="0" w:color="auto"/>
        <w:bottom w:val="none" w:sz="0" w:space="0" w:color="auto"/>
        <w:right w:val="none" w:sz="0" w:space="0" w:color="auto"/>
      </w:divBdr>
    </w:div>
    <w:div w:id="1938366242">
      <w:bodyDiv w:val="1"/>
      <w:marLeft w:val="0"/>
      <w:marRight w:val="0"/>
      <w:marTop w:val="0"/>
      <w:marBottom w:val="0"/>
      <w:divBdr>
        <w:top w:val="none" w:sz="0" w:space="0" w:color="auto"/>
        <w:left w:val="none" w:sz="0" w:space="0" w:color="auto"/>
        <w:bottom w:val="none" w:sz="0" w:space="0" w:color="auto"/>
        <w:right w:val="none" w:sz="0" w:space="0" w:color="auto"/>
      </w:divBdr>
    </w:div>
    <w:div w:id="1946573839">
      <w:bodyDiv w:val="1"/>
      <w:marLeft w:val="0"/>
      <w:marRight w:val="0"/>
      <w:marTop w:val="0"/>
      <w:marBottom w:val="0"/>
      <w:divBdr>
        <w:top w:val="none" w:sz="0" w:space="0" w:color="auto"/>
        <w:left w:val="none" w:sz="0" w:space="0" w:color="auto"/>
        <w:bottom w:val="none" w:sz="0" w:space="0" w:color="auto"/>
        <w:right w:val="none" w:sz="0" w:space="0" w:color="auto"/>
      </w:divBdr>
    </w:div>
    <w:div w:id="1962884377">
      <w:bodyDiv w:val="1"/>
      <w:marLeft w:val="0"/>
      <w:marRight w:val="0"/>
      <w:marTop w:val="0"/>
      <w:marBottom w:val="0"/>
      <w:divBdr>
        <w:top w:val="none" w:sz="0" w:space="0" w:color="auto"/>
        <w:left w:val="none" w:sz="0" w:space="0" w:color="auto"/>
        <w:bottom w:val="none" w:sz="0" w:space="0" w:color="auto"/>
        <w:right w:val="none" w:sz="0" w:space="0" w:color="auto"/>
      </w:divBdr>
    </w:div>
    <w:div w:id="1963341335">
      <w:bodyDiv w:val="1"/>
      <w:marLeft w:val="0"/>
      <w:marRight w:val="0"/>
      <w:marTop w:val="0"/>
      <w:marBottom w:val="0"/>
      <w:divBdr>
        <w:top w:val="none" w:sz="0" w:space="0" w:color="auto"/>
        <w:left w:val="none" w:sz="0" w:space="0" w:color="auto"/>
        <w:bottom w:val="none" w:sz="0" w:space="0" w:color="auto"/>
        <w:right w:val="none" w:sz="0" w:space="0" w:color="auto"/>
      </w:divBdr>
    </w:div>
    <w:div w:id="1968200486">
      <w:bodyDiv w:val="1"/>
      <w:marLeft w:val="0"/>
      <w:marRight w:val="0"/>
      <w:marTop w:val="0"/>
      <w:marBottom w:val="0"/>
      <w:divBdr>
        <w:top w:val="none" w:sz="0" w:space="0" w:color="auto"/>
        <w:left w:val="none" w:sz="0" w:space="0" w:color="auto"/>
        <w:bottom w:val="none" w:sz="0" w:space="0" w:color="auto"/>
        <w:right w:val="none" w:sz="0" w:space="0" w:color="auto"/>
      </w:divBdr>
    </w:div>
    <w:div w:id="1975601831">
      <w:bodyDiv w:val="1"/>
      <w:marLeft w:val="0"/>
      <w:marRight w:val="0"/>
      <w:marTop w:val="0"/>
      <w:marBottom w:val="0"/>
      <w:divBdr>
        <w:top w:val="none" w:sz="0" w:space="0" w:color="auto"/>
        <w:left w:val="none" w:sz="0" w:space="0" w:color="auto"/>
        <w:bottom w:val="none" w:sz="0" w:space="0" w:color="auto"/>
        <w:right w:val="none" w:sz="0" w:space="0" w:color="auto"/>
      </w:divBdr>
    </w:div>
    <w:div w:id="1983729338">
      <w:bodyDiv w:val="1"/>
      <w:marLeft w:val="0"/>
      <w:marRight w:val="0"/>
      <w:marTop w:val="0"/>
      <w:marBottom w:val="0"/>
      <w:divBdr>
        <w:top w:val="none" w:sz="0" w:space="0" w:color="auto"/>
        <w:left w:val="none" w:sz="0" w:space="0" w:color="auto"/>
        <w:bottom w:val="none" w:sz="0" w:space="0" w:color="auto"/>
        <w:right w:val="none" w:sz="0" w:space="0" w:color="auto"/>
      </w:divBdr>
    </w:div>
    <w:div w:id="1996756241">
      <w:bodyDiv w:val="1"/>
      <w:marLeft w:val="0"/>
      <w:marRight w:val="0"/>
      <w:marTop w:val="0"/>
      <w:marBottom w:val="0"/>
      <w:divBdr>
        <w:top w:val="none" w:sz="0" w:space="0" w:color="auto"/>
        <w:left w:val="none" w:sz="0" w:space="0" w:color="auto"/>
        <w:bottom w:val="none" w:sz="0" w:space="0" w:color="auto"/>
        <w:right w:val="none" w:sz="0" w:space="0" w:color="auto"/>
      </w:divBdr>
    </w:div>
    <w:div w:id="2001155136">
      <w:bodyDiv w:val="1"/>
      <w:marLeft w:val="0"/>
      <w:marRight w:val="0"/>
      <w:marTop w:val="0"/>
      <w:marBottom w:val="0"/>
      <w:divBdr>
        <w:top w:val="none" w:sz="0" w:space="0" w:color="auto"/>
        <w:left w:val="none" w:sz="0" w:space="0" w:color="auto"/>
        <w:bottom w:val="none" w:sz="0" w:space="0" w:color="auto"/>
        <w:right w:val="none" w:sz="0" w:space="0" w:color="auto"/>
      </w:divBdr>
    </w:div>
    <w:div w:id="2011444097">
      <w:bodyDiv w:val="1"/>
      <w:marLeft w:val="0"/>
      <w:marRight w:val="0"/>
      <w:marTop w:val="0"/>
      <w:marBottom w:val="0"/>
      <w:divBdr>
        <w:top w:val="none" w:sz="0" w:space="0" w:color="auto"/>
        <w:left w:val="none" w:sz="0" w:space="0" w:color="auto"/>
        <w:bottom w:val="none" w:sz="0" w:space="0" w:color="auto"/>
        <w:right w:val="none" w:sz="0" w:space="0" w:color="auto"/>
      </w:divBdr>
    </w:div>
    <w:div w:id="2014793814">
      <w:bodyDiv w:val="1"/>
      <w:marLeft w:val="0"/>
      <w:marRight w:val="0"/>
      <w:marTop w:val="0"/>
      <w:marBottom w:val="0"/>
      <w:divBdr>
        <w:top w:val="none" w:sz="0" w:space="0" w:color="auto"/>
        <w:left w:val="none" w:sz="0" w:space="0" w:color="auto"/>
        <w:bottom w:val="none" w:sz="0" w:space="0" w:color="auto"/>
        <w:right w:val="none" w:sz="0" w:space="0" w:color="auto"/>
      </w:divBdr>
    </w:div>
    <w:div w:id="2016417440">
      <w:bodyDiv w:val="1"/>
      <w:marLeft w:val="0"/>
      <w:marRight w:val="0"/>
      <w:marTop w:val="0"/>
      <w:marBottom w:val="0"/>
      <w:divBdr>
        <w:top w:val="none" w:sz="0" w:space="0" w:color="auto"/>
        <w:left w:val="none" w:sz="0" w:space="0" w:color="auto"/>
        <w:bottom w:val="none" w:sz="0" w:space="0" w:color="auto"/>
        <w:right w:val="none" w:sz="0" w:space="0" w:color="auto"/>
      </w:divBdr>
    </w:div>
    <w:div w:id="2051300869">
      <w:bodyDiv w:val="1"/>
      <w:marLeft w:val="0"/>
      <w:marRight w:val="0"/>
      <w:marTop w:val="0"/>
      <w:marBottom w:val="0"/>
      <w:divBdr>
        <w:top w:val="none" w:sz="0" w:space="0" w:color="auto"/>
        <w:left w:val="none" w:sz="0" w:space="0" w:color="auto"/>
        <w:bottom w:val="none" w:sz="0" w:space="0" w:color="auto"/>
        <w:right w:val="none" w:sz="0" w:space="0" w:color="auto"/>
      </w:divBdr>
    </w:div>
    <w:div w:id="2052226920">
      <w:bodyDiv w:val="1"/>
      <w:marLeft w:val="0"/>
      <w:marRight w:val="0"/>
      <w:marTop w:val="0"/>
      <w:marBottom w:val="0"/>
      <w:divBdr>
        <w:top w:val="none" w:sz="0" w:space="0" w:color="auto"/>
        <w:left w:val="none" w:sz="0" w:space="0" w:color="auto"/>
        <w:bottom w:val="none" w:sz="0" w:space="0" w:color="auto"/>
        <w:right w:val="none" w:sz="0" w:space="0" w:color="auto"/>
      </w:divBdr>
    </w:div>
    <w:div w:id="2055079842">
      <w:bodyDiv w:val="1"/>
      <w:marLeft w:val="0"/>
      <w:marRight w:val="0"/>
      <w:marTop w:val="0"/>
      <w:marBottom w:val="0"/>
      <w:divBdr>
        <w:top w:val="none" w:sz="0" w:space="0" w:color="auto"/>
        <w:left w:val="none" w:sz="0" w:space="0" w:color="auto"/>
        <w:bottom w:val="none" w:sz="0" w:space="0" w:color="auto"/>
        <w:right w:val="none" w:sz="0" w:space="0" w:color="auto"/>
      </w:divBdr>
    </w:div>
    <w:div w:id="2085836072">
      <w:bodyDiv w:val="1"/>
      <w:marLeft w:val="0"/>
      <w:marRight w:val="0"/>
      <w:marTop w:val="0"/>
      <w:marBottom w:val="0"/>
      <w:divBdr>
        <w:top w:val="none" w:sz="0" w:space="0" w:color="auto"/>
        <w:left w:val="none" w:sz="0" w:space="0" w:color="auto"/>
        <w:bottom w:val="none" w:sz="0" w:space="0" w:color="auto"/>
        <w:right w:val="none" w:sz="0" w:space="0" w:color="auto"/>
      </w:divBdr>
    </w:div>
    <w:div w:id="2088186329">
      <w:bodyDiv w:val="1"/>
      <w:marLeft w:val="0"/>
      <w:marRight w:val="0"/>
      <w:marTop w:val="0"/>
      <w:marBottom w:val="0"/>
      <w:divBdr>
        <w:top w:val="none" w:sz="0" w:space="0" w:color="auto"/>
        <w:left w:val="none" w:sz="0" w:space="0" w:color="auto"/>
        <w:bottom w:val="none" w:sz="0" w:space="0" w:color="auto"/>
        <w:right w:val="none" w:sz="0" w:space="0" w:color="auto"/>
      </w:divBdr>
    </w:div>
    <w:div w:id="2090417008">
      <w:bodyDiv w:val="1"/>
      <w:marLeft w:val="0"/>
      <w:marRight w:val="0"/>
      <w:marTop w:val="0"/>
      <w:marBottom w:val="0"/>
      <w:divBdr>
        <w:top w:val="none" w:sz="0" w:space="0" w:color="auto"/>
        <w:left w:val="none" w:sz="0" w:space="0" w:color="auto"/>
        <w:bottom w:val="none" w:sz="0" w:space="0" w:color="auto"/>
        <w:right w:val="none" w:sz="0" w:space="0" w:color="auto"/>
      </w:divBdr>
    </w:div>
    <w:div w:id="2106028801">
      <w:bodyDiv w:val="1"/>
      <w:marLeft w:val="0"/>
      <w:marRight w:val="0"/>
      <w:marTop w:val="0"/>
      <w:marBottom w:val="0"/>
      <w:divBdr>
        <w:top w:val="none" w:sz="0" w:space="0" w:color="auto"/>
        <w:left w:val="none" w:sz="0" w:space="0" w:color="auto"/>
        <w:bottom w:val="none" w:sz="0" w:space="0" w:color="auto"/>
        <w:right w:val="none" w:sz="0" w:space="0" w:color="auto"/>
      </w:divBdr>
    </w:div>
    <w:div w:id="2124574110">
      <w:bodyDiv w:val="1"/>
      <w:marLeft w:val="0"/>
      <w:marRight w:val="0"/>
      <w:marTop w:val="0"/>
      <w:marBottom w:val="0"/>
      <w:divBdr>
        <w:top w:val="none" w:sz="0" w:space="0" w:color="auto"/>
        <w:left w:val="none" w:sz="0" w:space="0" w:color="auto"/>
        <w:bottom w:val="none" w:sz="0" w:space="0" w:color="auto"/>
        <w:right w:val="none" w:sz="0" w:space="0" w:color="auto"/>
      </w:divBdr>
    </w:div>
    <w:div w:id="2125347574">
      <w:bodyDiv w:val="1"/>
      <w:marLeft w:val="0"/>
      <w:marRight w:val="0"/>
      <w:marTop w:val="0"/>
      <w:marBottom w:val="0"/>
      <w:divBdr>
        <w:top w:val="none" w:sz="0" w:space="0" w:color="auto"/>
        <w:left w:val="none" w:sz="0" w:space="0" w:color="auto"/>
        <w:bottom w:val="none" w:sz="0" w:space="0" w:color="auto"/>
        <w:right w:val="none" w:sz="0" w:space="0" w:color="auto"/>
      </w:divBdr>
    </w:div>
    <w:div w:id="2125494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chart" Target="charts/chart1.xml"/><Relationship Id="rId39" Type="http://schemas.openxmlformats.org/officeDocument/2006/relationships/hyperlink" Target="http://ec.europa.eu/environment/waste/weee" TargetMode="Externa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image" Target="media/image20.png"/><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image" Target="media/image41.emf"/><Relationship Id="rId68" Type="http://schemas.openxmlformats.org/officeDocument/2006/relationships/image" Target="media/image46.emf"/><Relationship Id="rId76" Type="http://schemas.openxmlformats.org/officeDocument/2006/relationships/image" Target="media/image54.emf"/><Relationship Id="rId84" Type="http://schemas.openxmlformats.org/officeDocument/2006/relationships/image" Target="media/image62.emf"/><Relationship Id="rId89"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49.emf"/><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chart" Target="charts/chart4.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header" Target="header3.xml"/><Relationship Id="rId37" Type="http://schemas.openxmlformats.org/officeDocument/2006/relationships/image" Target="media/image17.emf"/><Relationship Id="rId40" Type="http://schemas.openxmlformats.org/officeDocument/2006/relationships/image" Target="media/image18.png"/><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image" Target="media/image44.emf"/><Relationship Id="rId74" Type="http://schemas.openxmlformats.org/officeDocument/2006/relationships/image" Target="media/image52.emf"/><Relationship Id="rId79" Type="http://schemas.openxmlformats.org/officeDocument/2006/relationships/image" Target="media/image57.emf"/><Relationship Id="rId87"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39.emf"/><Relationship Id="rId82" Type="http://schemas.openxmlformats.org/officeDocument/2006/relationships/image" Target="media/image60.png"/><Relationship Id="rId90" Type="http://schemas.openxmlformats.org/officeDocument/2006/relationships/header" Target="header7.xml"/><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15.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emf"/><Relationship Id="rId77" Type="http://schemas.openxmlformats.org/officeDocument/2006/relationships/image" Target="media/image55.emf"/><Relationship Id="rId8" Type="http://schemas.openxmlformats.org/officeDocument/2006/relationships/endnotes" Target="endnotes.xml"/><Relationship Id="rId51" Type="http://schemas.openxmlformats.org/officeDocument/2006/relationships/image" Target="media/image29.emf"/><Relationship Id="rId72" Type="http://schemas.openxmlformats.org/officeDocument/2006/relationships/image" Target="media/image50.png"/><Relationship Id="rId80" Type="http://schemas.openxmlformats.org/officeDocument/2006/relationships/image" Target="media/image58.emf"/><Relationship Id="rId85"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emf"/><Relationship Id="rId33" Type="http://schemas.openxmlformats.org/officeDocument/2006/relationships/footer" Target="footer3.xml"/><Relationship Id="rId38" Type="http://schemas.openxmlformats.org/officeDocument/2006/relationships/hyperlink" Target="http://www.unep.org" TargetMode="External"/><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emf"/><Relationship Id="rId20" Type="http://schemas.openxmlformats.org/officeDocument/2006/relationships/image" Target="media/image12.emf"/><Relationship Id="rId41" Type="http://schemas.openxmlformats.org/officeDocument/2006/relationships/image" Target="media/image19.png"/><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emf"/><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header" Target="header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2.xml"/><Relationship Id="rId28" Type="http://schemas.openxmlformats.org/officeDocument/2006/relationships/chart" Target="charts/chart3.xml"/><Relationship Id="rId36" Type="http://schemas.openxmlformats.org/officeDocument/2006/relationships/image" Target="media/image16.png"/><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image" Target="media/image2.png"/><Relationship Id="rId31" Type="http://schemas.openxmlformats.org/officeDocument/2006/relationships/header" Target="header2.xml"/><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4" Type="http://schemas.microsoft.com/office/2007/relationships/stylesWithEffects" Target="stylesWithEffects.xml"/><Relationship Id="rId9" Type="http://schemas.openxmlformats.org/officeDocument/2006/relationships/image" Target="media/image1.emf"/></Relationships>
</file>

<file path=word/_rels/footnotes.xml.rels><?xml version="1.0" encoding="UTF-8" standalone="yes"?>
<Relationships xmlns="http://schemas.openxmlformats.org/package/2006/relationships"><Relationship Id="rId2" Type="http://schemas.openxmlformats.org/officeDocument/2006/relationships/hyperlink" Target="http://www.mojebillboardy.cz/hledat/index/search_county/10-praha/search_billboardtype/1" TargetMode="External"/><Relationship Id="rId1" Type="http://schemas.openxmlformats.org/officeDocument/2006/relationships/hyperlink" Target="http://ekonomika.idnes.cz/na-sporu-inzerentu-s-novou-vydelaly-male-televize-fwi-/ekoakcie.aspx?c=A130419_223051_ekoakcie_br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Se&#353;it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Desktop\DATA%20ELEKTRO\Souhrny\miry%20vyuziti.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Monika\Downloads\RIA%20Zpetn&#253;%20odb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CUNI-IES\Dropbox\Zp&#283;tn&#253;%20odb&#283;r%20-%20elektro\Podklady%20EEIP\RIA%20Zpetn&#253;%20odb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CUNI-IES\Dropbox\Zp&#283;tn&#253;%20odb&#283;r%20-%20elektro\Podklady%20EEIP\RIA%20Zpetn&#253;%20odber.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lang="cs-CZ"/>
                </a:pPr>
                <a:endParaRPr lang="cs-CZ"/>
              </a:p>
            </c:txPr>
            <c:showLegendKey val="0"/>
            <c:showVal val="1"/>
            <c:showCatName val="0"/>
            <c:showSerName val="0"/>
            <c:showPercent val="0"/>
            <c:showBubbleSize val="0"/>
            <c:showLeaderLines val="1"/>
            <c:extLst>
              <c:ext xmlns:c15="http://schemas.microsoft.com/office/drawing/2012/chart" uri="{CE6537A1-D6FC-4f65-9D91-7224C49458BB}"/>
            </c:extLst>
          </c:dLbls>
          <c:cat>
            <c:strRef>
              <c:f>List1!$E$8:$E$17</c:f>
              <c:strCache>
                <c:ptCount val="10"/>
                <c:pt idx="0">
                  <c:v>Skupina 1</c:v>
                </c:pt>
                <c:pt idx="1">
                  <c:v>Skupina 2</c:v>
                </c:pt>
                <c:pt idx="2">
                  <c:v>Skupina 3</c:v>
                </c:pt>
                <c:pt idx="3">
                  <c:v>Skupina 4</c:v>
                </c:pt>
                <c:pt idx="4">
                  <c:v>Skupina 5</c:v>
                </c:pt>
                <c:pt idx="5">
                  <c:v>Skupina 6</c:v>
                </c:pt>
                <c:pt idx="6">
                  <c:v>Skupina 7</c:v>
                </c:pt>
                <c:pt idx="7">
                  <c:v>Skupina 8</c:v>
                </c:pt>
                <c:pt idx="8">
                  <c:v>Skupina 9</c:v>
                </c:pt>
                <c:pt idx="9">
                  <c:v>Skupina 10</c:v>
                </c:pt>
              </c:strCache>
            </c:strRef>
          </c:cat>
          <c:val>
            <c:numRef>
              <c:f>List1!$F$8:$F$17</c:f>
              <c:numCache>
                <c:formatCode>0%</c:formatCode>
                <c:ptCount val="10"/>
                <c:pt idx="0">
                  <c:v>0.45</c:v>
                </c:pt>
                <c:pt idx="1">
                  <c:v>6.0000000000000123E-2</c:v>
                </c:pt>
                <c:pt idx="2">
                  <c:v>0.19000000000000022</c:v>
                </c:pt>
                <c:pt idx="3">
                  <c:v>0.26</c:v>
                </c:pt>
                <c:pt idx="4">
                  <c:v>3.0000000000000065E-2</c:v>
                </c:pt>
                <c:pt idx="5">
                  <c:v>2.0000000000000042E-2</c:v>
                </c:pt>
                <c:pt idx="6">
                  <c:v>1.0000000000000023E-2</c:v>
                </c:pt>
                <c:pt idx="7">
                  <c:v>0</c:v>
                </c:pt>
                <c:pt idx="8">
                  <c:v>0</c:v>
                </c:pt>
                <c:pt idx="9">
                  <c:v>0</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cs-CZ"/>
          </a:pPr>
          <a:endParaRPr lang="cs-CZ"/>
        </a:p>
      </c:txPr>
    </c:legend>
    <c:plotVisOnly val="1"/>
    <c:dispBlanksAs val="zero"/>
    <c:showDLblsOverMax val="0"/>
  </c:chart>
  <c:spPr>
    <a:ln>
      <a:solidFill>
        <a:sysClr val="windowText" lastClr="000000"/>
      </a:solid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6693437367515988E-2"/>
          <c:y val="0.19370677110956985"/>
          <c:w val="0.82175934571425258"/>
          <c:h val="0.72288459350233103"/>
        </c:manualLayout>
      </c:layout>
      <c:pie3DChart>
        <c:varyColors val="1"/>
        <c:ser>
          <c:idx val="0"/>
          <c:order val="0"/>
          <c:dLbls>
            <c:dLbl>
              <c:idx val="1"/>
              <c:layout>
                <c:manualLayout>
                  <c:x val="2.0861356808490151E-2"/>
                  <c:y val="-7.8182660892684414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3.4967870395510914E-2"/>
                  <c:y val="0.19659799001808714"/>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4.6457032009238113E-2"/>
                  <c:y val="0.23551368693960151"/>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9.0057471045340565E-2"/>
                  <c:y val="9.4585493624340183E-2"/>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13147939360055014"/>
                  <c:y val="1.2439423923421718E-3"/>
                </c:manualLayout>
              </c:layout>
              <c:showLegendKey val="0"/>
              <c:showVal val="0"/>
              <c:showCatName val="1"/>
              <c:showSerName val="0"/>
              <c:showPercent val="1"/>
              <c:showBubbleSize val="0"/>
              <c:extLst>
                <c:ext xmlns:c15="http://schemas.microsoft.com/office/drawing/2012/chart" uri="{CE6537A1-D6FC-4f65-9D91-7224C49458BB}"/>
              </c:extLst>
            </c:dLbl>
            <c:dLbl>
              <c:idx val="8"/>
              <c:tx>
                <c:rich>
                  <a:bodyPr/>
                  <a:lstStyle/>
                  <a:p>
                    <a:r>
                      <a:rPr lang="en-US" sz="800">
                        <a:latin typeface="Arial" panose="020B0604020202020204" pitchFamily="34" charset="0"/>
                        <a:cs typeface="Arial" panose="020B0604020202020204" pitchFamily="34" charset="0"/>
                      </a:rPr>
                      <a:t>FULGUR BATTMAN, spol.s r.o.
0%</a:t>
                    </a:r>
                    <a:endParaRPr lang="en-US"/>
                  </a:p>
                </c:rich>
              </c:tx>
              <c:showLegendKey val="0"/>
              <c:showVal val="0"/>
              <c:showCatName val="1"/>
              <c:showSerName val="0"/>
              <c:showPercent val="1"/>
              <c:showBubbleSize val="0"/>
              <c:extLst>
                <c:ext xmlns:c15="http://schemas.microsoft.com/office/drawing/2012/chart" uri="{CE6537A1-D6FC-4f65-9D91-7224C49458BB}"/>
              </c:extLst>
            </c:dLbl>
            <c:dLbl>
              <c:idx val="9"/>
              <c:tx>
                <c:rich>
                  <a:bodyPr/>
                  <a:lstStyle/>
                  <a:p>
                    <a:r>
                      <a:rPr lang="en-US" sz="800">
                        <a:latin typeface="Arial" panose="020B0604020202020204" pitchFamily="34" charset="0"/>
                        <a:cs typeface="Arial" panose="020B0604020202020204" pitchFamily="34" charset="0"/>
                      </a:rPr>
                      <a:t>IS 
0%</a:t>
                    </a:r>
                    <a:endParaRPr lang="en-US"/>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lang="cs-CZ" sz="800">
                    <a:latin typeface="Arial" panose="020B0604020202020204" pitchFamily="34" charset="0"/>
                    <a:cs typeface="Arial" panose="020B0604020202020204" pitchFamily="34" charset="0"/>
                  </a:defRPr>
                </a:pPr>
                <a:endParaRPr lang="cs-CZ"/>
              </a:p>
            </c:txPr>
            <c:showLegendKey val="0"/>
            <c:showVal val="0"/>
            <c:showCatName val="1"/>
            <c:showSerName val="0"/>
            <c:showPercent val="1"/>
            <c:showBubbleSize val="0"/>
            <c:showLeaderLines val="1"/>
            <c:extLst>
              <c:ext xmlns:c15="http://schemas.microsoft.com/office/drawing/2012/chart" uri="{CE6537A1-D6FC-4f65-9D91-7224C49458BB}"/>
            </c:extLst>
          </c:dLbls>
          <c:cat>
            <c:strRef>
              <c:f>List2!$C$10:$C$19</c:f>
              <c:strCache>
                <c:ptCount val="10"/>
                <c:pt idx="0">
                  <c:v>ASEKOL s.r.o.</c:v>
                </c:pt>
                <c:pt idx="1">
                  <c:v>Bren, s.r.o.</c:v>
                </c:pt>
                <c:pt idx="2">
                  <c:v>EKOLAMP s.r.o.</c:v>
                </c:pt>
                <c:pt idx="3">
                  <c:v>Elektrowin a.s.</c:v>
                </c:pt>
                <c:pt idx="4">
                  <c:v>OFO - Recycling s.r.o.</c:v>
                </c:pt>
                <c:pt idx="5">
                  <c:v>REMA Systém, a.s.</c:v>
                </c:pt>
                <c:pt idx="6">
                  <c:v>RETELA, s.r.o.</c:v>
                </c:pt>
                <c:pt idx="7">
                  <c:v>ZENTEK CZ s.r.o.</c:v>
                </c:pt>
                <c:pt idx="8">
                  <c:v>FULGUR BATTMAN, spol.s r.o. ***</c:v>
                </c:pt>
                <c:pt idx="9">
                  <c:v>Individuální systémy ****</c:v>
                </c:pt>
              </c:strCache>
            </c:strRef>
          </c:cat>
          <c:val>
            <c:numRef>
              <c:f>List2!$E$10:$E$19</c:f>
              <c:numCache>
                <c:formatCode>General</c:formatCode>
                <c:ptCount val="10"/>
                <c:pt idx="0" formatCode="#,##0.00">
                  <c:v>17139.38</c:v>
                </c:pt>
                <c:pt idx="1">
                  <c:v>31.39</c:v>
                </c:pt>
                <c:pt idx="2">
                  <c:v>973.39</c:v>
                </c:pt>
                <c:pt idx="3" formatCode="#,##0.00">
                  <c:v>25040.3</c:v>
                </c:pt>
                <c:pt idx="4">
                  <c:v>4.03</c:v>
                </c:pt>
                <c:pt idx="5" formatCode="#,##0.00">
                  <c:v>4891.25</c:v>
                </c:pt>
                <c:pt idx="6" formatCode="#,##0.00">
                  <c:v>5404.68</c:v>
                </c:pt>
                <c:pt idx="7">
                  <c:v>3.4099999999999997</c:v>
                </c:pt>
                <c:pt idx="8">
                  <c:v>0</c:v>
                </c:pt>
                <c:pt idx="9">
                  <c:v>197.05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areaChart>
        <c:grouping val="stacked"/>
        <c:varyColors val="0"/>
        <c:ser>
          <c:idx val="1"/>
          <c:order val="1"/>
          <c:tx>
            <c:strRef>
              <c:f>'[RIA Zpetný odber.xlsx]Graf merge'!$W$11</c:f>
              <c:strCache>
                <c:ptCount val="1"/>
                <c:pt idx="0">
                  <c:v>ČR</c:v>
                </c:pt>
              </c:strCache>
            </c:strRef>
          </c:tx>
          <c:spPr>
            <a:solidFill>
              <a:sysClr val="window" lastClr="FFFFFF">
                <a:lumMod val="50000"/>
                <a:alpha val="68000"/>
              </a:sysClr>
            </a:solidFill>
            <a:ln>
              <a:noFill/>
            </a:ln>
            <a:effectLst/>
          </c:spPr>
          <c:dLbls>
            <c:dLbl>
              <c:idx val="0"/>
              <c:layout>
                <c:manualLayout>
                  <c:x val="0.39804469273743143"/>
                  <c:y val="-7.7413479052823697E-2"/>
                </c:manualLayout>
              </c:layout>
              <c:tx>
                <c:rich>
                  <a:bodyPr/>
                  <a:lstStyle/>
                  <a:p>
                    <a:pPr>
                      <a:defRPr lang="cs-CZ" b="1"/>
                    </a:pPr>
                    <a:r>
                      <a:rPr lang="en-US"/>
                      <a:t>31,8%</a:t>
                    </a:r>
                  </a:p>
                </c:rich>
              </c:tx>
              <c:spP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txPr>
              <a:bodyPr/>
              <a:lstStyle/>
              <a:p>
                <a:pPr>
                  <a:defRPr lang="cs-CZ"/>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'[RIA Zpetný odber.xlsx]Graf merge'!$Y$2:$Y$10</c:f>
              <c:numCache>
                <c:formatCode>0.0%</c:formatCode>
                <c:ptCount val="9"/>
                <c:pt idx="0">
                  <c:v>0.3179622191836145</c:v>
                </c:pt>
                <c:pt idx="1">
                  <c:v>0.3179622191836145</c:v>
                </c:pt>
                <c:pt idx="2">
                  <c:v>0.3179622191836145</c:v>
                </c:pt>
                <c:pt idx="3">
                  <c:v>0.3179622191836145</c:v>
                </c:pt>
                <c:pt idx="4">
                  <c:v>0.3179622191836145</c:v>
                </c:pt>
                <c:pt idx="5">
                  <c:v>0.3179622191836145</c:v>
                </c:pt>
                <c:pt idx="6">
                  <c:v>0.3179622191836145</c:v>
                </c:pt>
                <c:pt idx="7">
                  <c:v>0.3179622191836145</c:v>
                </c:pt>
                <c:pt idx="8">
                  <c:v>0.3179622191836145</c:v>
                </c:pt>
              </c:numCache>
            </c:numRef>
          </c:val>
        </c:ser>
        <c:ser>
          <c:idx val="2"/>
          <c:order val="2"/>
          <c:tx>
            <c:strRef>
              <c:f>'[RIA Zpetný odber.xlsx]Graf merge'!$W$12</c:f>
              <c:strCache>
                <c:ptCount val="1"/>
                <c:pt idx="0">
                  <c:v>Cíl</c:v>
                </c:pt>
              </c:strCache>
            </c:strRef>
          </c:tx>
          <c:spPr>
            <a:solidFill>
              <a:schemeClr val="bg1">
                <a:lumMod val="75000"/>
                <a:alpha val="55000"/>
              </a:schemeClr>
            </a:solidFill>
          </c:spPr>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tx>
                <c:rich>
                  <a:bodyPr/>
                  <a:lstStyle/>
                  <a:p>
                    <a:r>
                      <a:rPr lang="en-US" b="1">
                        <a:solidFill>
                          <a:srgbClr val="FF0000"/>
                        </a:solidFill>
                      </a:rPr>
                      <a:t>45,0%</a:t>
                    </a:r>
                  </a:p>
                </c:rich>
              </c:tx>
              <c:showLegendKey val="0"/>
              <c:showVal val="1"/>
              <c:showCatName val="0"/>
              <c:showSerName val="0"/>
              <c:showPercent val="0"/>
              <c:showBubbleSize val="0"/>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spPr>
              <a:noFill/>
              <a:ln>
                <a:noFill/>
              </a:ln>
              <a:effectLst/>
            </c:spPr>
            <c:txPr>
              <a:bodyPr/>
              <a:lstStyle/>
              <a:p>
                <a:pPr>
                  <a:defRPr lang="cs-CZ"/>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'[RIA Zpetný odber.xlsx]Graf merge'!$Z$2:$Z$10</c:f>
              <c:numCache>
                <c:formatCode>0.0%</c:formatCode>
                <c:ptCount val="9"/>
                <c:pt idx="0">
                  <c:v>0.13203778081638756</c:v>
                </c:pt>
                <c:pt idx="1">
                  <c:v>0.13203778081638756</c:v>
                </c:pt>
                <c:pt idx="2">
                  <c:v>0.13203778081638756</c:v>
                </c:pt>
                <c:pt idx="3">
                  <c:v>0.13203778081638756</c:v>
                </c:pt>
                <c:pt idx="4">
                  <c:v>0.13203778081638756</c:v>
                </c:pt>
                <c:pt idx="5">
                  <c:v>0.13203778081638756</c:v>
                </c:pt>
                <c:pt idx="6">
                  <c:v>0.13203778081638756</c:v>
                </c:pt>
                <c:pt idx="7">
                  <c:v>0.13203778081638756</c:v>
                </c:pt>
                <c:pt idx="8">
                  <c:v>0.13203778081638756</c:v>
                </c:pt>
              </c:numCache>
            </c:numRef>
          </c:val>
        </c:ser>
        <c:dLbls>
          <c:showLegendKey val="0"/>
          <c:showVal val="0"/>
          <c:showCatName val="0"/>
          <c:showSerName val="0"/>
          <c:showPercent val="0"/>
          <c:showBubbleSize val="0"/>
        </c:dLbls>
        <c:axId val="189729408"/>
        <c:axId val="189747584"/>
      </c:areaChart>
      <c:barChart>
        <c:barDir val="col"/>
        <c:grouping val="clustered"/>
        <c:varyColors val="0"/>
        <c:ser>
          <c:idx val="0"/>
          <c:order val="0"/>
          <c:tx>
            <c:strRef>
              <c:f>'[RIA Zpetný odber.xlsx]Graf merge'!$X$1</c:f>
              <c:strCache>
                <c:ptCount val="1"/>
                <c:pt idx="0">
                  <c:v>Úroveň sběru</c:v>
                </c:pt>
              </c:strCache>
            </c:strRef>
          </c:tx>
          <c:invertIfNegative val="0"/>
          <c:cat>
            <c:strRef>
              <c:f>'[RIA Zpetný odber.xlsx]Graf merge'!$W$2:$W$10</c:f>
              <c:strCache>
                <c:ptCount val="9"/>
                <c:pt idx="0">
                  <c:v>ASEKOL s.r.o.</c:v>
                </c:pt>
                <c:pt idx="1">
                  <c:v>Bren s.r.o.</c:v>
                </c:pt>
                <c:pt idx="2">
                  <c:v>EKOLAMP s.r.o.</c:v>
                </c:pt>
                <c:pt idx="3">
                  <c:v>Elektrowin a.s.</c:v>
                </c:pt>
                <c:pt idx="4">
                  <c:v>Individuální systémy</c:v>
                </c:pt>
                <c:pt idx="5">
                  <c:v>OFO-Recycling s.r.o.</c:v>
                </c:pt>
                <c:pt idx="6">
                  <c:v>REMA Systém a.s.</c:v>
                </c:pt>
                <c:pt idx="7">
                  <c:v>RETELA s.r.o.</c:v>
                </c:pt>
                <c:pt idx="8">
                  <c:v>ZENTEK CZ s.r.o.</c:v>
                </c:pt>
              </c:strCache>
            </c:strRef>
          </c:cat>
          <c:val>
            <c:numRef>
              <c:f>'[RIA Zpetný odber.xlsx]Graf merge'!$X$2:$X$10</c:f>
              <c:numCache>
                <c:formatCode>0.00%</c:formatCode>
                <c:ptCount val="9"/>
                <c:pt idx="0">
                  <c:v>0.54958300399375959</c:v>
                </c:pt>
                <c:pt idx="1">
                  <c:v>6.3576837623974911E-2</c:v>
                </c:pt>
                <c:pt idx="2">
                  <c:v>0.13381859095012791</c:v>
                </c:pt>
                <c:pt idx="3">
                  <c:v>0.30417015388240615</c:v>
                </c:pt>
                <c:pt idx="4">
                  <c:v>0.11509412251902222</c:v>
                </c:pt>
                <c:pt idx="5">
                  <c:v>3.1607843137255029E-3</c:v>
                </c:pt>
                <c:pt idx="6">
                  <c:v>0.21236832089423024</c:v>
                </c:pt>
                <c:pt idx="7">
                  <c:v>0.25164822035596607</c:v>
                </c:pt>
                <c:pt idx="8">
                  <c:v>5.0823704808050818E-2</c:v>
                </c:pt>
              </c:numCache>
            </c:numRef>
          </c:val>
        </c:ser>
        <c:dLbls>
          <c:showLegendKey val="0"/>
          <c:showVal val="0"/>
          <c:showCatName val="0"/>
          <c:showSerName val="0"/>
          <c:showPercent val="0"/>
          <c:showBubbleSize val="0"/>
        </c:dLbls>
        <c:gapWidth val="150"/>
        <c:axId val="189729408"/>
        <c:axId val="189747584"/>
      </c:barChart>
      <c:catAx>
        <c:axId val="189729408"/>
        <c:scaling>
          <c:orientation val="minMax"/>
        </c:scaling>
        <c:delete val="0"/>
        <c:axPos val="b"/>
        <c:majorTickMark val="out"/>
        <c:minorTickMark val="none"/>
        <c:tickLblPos val="nextTo"/>
        <c:txPr>
          <a:bodyPr/>
          <a:lstStyle/>
          <a:p>
            <a:pPr>
              <a:defRPr lang="cs-CZ"/>
            </a:pPr>
            <a:endParaRPr lang="cs-CZ"/>
          </a:p>
        </c:txPr>
        <c:crossAx val="189747584"/>
        <c:crosses val="autoZero"/>
        <c:auto val="1"/>
        <c:lblAlgn val="ctr"/>
        <c:lblOffset val="100"/>
        <c:noMultiLvlLbl val="0"/>
      </c:catAx>
      <c:valAx>
        <c:axId val="189747584"/>
        <c:scaling>
          <c:orientation val="minMax"/>
        </c:scaling>
        <c:delete val="0"/>
        <c:axPos val="l"/>
        <c:numFmt formatCode="0.0%" sourceLinked="1"/>
        <c:majorTickMark val="out"/>
        <c:minorTickMark val="none"/>
        <c:tickLblPos val="nextTo"/>
        <c:txPr>
          <a:bodyPr/>
          <a:lstStyle/>
          <a:p>
            <a:pPr>
              <a:defRPr lang="cs-CZ"/>
            </a:pPr>
            <a:endParaRPr lang="cs-CZ"/>
          </a:p>
        </c:txPr>
        <c:crossAx val="189729408"/>
        <c:crosses val="autoZero"/>
        <c:crossBetween val="between"/>
      </c:valAx>
    </c:plotArea>
    <c:legend>
      <c:legendPos val="b"/>
      <c:overlay val="0"/>
      <c:txPr>
        <a:bodyPr/>
        <a:lstStyle/>
        <a:p>
          <a:pPr>
            <a:defRPr lang="cs-CZ"/>
          </a:pPr>
          <a:endParaRPr lang="cs-CZ"/>
        </a:p>
      </c:txPr>
    </c:legend>
    <c:plotVisOnly val="1"/>
    <c:dispBlanksAs val="zero"/>
    <c:showDLblsOverMax val="0"/>
  </c:chart>
  <c:spPr>
    <a:ln>
      <a:solidFill>
        <a:sysClr val="windowText" lastClr="000000"/>
      </a:solid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'Graf merge'!$S$1</c:f>
              <c:strCache>
                <c:ptCount val="1"/>
                <c:pt idx="0">
                  <c:v>ASEKOL s.r.o.</c:v>
                </c:pt>
              </c:strCache>
            </c:strRef>
          </c:tx>
          <c:invertIfNegative val="0"/>
          <c:dLbls>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merge'!$U$1:$U$10</c:f>
              <c:numCache>
                <c:formatCode>0.00%</c:formatCode>
                <c:ptCount val="10"/>
                <c:pt idx="0">
                  <c:v>0</c:v>
                </c:pt>
                <c:pt idx="1">
                  <c:v>0</c:v>
                </c:pt>
                <c:pt idx="2">
                  <c:v>0.40590522682754832</c:v>
                </c:pt>
                <c:pt idx="3">
                  <c:v>0.85332111955490064</c:v>
                </c:pt>
                <c:pt idx="4">
                  <c:v>0</c:v>
                </c:pt>
                <c:pt idx="5">
                  <c:v>6.803412357746652E-4</c:v>
                </c:pt>
                <c:pt idx="6">
                  <c:v>0.57101582715539989</c:v>
                </c:pt>
                <c:pt idx="7">
                  <c:v>0.10874428634221474</c:v>
                </c:pt>
                <c:pt idx="8">
                  <c:v>1.9397308570146578E-2</c:v>
                </c:pt>
                <c:pt idx="9">
                  <c:v>1.6148849452817755E-2</c:v>
                </c:pt>
              </c:numCache>
            </c:numRef>
          </c:val>
        </c:ser>
        <c:ser>
          <c:idx val="1"/>
          <c:order val="1"/>
          <c:tx>
            <c:strRef>
              <c:f>'Graf merge'!$S$11</c:f>
              <c:strCache>
                <c:ptCount val="1"/>
                <c:pt idx="0">
                  <c:v>Bren s.r.o.</c:v>
                </c:pt>
              </c:strCache>
            </c:strRef>
          </c:tx>
          <c:invertIfNegative val="0"/>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merge'!$U$11:$U$20</c:f>
              <c:numCache>
                <c:formatCode>0.00%</c:formatCode>
                <c:ptCount val="10"/>
                <c:pt idx="0">
                  <c:v>0</c:v>
                </c:pt>
                <c:pt idx="1">
                  <c:v>7.621065850404213E-4</c:v>
                </c:pt>
                <c:pt idx="2">
                  <c:v>0</c:v>
                </c:pt>
                <c:pt idx="3">
                  <c:v>0</c:v>
                </c:pt>
                <c:pt idx="4">
                  <c:v>0</c:v>
                </c:pt>
                <c:pt idx="5">
                  <c:v>3.6696220463678451E-2</c:v>
                </c:pt>
                <c:pt idx="6">
                  <c:v>0</c:v>
                </c:pt>
                <c:pt idx="7">
                  <c:v>0</c:v>
                </c:pt>
                <c:pt idx="8">
                  <c:v>0</c:v>
                </c:pt>
                <c:pt idx="9">
                  <c:v>0</c:v>
                </c:pt>
              </c:numCache>
            </c:numRef>
          </c:val>
        </c:ser>
        <c:ser>
          <c:idx val="2"/>
          <c:order val="2"/>
          <c:tx>
            <c:strRef>
              <c:f>'Graf merge'!$S$21</c:f>
              <c:strCache>
                <c:ptCount val="1"/>
                <c:pt idx="0">
                  <c:v>EKOLAMP s.r.o.</c:v>
                </c:pt>
              </c:strCache>
            </c:strRef>
          </c:tx>
          <c:invertIfNegative val="0"/>
          <c:dLbls>
            <c:dLbl>
              <c:idx val="4"/>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merge'!$U$21:$U$30</c:f>
              <c:numCache>
                <c:formatCode>0.00%</c:formatCode>
                <c:ptCount val="10"/>
                <c:pt idx="0">
                  <c:v>0</c:v>
                </c:pt>
                <c:pt idx="1">
                  <c:v>0</c:v>
                </c:pt>
                <c:pt idx="2">
                  <c:v>0</c:v>
                </c:pt>
                <c:pt idx="3">
                  <c:v>0</c:v>
                </c:pt>
                <c:pt idx="4">
                  <c:v>0.83642735943782032</c:v>
                </c:pt>
                <c:pt idx="5">
                  <c:v>0</c:v>
                </c:pt>
                <c:pt idx="6">
                  <c:v>0</c:v>
                </c:pt>
                <c:pt idx="7">
                  <c:v>0</c:v>
                </c:pt>
                <c:pt idx="8">
                  <c:v>0</c:v>
                </c:pt>
                <c:pt idx="9">
                  <c:v>0</c:v>
                </c:pt>
              </c:numCache>
            </c:numRef>
          </c:val>
        </c:ser>
        <c:ser>
          <c:idx val="3"/>
          <c:order val="3"/>
          <c:tx>
            <c:strRef>
              <c:f>'Graf merge'!$S$31</c:f>
              <c:strCache>
                <c:ptCount val="1"/>
                <c:pt idx="0">
                  <c:v>Elektrowin a.s.</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Lst>
            </c:dLbl>
            <c:dLbl>
              <c:idx val="1"/>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merge'!$U$31:$U$40</c:f>
              <c:numCache>
                <c:formatCode>0.00%</c:formatCode>
                <c:ptCount val="10"/>
                <c:pt idx="0">
                  <c:v>0.93293643176267249</c:v>
                </c:pt>
                <c:pt idx="1">
                  <c:v>0.81534030557517889</c:v>
                </c:pt>
                <c:pt idx="2">
                  <c:v>0</c:v>
                </c:pt>
                <c:pt idx="3">
                  <c:v>0</c:v>
                </c:pt>
                <c:pt idx="4">
                  <c:v>0</c:v>
                </c:pt>
                <c:pt idx="5">
                  <c:v>0.33762384670886392</c:v>
                </c:pt>
                <c:pt idx="6">
                  <c:v>0</c:v>
                </c:pt>
                <c:pt idx="7">
                  <c:v>0</c:v>
                </c:pt>
                <c:pt idx="8">
                  <c:v>0</c:v>
                </c:pt>
                <c:pt idx="9">
                  <c:v>0</c:v>
                </c:pt>
              </c:numCache>
            </c:numRef>
          </c:val>
        </c:ser>
        <c:ser>
          <c:idx val="4"/>
          <c:order val="4"/>
          <c:tx>
            <c:strRef>
              <c:f>'Graf merge'!$S$41</c:f>
              <c:strCache>
                <c:ptCount val="1"/>
                <c:pt idx="0">
                  <c:v>Individuální systémy</c:v>
                </c:pt>
              </c:strCache>
            </c:strRef>
          </c:tx>
          <c:invertIfNegative val="0"/>
          <c:dLbls>
            <c:dLbl>
              <c:idx val="6"/>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merge'!$U$41:$U$50</c:f>
              <c:numCache>
                <c:formatCode>0.00%</c:formatCode>
                <c:ptCount val="10"/>
                <c:pt idx="0">
                  <c:v>2.1486297886146935E-3</c:v>
                </c:pt>
                <c:pt idx="1">
                  <c:v>2.4409387018287494E-4</c:v>
                </c:pt>
                <c:pt idx="2">
                  <c:v>5.8183587057630158E-3</c:v>
                </c:pt>
                <c:pt idx="3">
                  <c:v>8.2018438388231844E-5</c:v>
                </c:pt>
                <c:pt idx="4">
                  <c:v>4.6765019601133162E-2</c:v>
                </c:pt>
                <c:pt idx="5">
                  <c:v>4.0970622212989957E-2</c:v>
                </c:pt>
                <c:pt idx="6">
                  <c:v>6.9379874407814013E-2</c:v>
                </c:pt>
                <c:pt idx="7">
                  <c:v>9.4729932963691331E-3</c:v>
                </c:pt>
                <c:pt idx="8">
                  <c:v>5.7938268598368613E-2</c:v>
                </c:pt>
                <c:pt idx="9">
                  <c:v>2.6591927675557573E-2</c:v>
                </c:pt>
              </c:numCache>
            </c:numRef>
          </c:val>
        </c:ser>
        <c:ser>
          <c:idx val="5"/>
          <c:order val="5"/>
          <c:tx>
            <c:strRef>
              <c:f>'Graf merge'!$S$51</c:f>
              <c:strCache>
                <c:ptCount val="1"/>
                <c:pt idx="0">
                  <c:v>OFO-Recycling s.r.o.</c:v>
                </c:pt>
              </c:strCache>
            </c:strRef>
          </c:tx>
          <c:invertIfNegative val="0"/>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merge'!$U$51:$U$60</c:f>
              <c:numCache>
                <c:formatCode>0.00%</c:formatCode>
                <c:ptCount val="10"/>
                <c:pt idx="0">
                  <c:v>1.8049149050795819E-2</c:v>
                </c:pt>
                <c:pt idx="1">
                  <c:v>3.014546215629342E-4</c:v>
                </c:pt>
                <c:pt idx="2">
                  <c:v>5.1378057777875788E-5</c:v>
                </c:pt>
                <c:pt idx="3">
                  <c:v>8.8129616150492596E-6</c:v>
                </c:pt>
                <c:pt idx="4">
                  <c:v>0</c:v>
                </c:pt>
                <c:pt idx="5">
                  <c:v>4.8563232411375507E-5</c:v>
                </c:pt>
                <c:pt idx="6">
                  <c:v>3.4102428614517276E-4</c:v>
                </c:pt>
                <c:pt idx="7">
                  <c:v>1.6852703429870135E-4</c:v>
                </c:pt>
                <c:pt idx="8">
                  <c:v>3.1867006936669485E-4</c:v>
                </c:pt>
                <c:pt idx="9">
                  <c:v>0</c:v>
                </c:pt>
              </c:numCache>
            </c:numRef>
          </c:val>
        </c:ser>
        <c:ser>
          <c:idx val="6"/>
          <c:order val="6"/>
          <c:tx>
            <c:strRef>
              <c:f>'Graf merge'!$S$61</c:f>
              <c:strCache>
                <c:ptCount val="1"/>
                <c:pt idx="0">
                  <c:v>REMA Systém a.s.</c:v>
                </c:pt>
              </c:strCache>
            </c:strRef>
          </c:tx>
          <c:invertIfNegative val="0"/>
          <c:dLbls>
            <c:dLbl>
              <c:idx val="2"/>
              <c:showLegendKey val="0"/>
              <c:showVal val="1"/>
              <c:showCatName val="0"/>
              <c:showSerName val="0"/>
              <c:showPercent val="0"/>
              <c:showBubbleSize val="0"/>
              <c:extLst>
                <c:ext xmlns:c15="http://schemas.microsoft.com/office/drawing/2012/chart" uri="{CE6537A1-D6FC-4f65-9D91-7224C49458BB}"/>
              </c:extLst>
            </c:dLbl>
            <c:dLbl>
              <c:idx val="3"/>
              <c:showLegendKey val="0"/>
              <c:showVal val="1"/>
              <c:showCatName val="0"/>
              <c:showSerName val="0"/>
              <c:showPercent val="0"/>
              <c:showBubbleSize val="0"/>
              <c:extLst>
                <c:ext xmlns:c15="http://schemas.microsoft.com/office/drawing/2012/chart" uri="{CE6537A1-D6FC-4f65-9D91-7224C49458BB}"/>
              </c:extLst>
            </c:dLbl>
            <c:dLbl>
              <c:idx val="6"/>
              <c:showLegendKey val="0"/>
              <c:showVal val="1"/>
              <c:showCatName val="0"/>
              <c:showSerName val="0"/>
              <c:showPercent val="0"/>
              <c:showBubbleSize val="0"/>
              <c:extLst>
                <c:ext xmlns:c15="http://schemas.microsoft.com/office/drawing/2012/chart" uri="{CE6537A1-D6FC-4f65-9D91-7224C49458BB}"/>
              </c:extLst>
            </c:dLbl>
            <c:dLbl>
              <c:idx val="7"/>
              <c:showLegendKey val="0"/>
              <c:showVal val="1"/>
              <c:showCatName val="0"/>
              <c:showSerName val="0"/>
              <c:showPercent val="0"/>
              <c:showBubbleSize val="0"/>
              <c:extLst>
                <c:ext xmlns:c15="http://schemas.microsoft.com/office/drawing/2012/chart" uri="{CE6537A1-D6FC-4f65-9D91-7224C49458BB}"/>
              </c:extLst>
            </c:dLbl>
            <c:dLbl>
              <c:idx val="8"/>
              <c:showLegendKey val="0"/>
              <c:showVal val="1"/>
              <c:showCatName val="0"/>
              <c:showSerName val="0"/>
              <c:showPercent val="0"/>
              <c:showBubbleSize val="0"/>
              <c:extLst>
                <c:ext xmlns:c15="http://schemas.microsoft.com/office/drawing/2012/chart" uri="{CE6537A1-D6FC-4f65-9D91-7224C49458BB}"/>
              </c:extLst>
            </c:dLbl>
            <c:dLbl>
              <c:idx val="9"/>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merge'!$U$61:$U$70</c:f>
              <c:numCache>
                <c:formatCode>0.00%</c:formatCode>
                <c:ptCount val="10"/>
                <c:pt idx="0">
                  <c:v>5.5875326423898324E-3</c:v>
                </c:pt>
                <c:pt idx="1">
                  <c:v>1.06384245088036E-2</c:v>
                </c:pt>
                <c:pt idx="2">
                  <c:v>0.4898394861265703</c:v>
                </c:pt>
                <c:pt idx="3">
                  <c:v>8.86500955112762E-2</c:v>
                </c:pt>
                <c:pt idx="4">
                  <c:v>1.6867599554576163E-2</c:v>
                </c:pt>
                <c:pt idx="5">
                  <c:v>4.8831395840505894E-2</c:v>
                </c:pt>
                <c:pt idx="6">
                  <c:v>8.8418837920766713E-2</c:v>
                </c:pt>
                <c:pt idx="7">
                  <c:v>0.31332427952229158</c:v>
                </c:pt>
                <c:pt idx="8">
                  <c:v>0.31153622953623916</c:v>
                </c:pt>
                <c:pt idx="9">
                  <c:v>0.12245471846277889</c:v>
                </c:pt>
              </c:numCache>
            </c:numRef>
          </c:val>
        </c:ser>
        <c:ser>
          <c:idx val="7"/>
          <c:order val="7"/>
          <c:tx>
            <c:strRef>
              <c:f>'Graf merge'!$S$71</c:f>
              <c:strCache>
                <c:ptCount val="1"/>
                <c:pt idx="0">
                  <c:v>RETELA s.r.o.</c:v>
                </c:pt>
              </c:strCache>
            </c:strRef>
          </c:tx>
          <c:invertIfNegative val="0"/>
          <c:dLbls>
            <c:numFmt formatCode="0%" sourceLinked="0"/>
            <c:spPr>
              <a:noFill/>
              <a:ln>
                <a:noFill/>
              </a:ln>
              <a:effectLst/>
            </c:spPr>
            <c:txPr>
              <a:bodyPr/>
              <a:lstStyle/>
              <a:p>
                <a:pPr>
                  <a:defRPr lang="cs-CZ" sz="9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merge'!$U$71:$U$80</c:f>
              <c:numCache>
                <c:formatCode>0.00%</c:formatCode>
                <c:ptCount val="10"/>
                <c:pt idx="0">
                  <c:v>4.0321732041571502E-2</c:v>
                </c:pt>
                <c:pt idx="1">
                  <c:v>0.17271361483923328</c:v>
                </c:pt>
                <c:pt idx="2">
                  <c:v>9.8385498697945398E-2</c:v>
                </c:pt>
                <c:pt idx="3">
                  <c:v>5.7937953533820835E-2</c:v>
                </c:pt>
                <c:pt idx="4">
                  <c:v>9.9940021406470528E-2</c:v>
                </c:pt>
                <c:pt idx="5">
                  <c:v>0.53517397625775531</c:v>
                </c:pt>
                <c:pt idx="6">
                  <c:v>0.27084245188240957</c:v>
                </c:pt>
                <c:pt idx="7">
                  <c:v>0.56828991380482863</c:v>
                </c:pt>
                <c:pt idx="8">
                  <c:v>0.61080952322588211</c:v>
                </c:pt>
                <c:pt idx="9">
                  <c:v>0.83480450440884746</c:v>
                </c:pt>
              </c:numCache>
            </c:numRef>
          </c:val>
        </c:ser>
        <c:ser>
          <c:idx val="8"/>
          <c:order val="8"/>
          <c:tx>
            <c:strRef>
              <c:f>'Graf merge'!$S$81</c:f>
              <c:strCache>
                <c:ptCount val="1"/>
                <c:pt idx="0">
                  <c:v>ZENTEK CZ s.r.o.</c:v>
                </c:pt>
              </c:strCache>
            </c:strRef>
          </c:tx>
          <c:invertIfNegative val="0"/>
          <c:cat>
            <c:strRef>
              <c:f>'Graf merge'!$R$1:$R$10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merge'!$U$81:$U$90</c:f>
              <c:numCache>
                <c:formatCode>0.00%</c:formatCode>
                <c:ptCount val="10"/>
                <c:pt idx="0">
                  <c:v>9.5652471395560681E-4</c:v>
                </c:pt>
                <c:pt idx="1">
                  <c:v>0</c:v>
                </c:pt>
                <c:pt idx="2">
                  <c:v>5.1584395359313332E-8</c:v>
                </c:pt>
                <c:pt idx="3">
                  <c:v>0</c:v>
                </c:pt>
                <c:pt idx="4">
                  <c:v>0</c:v>
                </c:pt>
                <c:pt idx="5">
                  <c:v>0</c:v>
                </c:pt>
                <c:pt idx="6">
                  <c:v>1.9843474671789049E-6</c:v>
                </c:pt>
                <c:pt idx="7">
                  <c:v>0</c:v>
                </c:pt>
                <c:pt idx="8">
                  <c:v>0</c:v>
                </c:pt>
                <c:pt idx="9">
                  <c:v>0</c:v>
                </c:pt>
              </c:numCache>
            </c:numRef>
          </c:val>
        </c:ser>
        <c:dLbls>
          <c:showLegendKey val="0"/>
          <c:showVal val="0"/>
          <c:showCatName val="0"/>
          <c:showSerName val="0"/>
          <c:showPercent val="0"/>
          <c:showBubbleSize val="0"/>
        </c:dLbls>
        <c:gapWidth val="50"/>
        <c:overlap val="100"/>
        <c:axId val="190087936"/>
        <c:axId val="190089472"/>
      </c:barChart>
      <c:catAx>
        <c:axId val="190087936"/>
        <c:scaling>
          <c:orientation val="minMax"/>
        </c:scaling>
        <c:delete val="0"/>
        <c:axPos val="b"/>
        <c:numFmt formatCode="General" sourceLinked="0"/>
        <c:majorTickMark val="out"/>
        <c:minorTickMark val="none"/>
        <c:tickLblPos val="nextTo"/>
        <c:txPr>
          <a:bodyPr/>
          <a:lstStyle/>
          <a:p>
            <a:pPr>
              <a:defRPr lang="cs-CZ"/>
            </a:pPr>
            <a:endParaRPr lang="cs-CZ"/>
          </a:p>
        </c:txPr>
        <c:crossAx val="190089472"/>
        <c:crosses val="autoZero"/>
        <c:auto val="1"/>
        <c:lblAlgn val="ctr"/>
        <c:lblOffset val="100"/>
        <c:noMultiLvlLbl val="0"/>
      </c:catAx>
      <c:valAx>
        <c:axId val="190089472"/>
        <c:scaling>
          <c:orientation val="minMax"/>
          <c:max val="1"/>
        </c:scaling>
        <c:delete val="0"/>
        <c:axPos val="l"/>
        <c:numFmt formatCode="0.00%" sourceLinked="1"/>
        <c:majorTickMark val="out"/>
        <c:minorTickMark val="none"/>
        <c:tickLblPos val="nextTo"/>
        <c:txPr>
          <a:bodyPr/>
          <a:lstStyle/>
          <a:p>
            <a:pPr>
              <a:defRPr lang="cs-CZ"/>
            </a:pPr>
            <a:endParaRPr lang="cs-CZ"/>
          </a:p>
        </c:txPr>
        <c:crossAx val="190087936"/>
        <c:crosses val="autoZero"/>
        <c:crossBetween val="between"/>
      </c:valAx>
    </c:plotArea>
    <c:legend>
      <c:legendPos val="r"/>
      <c:overlay val="0"/>
      <c:txPr>
        <a:bodyPr/>
        <a:lstStyle/>
        <a:p>
          <a:pPr>
            <a:defRPr lang="cs-CZ"/>
          </a:pPr>
          <a:endParaRPr lang="cs-CZ"/>
        </a:p>
      </c:txPr>
    </c:legend>
    <c:plotVisOnly val="1"/>
    <c:dispBlanksAs val="gap"/>
    <c:showDLblsOverMax val="0"/>
  </c:chart>
  <c:spPr>
    <a:ln>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 merge'!$B$1</c:f>
              <c:strCache>
                <c:ptCount val="1"/>
                <c:pt idx="0">
                  <c:v>ASEKOL s.r.o.</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9"/>
              <c:delete val="1"/>
              <c:extLst>
                <c:ext xmlns:c15="http://schemas.microsoft.com/office/drawing/2012/chart" uri="{CE6537A1-D6FC-4f65-9D91-7224C49458BB}"/>
              </c:extLst>
            </c:dLbl>
            <c:numFmt formatCode="0%" sourceLinked="0"/>
            <c:spPr>
              <a:noFill/>
              <a:ln>
                <a:noFill/>
              </a:ln>
              <a:effectLst/>
            </c:spPr>
            <c:txPr>
              <a:bodyPr/>
              <a:lstStyle/>
              <a:p>
                <a:pPr>
                  <a:defRPr lang="cs-CZ" sz="9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merge'!$D$1:$D$10</c:f>
              <c:numCache>
                <c:formatCode>General</c:formatCode>
                <c:ptCount val="10"/>
                <c:pt idx="0">
                  <c:v>0</c:v>
                </c:pt>
                <c:pt idx="1">
                  <c:v>0</c:v>
                </c:pt>
                <c:pt idx="2">
                  <c:v>0.58969706676526257</c:v>
                </c:pt>
                <c:pt idx="3">
                  <c:v>0.82259187252925436</c:v>
                </c:pt>
                <c:pt idx="4">
                  <c:v>0</c:v>
                </c:pt>
                <c:pt idx="5">
                  <c:v>9.3859085063384265E-2</c:v>
                </c:pt>
                <c:pt idx="6">
                  <c:v>0.19996138426067933</c:v>
                </c:pt>
                <c:pt idx="7">
                  <c:v>4.8563761057549136E-2</c:v>
                </c:pt>
                <c:pt idx="8">
                  <c:v>0.34710576718450842</c:v>
                </c:pt>
                <c:pt idx="9">
                  <c:v>5.1703601542174814E-2</c:v>
                </c:pt>
              </c:numCache>
            </c:numRef>
          </c:val>
        </c:ser>
        <c:ser>
          <c:idx val="1"/>
          <c:order val="1"/>
          <c:tx>
            <c:strRef>
              <c:f>'Graf merge'!$B$11</c:f>
              <c:strCache>
                <c:ptCount val="1"/>
                <c:pt idx="0">
                  <c:v>Bren s.r.o.</c:v>
                </c:pt>
              </c:strCache>
            </c:strRef>
          </c:tx>
          <c:invertIfNegative val="0"/>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merge'!$D$11:$D$20</c:f>
              <c:numCache>
                <c:formatCode>General</c:formatCode>
                <c:ptCount val="10"/>
                <c:pt idx="0">
                  <c:v>0</c:v>
                </c:pt>
                <c:pt idx="1">
                  <c:v>1.9206064707403192E-4</c:v>
                </c:pt>
                <c:pt idx="2">
                  <c:v>0</c:v>
                </c:pt>
                <c:pt idx="3">
                  <c:v>0</c:v>
                </c:pt>
                <c:pt idx="4">
                  <c:v>0</c:v>
                </c:pt>
                <c:pt idx="5">
                  <c:v>3.7247261088602567E-2</c:v>
                </c:pt>
                <c:pt idx="6">
                  <c:v>0</c:v>
                </c:pt>
                <c:pt idx="7">
                  <c:v>0</c:v>
                </c:pt>
                <c:pt idx="8">
                  <c:v>0</c:v>
                </c:pt>
                <c:pt idx="9">
                  <c:v>0</c:v>
                </c:pt>
              </c:numCache>
            </c:numRef>
          </c:val>
        </c:ser>
        <c:ser>
          <c:idx val="2"/>
          <c:order val="2"/>
          <c:tx>
            <c:strRef>
              <c:f>'Graf merge'!$B$21</c:f>
              <c:strCache>
                <c:ptCount val="1"/>
                <c:pt idx="0">
                  <c:v>EKOLAMP s.r.o.</c:v>
                </c:pt>
              </c:strCache>
            </c:strRef>
          </c:tx>
          <c:invertIfNegative val="0"/>
          <c:dLbls>
            <c:dLbl>
              <c:idx val="4"/>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merge'!$D$21:$D$30</c:f>
              <c:numCache>
                <c:formatCode>General</c:formatCode>
                <c:ptCount val="10"/>
                <c:pt idx="0">
                  <c:v>0</c:v>
                </c:pt>
                <c:pt idx="1">
                  <c:v>0</c:v>
                </c:pt>
                <c:pt idx="2">
                  <c:v>0</c:v>
                </c:pt>
                <c:pt idx="3">
                  <c:v>0</c:v>
                </c:pt>
                <c:pt idx="4">
                  <c:v>0.90396443533101367</c:v>
                </c:pt>
                <c:pt idx="5">
                  <c:v>0</c:v>
                </c:pt>
                <c:pt idx="6">
                  <c:v>0</c:v>
                </c:pt>
                <c:pt idx="7">
                  <c:v>0</c:v>
                </c:pt>
                <c:pt idx="8">
                  <c:v>0</c:v>
                </c:pt>
                <c:pt idx="9">
                  <c:v>0</c:v>
                </c:pt>
              </c:numCache>
            </c:numRef>
          </c:val>
        </c:ser>
        <c:ser>
          <c:idx val="3"/>
          <c:order val="3"/>
          <c:tx>
            <c:strRef>
              <c:f>'Graf merge'!$B$31</c:f>
              <c:strCache>
                <c:ptCount val="1"/>
                <c:pt idx="0">
                  <c:v>Elektrowin a.s.</c:v>
                </c:pt>
              </c:strCache>
            </c:strRef>
          </c:tx>
          <c:invertIfNegative val="0"/>
          <c:dLbls>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numFmt formatCode="0%" sourceLinked="0"/>
            <c:spPr>
              <a:noFill/>
              <a:ln>
                <a:noFill/>
              </a:ln>
              <a:effectLst/>
            </c:spPr>
            <c:txPr>
              <a:bodyPr/>
              <a:lstStyle/>
              <a:p>
                <a:pPr>
                  <a:defRPr lang="cs-CZ" sz="9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merge'!$D$31:$D$40</c:f>
              <c:numCache>
                <c:formatCode>General</c:formatCode>
                <c:ptCount val="10"/>
                <c:pt idx="0">
                  <c:v>0.91163579453928822</c:v>
                </c:pt>
                <c:pt idx="1">
                  <c:v>0.86524022945736012</c:v>
                </c:pt>
                <c:pt idx="2">
                  <c:v>0</c:v>
                </c:pt>
                <c:pt idx="3">
                  <c:v>0</c:v>
                </c:pt>
                <c:pt idx="4">
                  <c:v>0</c:v>
                </c:pt>
                <c:pt idx="5">
                  <c:v>0.35628692574721887</c:v>
                </c:pt>
                <c:pt idx="6">
                  <c:v>0</c:v>
                </c:pt>
                <c:pt idx="7">
                  <c:v>0</c:v>
                </c:pt>
                <c:pt idx="8">
                  <c:v>0</c:v>
                </c:pt>
                <c:pt idx="9">
                  <c:v>0</c:v>
                </c:pt>
              </c:numCache>
            </c:numRef>
          </c:val>
        </c:ser>
        <c:ser>
          <c:idx val="4"/>
          <c:order val="4"/>
          <c:tx>
            <c:strRef>
              <c:f>'Graf merge'!$B$41</c:f>
              <c:strCache>
                <c:ptCount val="1"/>
                <c:pt idx="0">
                  <c:v>Individuální systémy</c:v>
                </c:pt>
              </c:strCache>
            </c:strRef>
          </c:tx>
          <c:invertIfNegative val="0"/>
          <c:dLbls>
            <c:dLbl>
              <c:idx val="6"/>
              <c:numFmt formatCode="0%" sourceLinked="0"/>
              <c:spPr/>
              <c:txPr>
                <a:bodyPr/>
                <a:lstStyle/>
                <a:p>
                  <a:pPr>
                    <a:defRPr lang="cs-CZ" sz="900" b="1"/>
                  </a:pPr>
                  <a:endParaRPr lang="cs-CZ"/>
                </a:p>
              </c:txPr>
              <c:showLegendKey val="0"/>
              <c:showVal val="1"/>
              <c:showCatName val="0"/>
              <c:showSerName val="0"/>
              <c:showPercent val="0"/>
              <c:showBubbleSize val="0"/>
              <c:extLst>
                <c:ext xmlns:c15="http://schemas.microsoft.com/office/drawing/2012/chart" uri="{CE6537A1-D6FC-4f65-9D91-7224C49458BB}"/>
              </c:extLst>
            </c:dLbl>
            <c:dLbl>
              <c:idx val="9"/>
              <c:numFmt formatCode="0%" sourceLinked="0"/>
              <c:spPr/>
              <c:txPr>
                <a:bodyPr/>
                <a:lstStyle/>
                <a:p>
                  <a:pPr>
                    <a:defRPr lang="cs-CZ" sz="900" b="1"/>
                  </a:pPr>
                  <a:endParaRPr lang="cs-CZ"/>
                </a:p>
              </c:txPr>
              <c:showLegendKey val="0"/>
              <c:showVal val="1"/>
              <c:showCatName val="0"/>
              <c:showSerName val="0"/>
              <c:showPercent val="0"/>
              <c:showBubbleSize val="0"/>
              <c:extLst>
                <c:ext xmlns:c15="http://schemas.microsoft.com/office/drawing/2012/chart" uri="{CE6537A1-D6FC-4f65-9D91-7224C49458BB}"/>
              </c:extLst>
            </c:dLbl>
            <c:showLegendKey val="0"/>
            <c:showVal val="0"/>
            <c:showCatName val="0"/>
            <c:showSerName val="0"/>
            <c:showPercent val="0"/>
            <c:showBubbleSize val="0"/>
            <c:extLst>
              <c:ext xmlns:c15="http://schemas.microsoft.com/office/drawing/2012/chart" uri="{CE6537A1-D6FC-4f65-9D91-7224C49458BB}">
                <c15:showLeaderLines val="0"/>
              </c:ext>
            </c:extLst>
          </c:dLbls>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merge'!$D$41:$D$50</c:f>
              <c:numCache>
                <c:formatCode>General</c:formatCode>
                <c:ptCount val="10"/>
                <c:pt idx="0">
                  <c:v>6.0898803799361312E-5</c:v>
                </c:pt>
                <c:pt idx="1">
                  <c:v>1.3026722149369133E-5</c:v>
                </c:pt>
                <c:pt idx="2">
                  <c:v>3.0733344891172547E-4</c:v>
                </c:pt>
                <c:pt idx="3">
                  <c:v>0</c:v>
                </c:pt>
                <c:pt idx="4">
                  <c:v>0</c:v>
                </c:pt>
                <c:pt idx="5">
                  <c:v>3.4426158175154951E-2</c:v>
                </c:pt>
                <c:pt idx="6">
                  <c:v>0.40682817131759341</c:v>
                </c:pt>
                <c:pt idx="7">
                  <c:v>3.011629062717432E-2</c:v>
                </c:pt>
                <c:pt idx="8">
                  <c:v>5.1074696743988132E-4</c:v>
                </c:pt>
                <c:pt idx="9">
                  <c:v>0.30279284079867097</c:v>
                </c:pt>
              </c:numCache>
            </c:numRef>
          </c:val>
        </c:ser>
        <c:ser>
          <c:idx val="5"/>
          <c:order val="5"/>
          <c:tx>
            <c:strRef>
              <c:f>'Graf merge'!$B$51</c:f>
              <c:strCache>
                <c:ptCount val="1"/>
                <c:pt idx="0">
                  <c:v>OFO-Recycling s.r.o.</c:v>
                </c:pt>
              </c:strCache>
            </c:strRef>
          </c:tx>
          <c:invertIfNegative val="0"/>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merge'!$D$51:$D$60</c:f>
              <c:numCache>
                <c:formatCode>General</c:formatCode>
                <c:ptCount val="10"/>
                <c:pt idx="0">
                  <c:v>1.6582579683204523E-4</c:v>
                </c:pt>
                <c:pt idx="1">
                  <c:v>0</c:v>
                </c:pt>
                <c:pt idx="2">
                  <c:v>0</c:v>
                </c:pt>
                <c:pt idx="3">
                  <c:v>0</c:v>
                </c:pt>
                <c:pt idx="4">
                  <c:v>0</c:v>
                </c:pt>
                <c:pt idx="5">
                  <c:v>0</c:v>
                </c:pt>
                <c:pt idx="6">
                  <c:v>0</c:v>
                </c:pt>
                <c:pt idx="7">
                  <c:v>0</c:v>
                </c:pt>
                <c:pt idx="8">
                  <c:v>0</c:v>
                </c:pt>
                <c:pt idx="9">
                  <c:v>0</c:v>
                </c:pt>
              </c:numCache>
            </c:numRef>
          </c:val>
        </c:ser>
        <c:ser>
          <c:idx val="6"/>
          <c:order val="6"/>
          <c:tx>
            <c:strRef>
              <c:f>'Graf merge'!$B$61</c:f>
              <c:strCache>
                <c:ptCount val="1"/>
                <c:pt idx="0">
                  <c:v>REMA Systém a.s.</c:v>
                </c:pt>
              </c:strCache>
            </c:strRef>
          </c:tx>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9"/>
              <c:delete val="1"/>
              <c:extLst>
                <c:ext xmlns:c15="http://schemas.microsoft.com/office/drawing/2012/chart" uri="{CE6537A1-D6FC-4f65-9D91-7224C49458BB}"/>
              </c:extLst>
            </c:dLbl>
            <c:numFmt formatCode="0%" sourceLinked="0"/>
            <c:spPr>
              <a:noFill/>
              <a:ln>
                <a:noFill/>
              </a:ln>
              <a:effectLst/>
            </c:spPr>
            <c:txPr>
              <a:bodyPr/>
              <a:lstStyle/>
              <a:p>
                <a:pPr>
                  <a:defRPr lang="cs-CZ" sz="9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merge'!$D$61:$D$70</c:f>
              <c:numCache>
                <c:formatCode>General</c:formatCode>
                <c:ptCount val="10"/>
                <c:pt idx="0">
                  <c:v>1.3205370681966248E-2</c:v>
                </c:pt>
                <c:pt idx="1">
                  <c:v>4.475781319413237E-2</c:v>
                </c:pt>
                <c:pt idx="2">
                  <c:v>0.40999538680353176</c:v>
                </c:pt>
                <c:pt idx="3">
                  <c:v>2.2790324974887189E-2</c:v>
                </c:pt>
                <c:pt idx="4">
                  <c:v>2.0328770736228397E-2</c:v>
                </c:pt>
                <c:pt idx="5">
                  <c:v>7.5524333523501935E-2</c:v>
                </c:pt>
                <c:pt idx="6">
                  <c:v>0.34737696911876798</c:v>
                </c:pt>
                <c:pt idx="7">
                  <c:v>0.48321240433356538</c:v>
                </c:pt>
                <c:pt idx="8">
                  <c:v>0.38348584805277808</c:v>
                </c:pt>
                <c:pt idx="9">
                  <c:v>4.6296586527912784E-2</c:v>
                </c:pt>
              </c:numCache>
            </c:numRef>
          </c:val>
        </c:ser>
        <c:ser>
          <c:idx val="7"/>
          <c:order val="7"/>
          <c:tx>
            <c:strRef>
              <c:f>'Graf merge'!$B$71</c:f>
              <c:strCache>
                <c:ptCount val="1"/>
                <c:pt idx="0">
                  <c:v>RETELA s.r.o.</c:v>
                </c:pt>
              </c:strCache>
            </c:strRef>
          </c:tx>
          <c:invertIfNegative val="0"/>
          <c:dLbls>
            <c:dLbl>
              <c:idx val="6"/>
              <c:delete val="1"/>
              <c:extLst>
                <c:ext xmlns:c15="http://schemas.microsoft.com/office/drawing/2012/chart" uri="{CE6537A1-D6FC-4f65-9D91-7224C49458BB}"/>
              </c:extLst>
            </c:dLbl>
            <c:numFmt formatCode="0%" sourceLinked="0"/>
            <c:spPr>
              <a:noFill/>
              <a:ln>
                <a:noFill/>
              </a:ln>
              <a:effectLst/>
            </c:spPr>
            <c:txPr>
              <a:bodyPr/>
              <a:lstStyle/>
              <a:p>
                <a:pPr>
                  <a:defRPr lang="cs-CZ" sz="900" b="1"/>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merge'!$D$71:$D$80</c:f>
              <c:numCache>
                <c:formatCode>General</c:formatCode>
                <c:ptCount val="10"/>
                <c:pt idx="0">
                  <c:v>7.4792207520739243E-2</c:v>
                </c:pt>
                <c:pt idx="1">
                  <c:v>8.979686997928478E-2</c:v>
                </c:pt>
                <c:pt idx="3">
                  <c:v>0.15461780249586074</c:v>
                </c:pt>
                <c:pt idx="4">
                  <c:v>7.5706793932758434E-2</c:v>
                </c:pt>
                <c:pt idx="5">
                  <c:v>0.4026562364021381</c:v>
                </c:pt>
                <c:pt idx="6">
                  <c:v>4.5833475302963306E-2</c:v>
                </c:pt>
                <c:pt idx="7">
                  <c:v>0.43810754398171181</c:v>
                </c:pt>
                <c:pt idx="8">
                  <c:v>0.26889763779527581</c:v>
                </c:pt>
                <c:pt idx="9">
                  <c:v>0.59920697113123866</c:v>
                </c:pt>
              </c:numCache>
            </c:numRef>
          </c:val>
        </c:ser>
        <c:ser>
          <c:idx val="8"/>
          <c:order val="8"/>
          <c:tx>
            <c:strRef>
              <c:f>'Graf merge'!$B$81</c:f>
              <c:strCache>
                <c:ptCount val="1"/>
                <c:pt idx="0">
                  <c:v>ZENTEK CZ s.r.o.</c:v>
                </c:pt>
              </c:strCache>
            </c:strRef>
          </c:tx>
          <c:invertIfNegative val="0"/>
          <c:cat>
            <c:strRef>
              <c:f>'Graf merge'!$A$1:$A$10</c:f>
              <c:strCache>
                <c:ptCount val="10"/>
                <c:pt idx="0">
                  <c:v>Sk. 1</c:v>
                </c:pt>
                <c:pt idx="1">
                  <c:v>Sk. 2</c:v>
                </c:pt>
                <c:pt idx="2">
                  <c:v>Sk. 3</c:v>
                </c:pt>
                <c:pt idx="3">
                  <c:v>Sk. 4</c:v>
                </c:pt>
                <c:pt idx="4">
                  <c:v>Sk. 5</c:v>
                </c:pt>
                <c:pt idx="5">
                  <c:v>Sk. 6</c:v>
                </c:pt>
                <c:pt idx="6">
                  <c:v>Sk. 7</c:v>
                </c:pt>
                <c:pt idx="7">
                  <c:v>Sk. 8</c:v>
                </c:pt>
                <c:pt idx="8">
                  <c:v>Sk. 9</c:v>
                </c:pt>
                <c:pt idx="9">
                  <c:v>Sk. 10</c:v>
                </c:pt>
              </c:strCache>
            </c:strRef>
          </c:cat>
          <c:val>
            <c:numRef>
              <c:f>'Graf merge'!$D$81:$D$90</c:f>
              <c:numCache>
                <c:formatCode>General</c:formatCode>
                <c:ptCount val="10"/>
                <c:pt idx="0">
                  <c:v>1.3990265737691101E-4</c:v>
                </c:pt>
                <c:pt idx="1">
                  <c:v>0</c:v>
                </c:pt>
                <c:pt idx="2">
                  <c:v>2.1298229307811856E-7</c:v>
                </c:pt>
                <c:pt idx="3">
                  <c:v>0</c:v>
                </c:pt>
                <c:pt idx="4">
                  <c:v>0</c:v>
                </c:pt>
                <c:pt idx="5">
                  <c:v>0</c:v>
                </c:pt>
                <c:pt idx="6">
                  <c:v>0</c:v>
                </c:pt>
                <c:pt idx="7">
                  <c:v>0</c:v>
                </c:pt>
                <c:pt idx="8">
                  <c:v>0</c:v>
                </c:pt>
                <c:pt idx="9">
                  <c:v>0</c:v>
                </c:pt>
              </c:numCache>
            </c:numRef>
          </c:val>
        </c:ser>
        <c:dLbls>
          <c:showLegendKey val="0"/>
          <c:showVal val="0"/>
          <c:showCatName val="0"/>
          <c:showSerName val="0"/>
          <c:showPercent val="0"/>
          <c:showBubbleSize val="0"/>
        </c:dLbls>
        <c:gapWidth val="55"/>
        <c:overlap val="100"/>
        <c:axId val="196570496"/>
        <c:axId val="196592768"/>
      </c:barChart>
      <c:catAx>
        <c:axId val="196570496"/>
        <c:scaling>
          <c:orientation val="minMax"/>
        </c:scaling>
        <c:delete val="0"/>
        <c:axPos val="b"/>
        <c:numFmt formatCode="General" sourceLinked="0"/>
        <c:majorTickMark val="none"/>
        <c:minorTickMark val="none"/>
        <c:tickLblPos val="nextTo"/>
        <c:txPr>
          <a:bodyPr/>
          <a:lstStyle/>
          <a:p>
            <a:pPr>
              <a:defRPr lang="cs-CZ"/>
            </a:pPr>
            <a:endParaRPr lang="cs-CZ"/>
          </a:p>
        </c:txPr>
        <c:crossAx val="196592768"/>
        <c:crosses val="autoZero"/>
        <c:auto val="1"/>
        <c:lblAlgn val="ctr"/>
        <c:lblOffset val="100"/>
        <c:noMultiLvlLbl val="0"/>
      </c:catAx>
      <c:valAx>
        <c:axId val="196592768"/>
        <c:scaling>
          <c:orientation val="minMax"/>
          <c:max val="1"/>
        </c:scaling>
        <c:delete val="0"/>
        <c:axPos val="l"/>
        <c:numFmt formatCode="0%" sourceLinked="0"/>
        <c:majorTickMark val="none"/>
        <c:minorTickMark val="none"/>
        <c:tickLblPos val="nextTo"/>
        <c:txPr>
          <a:bodyPr/>
          <a:lstStyle/>
          <a:p>
            <a:pPr>
              <a:defRPr lang="cs-CZ"/>
            </a:pPr>
            <a:endParaRPr lang="cs-CZ"/>
          </a:p>
        </c:txPr>
        <c:crossAx val="196570496"/>
        <c:crosses val="autoZero"/>
        <c:crossBetween val="between"/>
      </c:valAx>
    </c:plotArea>
    <c:legend>
      <c:legendPos val="r"/>
      <c:overlay val="0"/>
      <c:txPr>
        <a:bodyPr/>
        <a:lstStyle/>
        <a:p>
          <a:pPr>
            <a:defRPr lang="cs-CZ"/>
          </a:pPr>
          <a:endParaRPr lang="cs-CZ"/>
        </a:p>
      </c:txPr>
    </c:legend>
    <c:plotVisOnly val="1"/>
    <c:dispBlanksAs val="gap"/>
    <c:showDLblsOverMax val="0"/>
  </c:chart>
  <c:spPr>
    <a:ln>
      <a:solidFill>
        <a:sysClr val="windowText" lastClr="000000"/>
      </a:solidFill>
    </a:ln>
  </c:spPr>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3523C0-0A5A-4BC7-B53C-C871F2A0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280</Pages>
  <Words>94212</Words>
  <Characters>555852</Characters>
  <Application>Microsoft Office Word</Application>
  <DocSecurity>0</DocSecurity>
  <Lines>4632</Lines>
  <Paragraphs>1297</Paragraphs>
  <ScaleCrop>false</ScaleCrop>
  <HeadingPairs>
    <vt:vector size="2" baseType="variant">
      <vt:variant>
        <vt:lpstr>Název</vt:lpstr>
      </vt:variant>
      <vt:variant>
        <vt:i4>1</vt:i4>
      </vt:variant>
    </vt:vector>
  </HeadingPairs>
  <TitlesOfParts>
    <vt:vector size="1" baseType="lpstr">
      <vt:lpstr/>
    </vt:vector>
  </TitlesOfParts>
  <Company>MZPCR</Company>
  <LinksUpToDate>false</LinksUpToDate>
  <CharactersWithSpaces>648767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2015-12-18T09:36:00Z</cp:lastPrinted>
  <dcterms:created xsi:type="dcterms:W3CDTF">2016-01-28T13:49:00Z</dcterms:created>
  <dcterms:modified xsi:type="dcterms:W3CDTF">2016-01-29T14:50:00Z</dcterms:modified>
</cp:coreProperties>
</file>